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t>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6:40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descriptive statistics, correlation, regression, the trend and the forecast</w:t>
            </w:r>
          </w:p>
        </w:tc>
        <w:tc>
          <w:tcPr>
            <w:tcW w:type="dxa" w:w="2340"/>
          </w:tcPr>
          <w:p>
            <w:pPr>
              <w:spacing w:line="240" w:lineRule="auto"/>
            </w:pPr>
            <w:r>
              <w:rPr>
                <w:sz w:val="18"/>
              </w:rPr>
            </w:r>
            <w:r>
              <w:rPr>
                <w:sz w:val="18"/>
              </w:rPr>
              <w:t>6:25</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for the business,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 about </w:t>
      </w:r>
      <w:r>
        <w:rPr>
          <w:b/>
        </w:rPr>
        <w:t>10:30</w:t>
      </w:r>
      <w:r>
        <w:t xml:space="preserve"> of it Alber, and </w:t>
      </w:r>
      <w:r>
        <w:rPr>
          <w:b/>
        </w:rPr>
        <w:t>6:30</w:t>
      </w:r>
      <w:r>
        <w:t xml:space="preserve"> each for Julebeth and Mardy. Alber records three separate files; Julebeth and Mardy record one each.</w:t>
      </w:r>
    </w:p>
    <w:p>
      <w:r>
        <w:t>If you were given a time limit shorter than that, the two places to cut are the descriptive statistics and the correlation in Part 4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start of your first part</w:t>
      </w:r>
      <w:r>
        <w:t xml:space="preserve"> — your instructor is matching a voice to a name for a mark under Section 1.4, and the video may not show your face. Alber records three parts and only needs to do this in Part 1; the later two just continue.</w:t>
      </w:r>
    </w:p>
    <w:p>
      <w:r>
        <w:rPr>
          <w:b/>
        </w:rPr>
        <w:t>Say nothing about who did what.</w:t>
      </w:r>
      <w:r>
        <w:t xml:space="preserve"> Your name, then straight into the material. Nobody claims a task, a role, or a contribution — the recording discusses the project, not the group. Everything you say is about Checkpoint 1 and Checkpoint 2 and how the work progressed.</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2"/>
      </w:pPr>
      <w:r>
        <w:t>For Alber, as editor</w:t>
      </w:r>
    </w:p>
    <w:p>
      <w:r>
        <w:t>Join the five parts in order: 1, 2, 3, 4, 5. There is nothing to interleave.</w:t>
      </w:r>
    </w:p>
    <w:p>
      <w:r>
        <w:rPr>
          <w:b/>
        </w:rPr>
        <w:t>Normalise the audio levels first.</w:t>
      </w:r>
      <w:r>
        <w:t xml:space="preserve"> Three people in three rooms will not match, and a viewer reaching for the volume between speakers is the most noticeable flaw a stitched recording can have.</w:t>
      </w:r>
    </w:p>
    <w:p>
      <w:r>
        <w:rPr>
          <w:b/>
        </w:rPr>
        <w:t>Put a title card at the head of every part</w:t>
      </w:r>
      <w:r>
        <w:t xml:space="preserve"> — a plain slide with the part number, the topic and the speaker's name, held for two seconds. It hides the seam, it backs up the spoken name for Section 1.4, and it doubles as your figure numbering.</w:t>
      </w:r>
    </w:p>
    <w:p>
      <w:r>
        <w:rPr>
          <w:b/>
        </w:rPr>
        <w:t>Keep the transitions.</w:t>
      </w:r>
      <w:r>
        <w:t xml:space="preserve"> The last line of each part sets up the next one. Cut the dead air and the stumbles; leave those lines alone, because they are what makes five recordings sound like one explanation.</w:t>
      </w:r>
    </w:p>
    <w:p>
      <w:r>
        <w:t>If a part comes back unusable and re-recording is impossible, cover it yourself rather than leaving a gap — a missing task is a missing mark.</w:t>
      </w:r>
    </w:p>
    <w:p>
      <w:pPr>
        <w:pStyle w:val="Heading3"/>
      </w:pPr>
      <w:r>
        <w:t>What to have on screen</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Part</w:t>
            </w:r>
          </w:p>
        </w:tc>
        <w:tc>
          <w:tcPr>
            <w:tcW w:type="dxa" w:w="3120"/>
          </w:tcPr>
          <w:p>
            <w:r>
              <w:rPr>
                <w:b/>
              </w:rPr>
            </w:r>
            <w:r>
              <w:rPr>
                <w:b/>
              </w:rPr>
              <w:t>Section</w:t>
            </w:r>
          </w:p>
        </w:tc>
        <w:tc>
          <w:tcPr>
            <w:tcW w:type="dxa" w:w="3120"/>
          </w:tcPr>
          <w:p>
            <w:r>
              <w:rPr>
                <w:b/>
              </w:rPr>
            </w:r>
            <w:r>
              <w:rPr>
                <w:b/>
              </w:rPr>
              <w:t>Show</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Opening</w:t>
            </w:r>
          </w:p>
        </w:tc>
        <w:tc>
          <w:tcPr>
            <w:tcW w:type="dxa" w:w="3120"/>
          </w:tcPr>
          <w:p>
            <w:pPr>
              <w:spacing w:line="240" w:lineRule="auto"/>
            </w:pPr>
            <w:r>
              <w:rPr>
                <w:sz w:val="18"/>
              </w:rPr>
            </w:r>
            <w:r>
              <w:rPr>
                <w:sz w:val="18"/>
              </w:rPr>
              <w:t>Cover page</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The business problem</w:t>
            </w:r>
          </w:p>
        </w:tc>
        <w:tc>
          <w:tcPr>
            <w:tcW w:type="dxa" w:w="3120"/>
          </w:tcPr>
          <w:p>
            <w:pPr>
              <w:spacing w:line="240" w:lineRule="auto"/>
            </w:pPr>
            <w:r>
              <w:rPr>
                <w:sz w:val="18"/>
              </w:rPr>
            </w:r>
            <w:r>
              <w:rPr>
                <w:sz w:val="18"/>
              </w:rPr>
              <w:t>Figure 1, the annual trend</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dataset</w:t>
            </w:r>
          </w:p>
        </w:tc>
        <w:tc>
          <w:tcPr>
            <w:tcW w:type="dxa" w:w="3120"/>
          </w:tcPr>
          <w:p>
            <w:pPr>
              <w:spacing w:line="240" w:lineRule="auto"/>
            </w:pPr>
            <w:r>
              <w:rPr>
                <w:sz w:val="18"/>
              </w:rPr>
            </w:r>
            <w:r>
              <w:rPr>
                <w:sz w:val="18"/>
              </w:rPr>
              <w:t>The raw CSV, first 15–20 rows</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database</w:t>
            </w:r>
          </w:p>
        </w:tc>
        <w:tc>
          <w:tcPr>
            <w:tcW w:type="dxa" w:w="3120"/>
          </w:tcPr>
          <w:p>
            <w:pPr>
              <w:spacing w:line="240" w:lineRule="auto"/>
            </w:pPr>
            <w:r>
              <w:rPr>
                <w:sz w:val="18"/>
              </w:rPr>
            </w:r>
            <w:r>
              <w:rPr>
                <w:rFonts w:ascii="Consolas" w:hAnsi="Consolas"/>
                <w:color w:val="2F6F9F"/>
                <w:sz w:val="18"/>
              </w:rPr>
              <w:t>docs/figures/erd.png</w:t>
            </w:r>
            <w:r>
              <w:rPr>
                <w:sz w:val="18"/>
              </w:rPr>
              <w:t xml:space="preserve">, then the </w:t>
            </w:r>
            <w:r>
              <w:rPr>
                <w:rFonts w:ascii="Consolas" w:hAnsi="Consolas"/>
                <w:color w:val="2F6F9F"/>
                <w:sz w:val="18"/>
              </w:rPr>
              <w:t>SHOW TABLES</w:t>
            </w:r>
            <w:r>
              <w:rPr>
                <w:sz w:val="18"/>
              </w:rPr>
              <w:t xml:space="preserve"> screenshot</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The queries</w:t>
            </w:r>
          </w:p>
        </w:tc>
        <w:tc>
          <w:tcPr>
            <w:tcW w:type="dxa" w:w="3120"/>
          </w:tcPr>
          <w:p>
            <w:pPr>
              <w:spacing w:line="240" w:lineRule="auto"/>
            </w:pPr>
            <w:r>
              <w:rPr>
                <w:sz w:val="18"/>
              </w:rPr>
            </w:r>
            <w:r>
              <w:rPr>
                <w:sz w:val="18"/>
              </w:rPr>
              <w:t>Query screenshots Q3, Q5, Q8</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The workbook</w:t>
            </w:r>
          </w:p>
        </w:tc>
        <w:tc>
          <w:tcPr>
            <w:tcW w:type="dxa" w:w="3120"/>
          </w:tcPr>
          <w:p>
            <w:pPr>
              <w:spacing w:line="240" w:lineRule="auto"/>
            </w:pPr>
            <w:r>
              <w:rPr>
                <w:sz w:val="18"/>
              </w:rPr>
            </w:r>
            <w:r>
              <w:rPr>
                <w:sz w:val="18"/>
              </w:rPr>
              <w:t>Cleaned Data, then a PivotChart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Descriptive statistics</w:t>
            </w:r>
          </w:p>
        </w:tc>
        <w:tc>
          <w:tcPr>
            <w:tcW w:type="dxa" w:w="3120"/>
          </w:tcPr>
          <w:p>
            <w:pPr>
              <w:spacing w:line="240" w:lineRule="auto"/>
            </w:pPr>
            <w:r>
              <w:rPr>
                <w:sz w:val="18"/>
              </w:rPr>
            </w:r>
            <w:r>
              <w:rPr>
                <w:sz w:val="18"/>
              </w:rPr>
              <w:t>The Amount histogram</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Correlation</w:t>
            </w:r>
          </w:p>
        </w:tc>
        <w:tc>
          <w:tcPr>
            <w:tcW w:type="dxa" w:w="3120"/>
          </w:tcPr>
          <w:p>
            <w:pPr>
              <w:spacing w:line="240" w:lineRule="auto"/>
            </w:pPr>
            <w:r>
              <w:rPr>
                <w:sz w:val="18"/>
              </w:rPr>
            </w:r>
            <w:r>
              <w:rPr>
                <w:sz w:val="18"/>
              </w:rPr>
              <w:t>Both scatter plots</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Regression</w:t>
            </w:r>
          </w:p>
        </w:tc>
        <w:tc>
          <w:tcPr>
            <w:tcW w:type="dxa" w:w="3120"/>
          </w:tcPr>
          <w:p>
            <w:pPr>
              <w:spacing w:line="240" w:lineRule="auto"/>
            </w:pPr>
            <w:r>
              <w:rPr>
                <w:sz w:val="18"/>
              </w:rPr>
            </w:r>
            <w:r>
              <w:rPr>
                <w:sz w:val="18"/>
              </w:rPr>
              <w:t>The ToolPak output</w:t>
            </w:r>
          </w:p>
        </w:tc>
      </w:tr>
      <w:tr>
        <w:tc>
          <w:tcPr>
            <w:tcW w:type="dxa" w:w="3120"/>
          </w:tcPr>
          <w:p>
            <w:pPr>
              <w:spacing w:line="240" w:lineRule="auto"/>
            </w:pPr>
            <w:r>
              <w:rPr>
                <w:sz w:val="18"/>
              </w:rPr>
            </w:r>
            <w:r>
              <w:rPr>
                <w:sz w:val="18"/>
              </w:rPr>
              <w:t>4</w:t>
            </w:r>
          </w:p>
        </w:tc>
        <w:tc>
          <w:tcPr>
            <w:tcW w:type="dxa" w:w="3120"/>
          </w:tcPr>
          <w:p>
            <w:pPr>
              <w:spacing w:line="240" w:lineRule="auto"/>
            </w:pPr>
            <w:r>
              <w:rPr>
                <w:sz w:val="18"/>
              </w:rPr>
            </w:r>
            <w:r>
              <w:rPr>
                <w:sz w:val="18"/>
              </w:rPr>
              <w:t>Trend and seasonality</w:t>
            </w:r>
          </w:p>
        </w:tc>
        <w:tc>
          <w:tcPr>
            <w:tcW w:type="dxa" w:w="3120"/>
          </w:tcPr>
          <w:p>
            <w:pPr>
              <w:spacing w:line="240" w:lineRule="auto"/>
            </w:pPr>
            <w:r>
              <w:rPr>
                <w:sz w:val="18"/>
              </w:rPr>
            </w:r>
            <w:r>
              <w:rPr>
                <w:sz w:val="18"/>
              </w:rPr>
              <w:t>Figure 2 with the shading, then the forecast chart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The correction</w:t>
            </w:r>
          </w:p>
        </w:tc>
        <w:tc>
          <w:tcPr>
            <w:tcW w:type="dxa" w:w="3120"/>
          </w:tcPr>
          <w:p>
            <w:pPr>
              <w:spacing w:line="240" w:lineRule="auto"/>
            </w:pPr>
            <w:r>
              <w:rPr>
                <w:sz w:val="18"/>
              </w:rPr>
            </w:r>
            <w:r>
              <w:rPr>
                <w:sz w:val="18"/>
              </w:rPr>
              <w:t>The correction table from the Checkpoint 2 report</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What it means</w:t>
            </w:r>
          </w:p>
        </w:tc>
        <w:tc>
          <w:tcPr>
            <w:tcW w:type="dxa" w:w="3120"/>
          </w:tcPr>
          <w:p>
            <w:pPr>
              <w:spacing w:line="240" w:lineRule="auto"/>
            </w:pPr>
            <w:r>
              <w:rPr>
                <w:sz w:val="18"/>
              </w:rPr>
            </w:r>
            <w:r>
              <w:rPr>
                <w:sz w:val="18"/>
              </w:rPr>
              <w:t>The findings summary</w:t>
            </w:r>
          </w:p>
        </w:tc>
      </w:tr>
      <w:tr>
        <w:tc>
          <w:tcPr>
            <w:tcW w:type="dxa" w:w="3120"/>
          </w:tcPr>
          <w:p>
            <w:pPr>
              <w:spacing w:line="240" w:lineRule="auto"/>
            </w:pPr>
            <w:r>
              <w:rPr>
                <w:sz w:val="18"/>
              </w:rPr>
            </w:r>
            <w:r>
              <w:rPr>
                <w:sz w:val="18"/>
              </w:rPr>
              <w:t>5</w:t>
            </w:r>
          </w:p>
        </w:tc>
        <w:tc>
          <w:tcPr>
            <w:tcW w:type="dxa" w:w="3120"/>
          </w:tcPr>
          <w:p>
            <w:pPr>
              <w:spacing w:line="240" w:lineRule="auto"/>
            </w:pPr>
            <w:r>
              <w:rPr>
                <w:sz w:val="18"/>
              </w:rPr>
            </w:r>
            <w:r>
              <w:rPr>
                <w:sz w:val="18"/>
              </w:rPr>
              <w:t>Close</w:t>
            </w:r>
          </w:p>
        </w:tc>
        <w:tc>
          <w:tcPr>
            <w:tcW w:type="dxa" w:w="3120"/>
          </w:tcPr>
          <w:p>
            <w:pPr>
              <w:spacing w:line="240" w:lineRule="auto"/>
            </w:pPr>
            <w:r>
              <w:rPr>
                <w:sz w:val="18"/>
              </w:rPr>
            </w:r>
            <w:r>
              <w:rPr>
                <w:sz w:val="18"/>
              </w:rPr>
              <w:t>Cover page again, or the team slide</w:t>
            </w:r>
          </w:p>
        </w:tc>
      </w:tr>
    </w:tbl>
    <w:p>
      <w:pPr>
        <w:spacing w:after="200" w:line="240" w:lineRule="auto"/>
        <w:jc w:val="center"/>
      </w:pPr>
      <w:r>
        <w:rPr>
          <w:i/>
          <w:color w:val="7B8994"/>
          <w:sz w:val="20"/>
        </w:rPr>
        <w:t>Table 2. What to have on screen</w:t>
      </w:r>
    </w:p>
    <w:p>
      <w:r>
        <w:br w:type="page"/>
      </w:r>
    </w:p>
    <w:p>
      <w:pPr>
        <w:pStyle w:val="Heading1"/>
      </w:pPr>
      <w:r>
        <w:t>Part 1 — Alber</w:t>
      </w:r>
    </w:p>
    <w:p>
      <w:r>
        <w:rPr>
          <w:i/>
        </w:rPr>
        <w:t>About 3 minutes. Record straight through.</w:t>
      </w:r>
    </w:p>
    <w:p>
      <w:pPr>
        <w:pStyle w:val="Heading2"/>
      </w:pPr>
      <w:r>
        <w:t>Opening</w:t>
      </w:r>
    </w:p>
    <w:p>
      <w:r>
        <w:rPr>
          <w:i/>
        </w:rPr>
        <w:t>On screen: the cover page</w:t>
      </w:r>
    </w:p>
    <w:p>
      <w:r>
        <w:t>Say your name, then go straight into the project:</w:t>
      </w:r>
    </w:p>
    <w:p>
      <w:pPr>
        <w:pStyle w:val="ListBullet"/>
      </w:pPr>
      <w:r>
        <w:t xml:space="preserve">This is our BED 106 Business Analytics mini capstone. Our domain is Retail and Sales Analytics, and our topic is </w:t>
      </w:r>
      <w:r>
        <w:rPr>
          <w:b/>
        </w:rPr>
        <w:t>sales trend analysis</w:t>
      </w:r>
    </w:p>
    <w:p>
      <w:pPr>
        <w:pStyle w:val="ListBullet"/>
      </w:pPr>
      <w:r>
        <w:t xml:space="preserve">What the recording covers: </w:t>
      </w:r>
      <w:r>
        <w:rPr>
          <w:b/>
        </w:rPr>
        <w:t>Checkpoint 1</w:t>
      </w:r>
      <w:r>
        <w:t xml:space="preserve">, where we built a database and asked what happened, and </w:t>
      </w:r>
      <w:r>
        <w:rPr>
          <w:b/>
        </w:rPr>
        <w:t>Checkpoint 2</w:t>
      </w:r>
      <w:r>
        <w:t>, where we took the same data into Excel and asked how strong the evidence is and what can be predicted</w:t>
      </w:r>
    </w:p>
    <w:p>
      <w:pPr>
        <w:pStyle w:val="ListBullet"/>
      </w:pPr>
      <w:r>
        <w:t>One sentence on the dataset: 1,194 transaction lines, March 2020 to March 2025</w:t>
      </w:r>
    </w:p>
    <w:p>
      <w:pPr>
        <w:pStyle w:val="ListBullet"/>
      </w:pPr>
      <w:r>
        <w:t>Then straight into the problem — no need to announce that you are about to start</w:t>
      </w:r>
    </w:p>
    <w:p>
      <w:pPr>
        <w:pStyle w:val="Heading2"/>
      </w:pPr>
      <w:r>
        <w:t>The business problem</w:t>
      </w:r>
    </w:p>
    <w:p>
      <w:r>
        <w:rPr>
          <w:i/>
        </w:rPr>
        <w:t>Task 1.1 · on screen: Figure 1</w:t>
      </w:r>
    </w:p>
    <w:p>
      <w:pPr>
        <w:pStyle w:val="ListBullet"/>
      </w:pPr>
      <w:r>
        <w:t>The subject is a multi-category retailer — electronics, furniture, office supplies — trading across six US states between 2020 and 2025</w:t>
      </w:r>
    </w:p>
    <w:p>
      <w:pPr>
        <w:pStyle w:val="ListBullet"/>
      </w:pPr>
      <w:r>
        <w:t xml:space="preserve">The problem: </w:t>
      </w:r>
      <w:r>
        <w:rPr>
          <w:b/>
        </w:rPr>
        <w:t>the company grew, then stopped.</w:t>
      </w:r>
      <w:r>
        <w:t xml:space="preserve"> On a like-for-like monthly basis revenue rose </w:t>
      </w:r>
      <w:r>
        <w:rPr>
          <w:b/>
        </w:rPr>
        <w:t>30.9%</w:t>
      </w:r>
      <w:r>
        <w:t xml:space="preserve"> from 2020 to the 2022 peak, then fell two years running to finish 2024 </w:t>
      </w:r>
      <w:r>
        <w:rPr>
          <w:b/>
        </w:rPr>
        <w:t>17.6% below</w:t>
      </w:r>
      <w:r>
        <w:t xml:space="preserve"> that peak</w:t>
      </w:r>
    </w:p>
    <w:p>
      <w:pPr>
        <w:pStyle w:val="ListBullet"/>
      </w:pPr>
      <w:r>
        <w:t xml:space="preserve">Now the part that makes this an analytical problem rather than an obvious one. Ask it out loud and answer it: </w:t>
      </w:r>
      <w:r>
        <w:rPr>
          <w:i/>
        </w:rPr>
        <w:t>why does a falling sales figure need a database at all?</w:t>
      </w:r>
      <w:r>
        <w:t xml:space="preserve"> Because of what </w:t>
      </w:r>
      <w:r>
        <w:rPr>
          <w:b/>
        </w:rPr>
        <w:t>didn't</w:t>
      </w:r>
      <w:r>
        <w:t xml:space="preserve"> move. Margin held between </w:t>
      </w:r>
      <w:r>
        <w:rPr>
          <w:b/>
        </w:rPr>
        <w:t>23.97% and 26.93%</w:t>
      </w:r>
      <w:r>
        <w:t xml:space="preserve"> for the whole five years, and average order value stayed between </w:t>
      </w:r>
      <w:r>
        <w:rPr>
          <w:b/>
        </w:rPr>
        <w:t>5,008 and 5,444</w:t>
      </w:r>
    </w:p>
    <w:p>
      <w:pPr>
        <w:pStyle w:val="ListBullet"/>
      </w:pPr>
      <w:r>
        <w:t xml:space="preserve">Had margin collapsed, the answer would be "we discounted too hard" and none of this would be needed. Margin held steady while revenue fell, which means the company is writing </w:t>
      </w:r>
      <w:r>
        <w:rPr>
          <w:b/>
        </w:rPr>
        <w:t>fewer orders</w:t>
      </w:r>
      <w:r>
        <w:t>, not worse ones — and "fewer orders of what, when, and where" is a question a single annual revenue figure cannot answer</w:t>
      </w:r>
    </w:p>
    <w:p>
      <w:pPr>
        <w:pStyle w:val="ListBullet"/>
      </w:pPr>
      <w:r>
        <w:t>The three business questions, which every deliverable maps back to:</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w:t>
            </w:r>
          </w:p>
        </w:tc>
        <w:tc>
          <w:tcPr>
            <w:tcW w:type="dxa" w:w="3120"/>
          </w:tcPr>
          <w:p>
            <w:r>
              <w:rPr>
                <w:b/>
              </w:rPr>
            </w:r>
            <w:r>
              <w:rPr>
                <w:b/>
              </w:rPr>
              <w:t>Question</w:t>
            </w:r>
          </w:p>
        </w:tc>
        <w:tc>
          <w:tcPr>
            <w:tcW w:type="dxa" w:w="3120"/>
          </w:tcPr>
          <w:p>
            <w:r>
              <w:rPr>
                <w:b/>
              </w:rPr>
            </w:r>
            <w:r>
              <w:rPr>
                <w:b/>
              </w:rPr>
              <w:t>Answered by</w:t>
            </w:r>
          </w:p>
        </w:tc>
      </w:tr>
      <w:tr>
        <w:tc>
          <w:tcPr>
            <w:tcW w:type="dxa" w:w="3120"/>
          </w:tcPr>
          <w:p>
            <w:pPr>
              <w:spacing w:line="240" w:lineRule="auto"/>
            </w:pPr>
            <w:r>
              <w:rPr>
                <w:sz w:val="18"/>
              </w:rPr>
            </w:r>
            <w:r>
              <w:rPr>
                <w:sz w:val="18"/>
              </w:rPr>
              <w:t>1</w:t>
            </w:r>
          </w:p>
        </w:tc>
        <w:tc>
          <w:tcPr>
            <w:tcW w:type="dxa" w:w="3120"/>
          </w:tcPr>
          <w:p>
            <w:pPr>
              <w:spacing w:line="240" w:lineRule="auto"/>
            </w:pPr>
            <w:r>
              <w:rPr>
                <w:sz w:val="18"/>
              </w:rPr>
            </w:r>
            <w:r>
              <w:rPr>
                <w:sz w:val="18"/>
              </w:rPr>
              <w:t>How have revenue and profit trended, and is the company still growing?</w:t>
            </w:r>
          </w:p>
        </w:tc>
        <w:tc>
          <w:tcPr>
            <w:tcW w:type="dxa" w:w="3120"/>
          </w:tcPr>
          <w:p>
            <w:pPr>
              <w:spacing w:line="240" w:lineRule="auto"/>
            </w:pPr>
            <w:r>
              <w:rPr>
                <w:sz w:val="18"/>
              </w:rPr>
            </w:r>
            <w:r>
              <w:rPr>
                <w:sz w:val="18"/>
              </w:rPr>
              <w:t>Query 3, and the Checkpoint 2 regression</w:t>
            </w:r>
          </w:p>
        </w:tc>
      </w:tr>
      <w:tr>
        <w:tc>
          <w:tcPr>
            <w:tcW w:type="dxa" w:w="3120"/>
          </w:tcPr>
          <w:p>
            <w:pPr>
              <w:spacing w:line="240" w:lineRule="auto"/>
            </w:pPr>
            <w:r>
              <w:rPr>
                <w:sz w:val="18"/>
              </w:rPr>
            </w:r>
            <w:r>
              <w:rPr>
                <w:sz w:val="18"/>
              </w:rPr>
              <w:t>2</w:t>
            </w:r>
          </w:p>
        </w:tc>
        <w:tc>
          <w:tcPr>
            <w:tcW w:type="dxa" w:w="3120"/>
          </w:tcPr>
          <w:p>
            <w:pPr>
              <w:spacing w:line="240" w:lineRule="auto"/>
            </w:pPr>
            <w:r>
              <w:rPr>
                <w:sz w:val="18"/>
              </w:rPr>
            </w:r>
            <w:r>
              <w:rPr>
                <w:sz w:val="18"/>
              </w:rPr>
              <w:t>Which categories and sub-categories drive the trend?</w:t>
            </w:r>
          </w:p>
        </w:tc>
        <w:tc>
          <w:tcPr>
            <w:tcW w:type="dxa" w:w="3120"/>
          </w:tcPr>
          <w:p>
            <w:pPr>
              <w:spacing w:line="240" w:lineRule="auto"/>
            </w:pPr>
            <w:r>
              <w:rPr>
                <w:sz w:val="18"/>
              </w:rPr>
            </w:r>
            <w:r>
              <w:rPr>
                <w:sz w:val="18"/>
              </w:rPr>
              <w:t>Queries 5 and 7</w:t>
            </w:r>
          </w:p>
        </w:tc>
      </w:tr>
      <w:tr>
        <w:tc>
          <w:tcPr>
            <w:tcW w:type="dxa" w:w="3120"/>
          </w:tcPr>
          <w:p>
            <w:pPr>
              <w:spacing w:line="240" w:lineRule="auto"/>
            </w:pPr>
            <w:r>
              <w:rPr>
                <w:sz w:val="18"/>
              </w:rPr>
            </w:r>
            <w:r>
              <w:rPr>
                <w:sz w:val="18"/>
              </w:rPr>
              <w:t>3</w:t>
            </w:r>
          </w:p>
        </w:tc>
        <w:tc>
          <w:tcPr>
            <w:tcW w:type="dxa" w:w="3120"/>
          </w:tcPr>
          <w:p>
            <w:pPr>
              <w:spacing w:line="240" w:lineRule="auto"/>
            </w:pPr>
            <w:r>
              <w:rPr>
                <w:sz w:val="18"/>
              </w:rPr>
            </w:r>
            <w:r>
              <w:rPr>
                <w:sz w:val="18"/>
              </w:rPr>
              <w:t>When does demand concentrate, and is the pattern the same for every category?</w:t>
            </w:r>
          </w:p>
        </w:tc>
        <w:tc>
          <w:tcPr>
            <w:tcW w:type="dxa" w:w="3120"/>
          </w:tcPr>
          <w:p>
            <w:pPr>
              <w:spacing w:line="240" w:lineRule="auto"/>
            </w:pPr>
            <w:r>
              <w:rPr>
                <w:sz w:val="18"/>
              </w:rPr>
            </w:r>
            <w:r>
              <w:rPr>
                <w:sz w:val="18"/>
              </w:rPr>
              <w:t>Queries 4 and 8</w:t>
            </w:r>
          </w:p>
        </w:tc>
      </w:tr>
    </w:tbl>
    <w:p>
      <w:pPr>
        <w:spacing w:after="200" w:line="240" w:lineRule="auto"/>
        <w:jc w:val="center"/>
      </w:pPr>
      <w:r>
        <w:rPr>
          <w:i/>
          <w:color w:val="7B8994"/>
          <w:sz w:val="20"/>
        </w:rPr>
        <w:t>Table 3. The business problem</w:t>
      </w:r>
    </w:p>
    <w:p>
      <w:pPr>
        <w:pStyle w:val="ListBullet"/>
      </w:pPr>
      <w:r>
        <w:t>Why they matter: the decisions hanging off them are what to stock, when to stock it, and where to put the sales effort. Getting them wrong costs inventory that does not sell and campaigns that land in the wrong quarter</w:t>
      </w:r>
    </w:p>
    <w:p>
      <w:r>
        <w:rPr>
          <w:b/>
        </w:rPr>
        <w:t>End the part on this line:</w:t>
      </w:r>
      <w:r>
        <w:t xml:space="preserve"> none of those questions could be answered until the raw file had been assessed, cleaned and put into a database — which is where Checkpoint 1 starts.</w:t>
      </w:r>
    </w:p>
    <w:p>
      <w:r>
        <w:br w:type="page"/>
      </w:r>
    </w:p>
    <w:p>
      <w:pPr>
        <w:pStyle w:val="Heading1"/>
      </w:pPr>
      <w:r>
        <w:t>Part 2 — Julebeth</w:t>
      </w:r>
    </w:p>
    <w:p>
      <w:r>
        <w:rPr>
          <w:i/>
        </w:rPr>
        <w:t>About 6.5 minutes. Record straight through — the three sections below run on from each other, so treat them as one talk with three topics.</w:t>
      </w:r>
    </w:p>
    <w:p>
      <w:pPr>
        <w:pStyle w:val="Heading2"/>
      </w:pPr>
      <w:r>
        <w:t>The dataset and what was wrong with it</w:t>
      </w:r>
    </w:p>
    <w:p>
      <w:r>
        <w:rPr>
          <w:i/>
        </w:rPr>
        <w:t>Task 1.2 · on screen: the raw CSV, first 15–20 rows</w:t>
      </w:r>
    </w:p>
    <w:p>
      <w:r>
        <w:t>Say your name, then pick the thread up on the file itself: here is the raw export, and here is what was wrong with it.</w:t>
      </w:r>
    </w:p>
    <w:p>
      <w:pPr>
        <w:pStyle w:val="ListBullet"/>
      </w:pPr>
      <w:r>
        <w:t xml:space="preserve">The dataset is a retail sales export, </w:t>
      </w:r>
      <w:r>
        <w:rPr>
          <w:b/>
        </w:rPr>
        <w:t>1,194 transaction lines and 12 columns</w:t>
      </w:r>
      <w:r>
        <w:t xml:space="preserve">, covering </w:t>
      </w:r>
      <w:r>
        <w:rPr>
          <w:b/>
        </w:rPr>
        <w:t>22 March 2020 to 15 March 2025</w:t>
      </w:r>
      <w:r>
        <w:t>. The brief asks for at least 200 rows</w:t>
      </w:r>
    </w:p>
    <w:p>
      <w:pPr>
        <w:pStyle w:val="ListBullet"/>
      </w:pPr>
      <w:r>
        <w:t xml:space="preserve">The word to stress: the </w:t>
      </w:r>
      <w:r>
        <w:rPr>
          <w:b/>
        </w:rPr>
        <w:t>grain</w:t>
      </w:r>
      <w:r>
        <w:t xml:space="preserve"> is one row per </w:t>
      </w:r>
      <w:r>
        <w:rPr>
          <w:i/>
        </w:rPr>
        <w:t>product line on an order</w:t>
      </w:r>
      <w:r>
        <w:t>, not one row per order. Everything downstream depends on that</w:t>
      </w:r>
    </w:p>
    <w:p>
      <w:pPr>
        <w:pStyle w:val="ListBullet"/>
      </w:pPr>
      <w:r>
        <w:t xml:space="preserve">A quality assessment was run before anything was touched, and it found </w:t>
      </w:r>
      <w:r>
        <w:rPr>
          <w:b/>
        </w:rPr>
        <w:t>five problems</w:t>
      </w:r>
      <w:r>
        <w:t>, in order of how much trouble they caused</w:t>
      </w:r>
    </w:p>
    <w:p>
      <w:r>
        <w:rPr>
          <w:b/>
        </w:rPr>
        <w:t>One — `Order ID` is not a primary key.</w:t>
      </w:r>
      <w:r>
        <w:t xml:space="preserve"> 1,194 rows, only </w:t>
      </w:r>
      <w:r>
        <w:rPr>
          <w:b/>
        </w:rPr>
        <w:t>547 distinct order IDs</w:t>
      </w:r>
      <w:r>
        <w:t xml:space="preserve">, and the repeats are not duplicate rows: the same ID appears on different dates, for different customers. So it does not identify an order either. It was kept as a plain attribute and a surrogate key, </w:t>
      </w:r>
      <w:r>
        <w:rPr>
          <w:rFonts w:ascii="Consolas" w:hAnsi="Consolas"/>
          <w:color w:val="2F6F9F"/>
          <w:sz w:val="18"/>
        </w:rPr>
        <w:t>sale_id</w:t>
      </w:r>
      <w:r>
        <w:t>, was issued instead.</w:t>
      </w:r>
    </w:p>
    <w:p>
      <w:r>
        <w:t xml:space="preserve">Then answer the obvious objection before it is asked — </w:t>
      </w:r>
      <w:r>
        <w:rPr>
          <w:i/>
        </w:rPr>
        <w:t>why not repair it?</w:t>
      </w:r>
      <w:r>
        <w:t xml:space="preserve"> Because repairing it means deciding which of two rows sharing an ID is the real one, and there is no evidence for that decision. Inventing that evidence is data fabrication, which the brief says is grounds for a failing mark. Documenting the defect costs nothing analytically, because no question in this project needs order identity.</w:t>
      </w:r>
    </w:p>
    <w:p>
      <w:r>
        <w:rPr>
          <w:b/>
        </w:rPr>
        <w:t>Two — customer name is not an identifier either.</w:t>
      </w:r>
      <w:r>
        <w:t xml:space="preserve"> </w:t>
      </w:r>
      <w:r>
        <w:rPr>
          <w:b/>
        </w:rPr>
        <w:t>807 customers</w:t>
      </w:r>
      <w:r>
        <w:t xml:space="preserve"> resolve from </w:t>
      </w:r>
      <w:r>
        <w:rPr>
          <w:b/>
        </w:rPr>
        <w:t>802 distinct names</w:t>
      </w:r>
      <w:r>
        <w:t>, because five names appear in more than one city. The customer key is the pair (name, city).</w:t>
      </w:r>
    </w:p>
    <w:p>
      <w:r>
        <w:rPr>
          <w:b/>
        </w:rPr>
        <w:t>Three — `Year-Month` is redundant.</w:t>
      </w:r>
      <w:r>
        <w:t xml:space="preserve"> It is derivable from the date, so it does not belong in a normalised schema. It was rebuilt in the </w:t>
      </w:r>
      <w:r>
        <w:rPr>
          <w:rFonts w:ascii="Consolas" w:hAnsi="Consolas"/>
          <w:color w:val="2F6F9F"/>
          <w:sz w:val="18"/>
        </w:rPr>
        <w:t>dates</w:t>
      </w:r>
      <w:r>
        <w:t xml:space="preserve"> table.</w:t>
      </w:r>
    </w:p>
    <w:p>
      <w:r>
        <w:rPr>
          <w:b/>
        </w:rPr>
        <w:t>Four — both ends of the file are partial.</w:t>
      </w:r>
      <w:r>
        <w:t xml:space="preserve"> It starts 22 March 2020 and stops 15 March 2025. Say that this matters more than it sounds and that it comes back later — it is where the project's one significant error came from.</w:t>
      </w:r>
    </w:p>
    <w:p>
      <w:r>
        <w:rPr>
          <w:b/>
        </w:rPr>
        <w:t>Five — the dataset is synthetic.</w:t>
      </w:r>
      <w:r>
        <w:t xml:space="preserve"> Say this plainly and do not bury it. Five machine-checked signals:</w:t>
      </w:r>
    </w:p>
    <w:p>
      <w:pPr>
        <w:pStyle w:val="ListBullet"/>
      </w:pPr>
      <w:r>
        <w:t>Not one loss-making line in five years — no real retailer has that</w:t>
      </w:r>
    </w:p>
    <w:p>
      <w:pPr>
        <w:pStyle w:val="ListBullet"/>
      </w:pPr>
      <w:r>
        <w:t>22 of the 802 names end in credential suffixes like "MD" or "DDS", which is a Faker library artefact</w:t>
      </w:r>
    </w:p>
    <w:p>
      <w:pPr>
        <w:pStyle w:val="ListBullet"/>
      </w:pPr>
      <w:r>
        <w:t>US cities paired with UPI and EMI payment methods, which are Indian payment rails</w:t>
      </w:r>
    </w:p>
    <w:p>
      <w:pPr>
        <w:pStyle w:val="ListBullet"/>
      </w:pPr>
      <w:r>
        <w:t>The payment mix is near-uniform, 206 to 260 across every method</w:t>
      </w:r>
    </w:p>
    <w:p>
      <w:pPr>
        <w:pStyle w:val="ListBullet"/>
      </w:pPr>
      <w:r>
        <w:t>The Amount histogram is flat, not normal — real transaction values are right-skewed</w:t>
      </w:r>
    </w:p>
    <w:p>
      <w:r>
        <w:t xml:space="preserve">Then the point that matters: </w:t>
      </w:r>
      <w:r>
        <w:rPr>
          <w:b/>
        </w:rPr>
        <w:t>none of it was fixed.</w:t>
      </w:r>
      <w:r>
        <w:t xml:space="preserve"> Fixing it would mean inventing numbers. It was stated, proved, and carried into every conclusion as a limitation. The method is unaffected — every query and every statistic in this project would run identically against a real export.</w:t>
      </w:r>
    </w:p>
    <w:p>
      <w:r>
        <w:rPr>
          <w:i/>
        </w:rPr>
        <w:t>Move straight on:</w:t>
      </w:r>
      <w:r>
        <w:t xml:space="preserve"> with the defects documented, the next step was turning that flat file into a proper database.</w:t>
      </w:r>
    </w:p>
    <w:p>
      <w:pPr>
        <w:pStyle w:val="Heading2"/>
      </w:pPr>
      <w:r>
        <w:t>The database</w:t>
      </w:r>
    </w:p>
    <w:p>
      <w:r>
        <w:rPr>
          <w:i/>
        </w:rPr>
        <w:t>Task 1.3 · on screen: the ERD, then `SHOW TABLES`</w:t>
      </w:r>
    </w:p>
    <w:p>
      <w:pPr>
        <w:pStyle w:val="ListBullet"/>
      </w:pPr>
      <w:r>
        <w:t xml:space="preserve">The flat file was normalised into a </w:t>
      </w:r>
      <w:r>
        <w:rPr>
          <w:b/>
        </w:rPr>
        <w:t>star schema</w:t>
      </w:r>
      <w:r>
        <w:t xml:space="preserve">: one fact table surrounded by seven dimensions, </w:t>
      </w:r>
      <w:r>
        <w:rPr>
          <w:b/>
        </w:rPr>
        <w:t>eight tables</w:t>
      </w:r>
      <w:r>
        <w:t xml:space="preserve"> in total</w:t>
      </w:r>
    </w:p>
    <w:p>
      <w:pPr>
        <w:pStyle w:val="ListBullet"/>
      </w:pPr>
      <w:r>
        <w:rPr>
          <w:rFonts w:ascii="Consolas" w:hAnsi="Consolas"/>
          <w:color w:val="2F6F9F"/>
          <w:sz w:val="18"/>
        </w:rPr>
        <w:t>sales</w:t>
      </w:r>
      <w:r>
        <w:t xml:space="preserve"> is the fact table, one row per transaction line. Around it: </w:t>
      </w:r>
      <w:r>
        <w:rPr>
          <w:rFonts w:ascii="Consolas" w:hAnsi="Consolas"/>
          <w:color w:val="2F6F9F"/>
          <w:sz w:val="18"/>
        </w:rPr>
        <w:t>customers</w:t>
      </w:r>
      <w:r>
        <w:t xml:space="preserve">, </w:t>
      </w:r>
      <w:r>
        <w:rPr>
          <w:rFonts w:ascii="Consolas" w:hAnsi="Consolas"/>
          <w:color w:val="2F6F9F"/>
          <w:sz w:val="18"/>
        </w:rPr>
        <w:t>cities</w:t>
      </w:r>
      <w:r>
        <w:t xml:space="preserve">, </w:t>
      </w:r>
      <w:r>
        <w:rPr>
          <w:rFonts w:ascii="Consolas" w:hAnsi="Consolas"/>
          <w:color w:val="2F6F9F"/>
          <w:sz w:val="18"/>
        </w:rPr>
        <w:t>states</w:t>
      </w:r>
      <w:r>
        <w:t xml:space="preserve">, </w:t>
      </w:r>
      <w:r>
        <w:rPr>
          <w:rFonts w:ascii="Consolas" w:hAnsi="Consolas"/>
          <w:color w:val="2F6F9F"/>
          <w:sz w:val="18"/>
        </w:rPr>
        <w:t>categories</w:t>
      </w:r>
      <w:r>
        <w:t xml:space="preserve">, </w:t>
      </w:r>
      <w:r>
        <w:rPr>
          <w:rFonts w:ascii="Consolas" w:hAnsi="Consolas"/>
          <w:color w:val="2F6F9F"/>
          <w:sz w:val="18"/>
        </w:rPr>
        <w:t>sub_categories</w:t>
      </w:r>
      <w:r>
        <w:t xml:space="preserve">, </w:t>
      </w:r>
      <w:r>
        <w:rPr>
          <w:rFonts w:ascii="Consolas" w:hAnsi="Consolas"/>
          <w:color w:val="2F6F9F"/>
          <w:sz w:val="18"/>
        </w:rPr>
        <w:t>payment_modes</w:t>
      </w:r>
      <w:r>
        <w:t xml:space="preserve"> and </w:t>
      </w:r>
      <w:r>
        <w:rPr>
          <w:rFonts w:ascii="Consolas" w:hAnsi="Consolas"/>
          <w:color w:val="2F6F9F"/>
          <w:sz w:val="18"/>
        </w:rPr>
        <w:t>dates</w:t>
      </w:r>
    </w:p>
    <w:p>
      <w:pPr>
        <w:pStyle w:val="ListBullet"/>
      </w:pPr>
      <w:r>
        <w:t xml:space="preserve">Ask it out loud — </w:t>
      </w:r>
      <w:r>
        <w:rPr>
          <w:i/>
        </w:rPr>
        <w:t>why a star, and not the one table we started with?</w:t>
      </w:r>
      <w:r>
        <w:t xml:space="preserve"> Three reasons:</w:t>
      </w:r>
    </w:p>
    <w:p>
      <w:r>
        <w:rPr>
          <w:b/>
        </w:rPr>
        <w:t>Consistency.</w:t>
      </w:r>
      <w:r>
        <w:t xml:space="preserve"> In the flat file a category name is repeated on every row that uses it, so a typo in one row creates a category that does not exist. In the star the name lives once in </w:t>
      </w:r>
      <w:r>
        <w:rPr>
          <w:rFonts w:ascii="Consolas" w:hAnsi="Consolas"/>
          <w:color w:val="2F6F9F"/>
          <w:sz w:val="18"/>
        </w:rPr>
        <w:t>categories</w:t>
      </w:r>
      <w:r>
        <w:t xml:space="preserve"> and the fact table carries an integer key. A typo becomes impossible rather than merely unlikely.</w:t>
      </w:r>
    </w:p>
    <w:p>
      <w:r>
        <w:rPr>
          <w:b/>
        </w:rPr>
        <w:t>The brief asks for it.</w:t>
      </w:r>
      <w:r>
        <w:t xml:space="preserve"> Task 1.3 requires at least two related tables with proper primary and foreign keys. There are </w:t>
      </w:r>
      <w:r>
        <w:rPr>
          <w:b/>
        </w:rPr>
        <w:t>eight tables, eight primary keys, seven foreign keys, six unique constraints and four check constraints</w:t>
      </w:r>
      <w:r>
        <w:t xml:space="preserve"> — and the constraints were tested to confirm they actually reject bad rows, rather than assumed to.</w:t>
      </w:r>
    </w:p>
    <w:p>
      <w:r>
        <w:rPr>
          <w:b/>
        </w:rPr>
        <w:t>The queries need it.</w:t>
      </w:r>
      <w:r>
        <w:t xml:space="preserve"> The category trend question needs category and date on the same row as the amount, and a star gives you that in one join.</w:t>
      </w:r>
    </w:p>
    <w:p>
      <w:r>
        <w:t xml:space="preserve">Then the </w:t>
      </w:r>
      <w:r>
        <w:rPr>
          <w:rFonts w:ascii="Consolas" w:hAnsi="Consolas"/>
          <w:color w:val="2F6F9F"/>
          <w:sz w:val="18"/>
        </w:rPr>
        <w:t>dates</w:t>
      </w:r>
      <w:r>
        <w:t xml:space="preserve"> table, which looks like overkill until you try to write the queries. Two reasons it earns its place:</w:t>
      </w:r>
    </w:p>
    <w:p>
      <w:pPr>
        <w:pStyle w:val="ListBullet"/>
      </w:pPr>
      <w:r>
        <w:rPr>
          <w:b/>
        </w:rPr>
        <w:t>Portability.</w:t>
      </w:r>
      <w:r>
        <w:t xml:space="preserve"> </w:t>
      </w:r>
      <w:r>
        <w:rPr>
          <w:rFonts w:ascii="Consolas" w:hAnsi="Consolas"/>
          <w:color w:val="2F6F9F"/>
          <w:sz w:val="18"/>
        </w:rPr>
        <w:t>YEAR()</w:t>
      </w:r>
      <w:r>
        <w:t xml:space="preserve"> and </w:t>
      </w:r>
      <w:r>
        <w:rPr>
          <w:rFonts w:ascii="Consolas" w:hAnsi="Consolas"/>
          <w:color w:val="2F6F9F"/>
          <w:sz w:val="18"/>
        </w:rPr>
        <w:t>strftime()</w:t>
      </w:r>
      <w:r>
        <w:t xml:space="preserve"> are never called, so the same query file runs unchanged on MySQL and on SQLite, and that was verified</w:t>
      </w:r>
    </w:p>
    <w:p>
      <w:pPr>
        <w:pStyle w:val="ListBullet"/>
      </w:pPr>
      <w:r>
        <w:rPr>
          <w:b/>
        </w:rPr>
        <w:t>The completeness flags.</w:t>
      </w:r>
      <w:r>
        <w:t xml:space="preserve"> It carries </w:t>
      </w:r>
      <w:r>
        <w:rPr>
          <w:rFonts w:ascii="Consolas" w:hAnsi="Consolas"/>
          <w:color w:val="2F6F9F"/>
          <w:sz w:val="18"/>
        </w:rPr>
        <w:t>is_complete_month</w:t>
      </w:r>
      <w:r>
        <w:t xml:space="preserve"> and </w:t>
      </w:r>
      <w:r>
        <w:rPr>
          <w:rFonts w:ascii="Consolas" w:hAnsi="Consolas"/>
          <w:color w:val="2F6F9F"/>
          <w:sz w:val="18"/>
        </w:rPr>
        <w:t>is_complete_year</w:t>
      </w:r>
      <w:r>
        <w:t>, which raw dates cannot. Those flags are the fix for problem four, and they are what stops anyone comparing a nine-month 2020 against a full 2021</w:t>
      </w:r>
    </w:p>
    <w:p>
      <w:r>
        <w:t xml:space="preserve">One trap worth telling them about, because it cost real time: </w:t>
      </w:r>
      <w:r>
        <w:rPr>
          <w:b/>
        </w:rPr>
        <w:t>`year_month` is a reserved word in MySQL.</w:t>
      </w:r>
      <w:r>
        <w:t xml:space="preserve"> </w:t>
      </w:r>
      <w:r>
        <w:rPr>
          <w:rFonts w:ascii="Consolas" w:hAnsi="Consolas"/>
          <w:color w:val="2F6F9F"/>
          <w:sz w:val="18"/>
        </w:rPr>
        <w:t>CREATE TABLE dates</w:t>
      </w:r>
      <w:r>
        <w:t xml:space="preserve"> failed outright with a syntax error until it was backticked — and that only surfaced because a real MySQL server was installed and the import actually run, rather than the file being assumed correct.</w:t>
      </w:r>
    </w:p>
    <w:p>
      <w:r>
        <w:t xml:space="preserve">Finish the section on the loader: the whole thing loads from </w:t>
      </w:r>
      <w:r>
        <w:rPr>
          <w:b/>
        </w:rPr>
        <w:t>one file</w:t>
      </w:r>
      <w:r>
        <w:t xml:space="preserve">, </w:t>
      </w:r>
      <w:r>
        <w:rPr>
          <w:rFonts w:ascii="Consolas" w:hAnsi="Consolas"/>
          <w:color w:val="2F6F9F"/>
          <w:sz w:val="18"/>
        </w:rPr>
        <w:t>02_mysql_full_import.sql</w:t>
      </w:r>
      <w:r>
        <w:t>, which creates the database, all eight tables and all the data, and ends with a verification block whose last row must read 1,194 rows, 6,182,639.00 in revenue, 547 order IDs and 57 complete months, with zero orphaned rows.</w:t>
      </w:r>
    </w:p>
    <w:p>
      <w:r>
        <w:rPr>
          <w:i/>
        </w:rPr>
        <w:t>Move straight on:</w:t>
      </w:r>
      <w:r>
        <w:t xml:space="preserve"> with the database built, the questions could finally be asked.</w:t>
      </w:r>
    </w:p>
    <w:p>
      <w:pPr>
        <w:pStyle w:val="Heading2"/>
      </w:pPr>
      <w:r>
        <w:t>The eight queries</w:t>
      </w:r>
    </w:p>
    <w:p>
      <w:r>
        <w:rPr>
          <w:i/>
        </w:rPr>
        <w:t>Task 1.4 · on screen: Q3, Q5 and Q8 screenshots</w:t>
      </w:r>
    </w:p>
    <w:p>
      <w:pPr>
        <w:pStyle w:val="ListBullet"/>
      </w:pPr>
      <w:r>
        <w:t xml:space="preserve">Eight queries in four groups: two basic retrievals with </w:t>
      </w:r>
      <w:r>
        <w:rPr>
          <w:rFonts w:ascii="Consolas" w:hAnsi="Consolas"/>
          <w:color w:val="2F6F9F"/>
          <w:sz w:val="18"/>
        </w:rPr>
        <w:t>WHERE</w:t>
      </w:r>
      <w:r>
        <w:t xml:space="preserve"> and </w:t>
      </w:r>
      <w:r>
        <w:rPr>
          <w:rFonts w:ascii="Consolas" w:hAnsi="Consolas"/>
          <w:color w:val="2F6F9F"/>
          <w:sz w:val="18"/>
        </w:rPr>
        <w:t>ORDER BY</w:t>
      </w:r>
      <w:r>
        <w:t xml:space="preserve">, two aggregates with </w:t>
      </w:r>
      <w:r>
        <w:rPr>
          <w:rFonts w:ascii="Consolas" w:hAnsi="Consolas"/>
          <w:color w:val="2F6F9F"/>
          <w:sz w:val="18"/>
        </w:rPr>
        <w:t>GROUP BY</w:t>
      </w:r>
      <w:r>
        <w:t>, two multi-table joins — each joining four tables — and two business-insight queries</w:t>
      </w:r>
    </w:p>
    <w:p>
      <w:pPr>
        <w:pStyle w:val="ListBullet"/>
      </w:pPr>
      <w:r>
        <w:t>Skip the mechanics; go to what they found, which is four things</w:t>
      </w:r>
    </w:p>
    <w:p>
      <w:r>
        <w:rPr>
          <w:b/>
        </w:rPr>
        <w:t>Finding one — growth stopped in 2022, and in a specific way.</w:t>
      </w:r>
      <w:r>
        <w:t xml:space="preserve"> Query 3 aggregates by year, but on a </w:t>
      </w:r>
      <w:r>
        <w:rPr>
          <w:b/>
        </w:rPr>
        <w:t>per-month</w:t>
      </w:r>
      <w:r>
        <w:t xml:space="preserve"> basis so the partial years cannot distort it. Revenue per month went </w:t>
      </w:r>
      <w:r>
        <w:rPr>
          <w:b/>
        </w:rPr>
        <w:t>92,934 in 2020 → 121,648 at the 2022 peak → 100,207 in 2024</w:t>
      </w:r>
      <w:r>
        <w:t>. Meanwhile margin never left the 24-to-27% band and average order value never left the 5,008-to-5,444 band. That combination is the whole diagnosis: fewer orders, not cheaper or less profitable ones — which points at demand generation rather than at pricing.</w:t>
      </w:r>
    </w:p>
    <w:p>
      <w:r>
        <w:rPr>
          <w:b/>
        </w:rPr>
        <w:t>Finding two — one sub-category explains most of the gap.</w:t>
      </w:r>
      <w:r>
        <w:t xml:space="preserve"> Queries 5 and 7 break the trend down. </w:t>
      </w:r>
      <w:r>
        <w:rPr>
          <w:b/>
        </w:rPr>
        <w:t>Printers lost 136,865 between 2023 and 2024, a 71.0% collapse</w:t>
      </w:r>
      <w:r>
        <w:t xml:space="preserve"> — that single line item is over half the entire peak-to-2024 gap. Every Electronics sub-category fell, and the category as a whole is down </w:t>
      </w:r>
      <w:r>
        <w:rPr>
          <w:b/>
        </w:rPr>
        <w:t>40.8%</w:t>
      </w:r>
      <w:r>
        <w:t xml:space="preserve">. Every Office Supplies sub-category grew; </w:t>
      </w:r>
      <w:r>
        <w:rPr>
          <w:b/>
        </w:rPr>
        <w:t>Paper is up 85,689, or 149.4%</w:t>
      </w:r>
      <w:r>
        <w:t>.</w:t>
      </w:r>
    </w:p>
    <w:p>
      <w:r>
        <w:t>Say why that matters: it is not a general slowdown. Two opposite trends are running at once, and the company-wide figure is their average, which describes neither. That is the single most useful thing Checkpoint 1 produced.</w:t>
      </w:r>
    </w:p>
    <w:p>
      <w:r>
        <w:rPr>
          <w:b/>
        </w:rPr>
        <w:t>Finding three — seasonality is category-specific.</w:t>
      </w:r>
      <w:r>
        <w:t xml:space="preserve"> Queries 4 and 8. The blended figure says Q4 is the peak quarter. Split it out and Electronics actually peaks in </w:t>
      </w:r>
      <w:r>
        <w:rPr>
          <w:b/>
        </w:rPr>
        <w:t>Q2, at 30.79%</w:t>
      </w:r>
      <w:r>
        <w:t xml:space="preserve"> of its annual revenue, while Furniture peaks in Q4 at </w:t>
      </w:r>
      <w:r>
        <w:rPr>
          <w:b/>
        </w:rPr>
        <w:t>30.84%</w:t>
      </w:r>
      <w:r>
        <w:t xml:space="preserve"> and Office Supplies in Q4 at </w:t>
      </w:r>
      <w:r>
        <w:rPr>
          <w:b/>
        </w:rPr>
        <w:t>32.16%</w:t>
      </w:r>
      <w:r>
        <w:t>. So a single blended planning curve is wrong for all three categories — it over-stocks Electronics in Q4 and under-stocks it in Q2.</w:t>
      </w:r>
    </w:p>
    <w:p>
      <w:r>
        <w:rPr>
          <w:b/>
        </w:rPr>
        <w:t>Finding four — geography is not a factor.</w:t>
      </w:r>
      <w:r>
        <w:t xml:space="preserve"> Query 6. Across five years, state revenue spans only </w:t>
      </w:r>
      <w:r>
        <w:rPr>
          <w:b/>
        </w:rPr>
        <w:t>28%</w:t>
      </w:r>
      <w:r>
        <w:t xml:space="preserve"> between highest and lowest, with no state trending against the others. Not every finding has to be a discovery — this one tells the business where </w:t>
      </w:r>
      <w:r>
        <w:rPr>
          <w:i/>
        </w:rPr>
        <w:t>not</w:t>
      </w:r>
      <w:r>
        <w:t xml:space="preserve"> to spend its analytical effort.</w:t>
      </w:r>
    </w:p>
    <w:p>
      <w:r>
        <w:rPr>
          <w:b/>
        </w:rPr>
        <w:t>End the part on this line:</w:t>
      </w:r>
      <w:r>
        <w:t xml:space="preserve"> that was Checkpoint 1 — what happened. Checkpoint 2 takes the same data into Excel and asks how strong the evidence is, and what can be predicted.</w:t>
      </w:r>
    </w:p>
    <w:p>
      <w:r>
        <w:br w:type="page"/>
      </w:r>
    </w:p>
    <w:p>
      <w:pPr>
        <w:pStyle w:val="Heading1"/>
      </w:pPr>
      <w:r>
        <w:t>Part 3 — Alber</w:t>
      </w:r>
    </w:p>
    <w:p>
      <w:r>
        <w:rPr>
          <w:i/>
        </w:rPr>
        <w:t>About 1.5 minutes. A short bridge between the two checkpoints — no need to say your name again.</w:t>
      </w:r>
    </w:p>
    <w:p>
      <w:pPr>
        <w:pStyle w:val="Heading2"/>
      </w:pPr>
      <w:r>
        <w:t>The workbook</w:t>
      </w:r>
    </w:p>
    <w:p>
      <w:r>
        <w:rPr>
          <w:i/>
        </w:rPr>
        <w:t>Task 2.1 · on screen: Cleaned Data, then a PivotChart</w:t>
      </w:r>
    </w:p>
    <w:p>
      <w:r>
        <w:t>Pick the thread up: the first thing Checkpoint 2 needed was the workbook itself, built on the same dataset the brief requires.</w:t>
      </w:r>
    </w:p>
    <w:p>
      <w:pPr>
        <w:pStyle w:val="ListBullet"/>
      </w:pPr>
      <w:r>
        <w:t xml:space="preserve">The workbook has </w:t>
      </w:r>
      <w:r>
        <w:rPr>
          <w:b/>
        </w:rPr>
        <w:t>thirteen sheets</w:t>
      </w:r>
    </w:p>
    <w:p>
      <w:pPr>
        <w:pStyle w:val="ListBullet"/>
      </w:pPr>
      <w:r>
        <w:t xml:space="preserve">The one design decision worth defending: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there are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a cell is edited that should not have been, the workbook says so</w:t>
      </w:r>
    </w:p>
    <w:p>
      <w:r>
        <w:rPr>
          <w:b/>
        </w:rPr>
        <w:t>End the part on this line:</w:t>
      </w:r>
      <w:r>
        <w:t xml:space="preserve"> with the data laid out that way and checked, the statistics could be run on it.</w:t>
      </w:r>
    </w:p>
    <w:p>
      <w:r>
        <w:br w:type="page"/>
      </w:r>
    </w:p>
    <w:p>
      <w:pPr>
        <w:pStyle w:val="Heading1"/>
      </w:pPr>
      <w:r>
        <w:t>Part 4 — Mardy</w:t>
      </w:r>
    </w:p>
    <w:p>
      <w:r>
        <w:rPr>
          <w:i/>
        </w:rPr>
        <w:t>About 6.5 minutes. Record straight through — four topics, one continuous talk.</w:t>
      </w:r>
    </w:p>
    <w:p>
      <w:pPr>
        <w:pStyle w:val="Heading2"/>
      </w:pPr>
      <w:r>
        <w:t>Descriptive statistics</w:t>
      </w:r>
    </w:p>
    <w:p>
      <w:r>
        <w:rPr>
          <w:i/>
        </w:rPr>
        <w:t>Task 2.2 · on screen: the Amount histogram</w:t>
      </w:r>
    </w:p>
    <w:p>
      <w:r>
        <w:t>Say your name, then pick the thread up: the first thing asked of that data was what it looks like.</w:t>
      </w:r>
    </w:p>
    <w:p>
      <w:pPr>
        <w:pStyle w:val="ListBullet"/>
      </w:pPr>
      <w:r>
        <w:t>Three numerical variables — Amount, Profit and Quantity — with mean, median, mode, standard deviation, variance, range, quartiles, IQR and coefficient of variation for each, plus a frequency distribution and a histogram</w:t>
      </w:r>
    </w:p>
    <w:p>
      <w:pPr>
        <w:pStyle w:val="ListBullet"/>
      </w:pPr>
      <w:r>
        <w:t>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shapes what the dashboard should be built on.</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the descriptive statistics independently confirm the synthetic-data conclusion from Checkpoint 1 — reported as evidence rather than hidden.</w:t>
      </w:r>
    </w:p>
    <w:p>
      <w:pPr>
        <w:pStyle w:val="Heading2"/>
      </w:pPr>
      <w:r>
        <w:t>Correlation</w:t>
      </w:r>
    </w:p>
    <w:p>
      <w:r>
        <w:rPr>
          <w:i/>
        </w:rPr>
        <w:t>Task 2.3 · on screen: both scatter plots</w:t>
      </w:r>
    </w:p>
    <w:p>
      <w:pPr>
        <w:pStyle w:val="ListBullet"/>
      </w:pPr>
      <w:r>
        <w:t>Two required pairs plus a third for support — Pearson's r, with scatter plots and fitted trendlines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the null hypothesis that the true correlation is zero cannot be rejected. Stress that this is a </w:t>
      </w:r>
      <w:r>
        <w:rPr>
          <w:b/>
        </w:rPr>
        <w:t>negative result being kept</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coefficients of variation a moment ago, reached a different way.</w:t>
      </w:r>
    </w:p>
    <w:p>
      <w:r>
        <w:t xml:space="preserve">Then the caveat, said explicitly: </w:t>
      </w:r>
      <w:r>
        <w:rPr>
          <w:b/>
        </w:rPr>
        <w:t>correlation is not causation.</w:t>
      </w:r>
      <w:r>
        <w:t xml:space="preserve"> Order count and revenue could both be driven by something else — market conditions, a campaign not visible in this data. What can be said is that the association is strong and consistent over 57 months, not that one causes the other.</w:t>
      </w:r>
    </w:p>
    <w:p>
      <w:pPr>
        <w:pStyle w:val="Heading2"/>
      </w:pPr>
      <w:r>
        <w:t>Regression</w:t>
      </w:r>
    </w:p>
    <w:p>
      <w:r>
        <w:rPr>
          <w:i/>
        </w:rPr>
        <w:t>Task 2.4 · on screen: the ToolPak output</w:t>
      </w:r>
    </w:p>
    <w:p>
      <w:pPr>
        <w:pStyle w:val="ListBullet"/>
      </w:pPr>
      <w:r>
        <w:t>Monthly revenue regressed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it is not interpreted</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 of the whole recording.</w:t>
      </w:r>
    </w:p>
    <w:p>
      <w:r>
        <w:t xml:space="preserve">Close the section with limitations — six are listed; name the three that matter: single predictor, so it says nothing about </w:t>
      </w:r>
      <w:r>
        <w:rPr>
          <w:i/>
        </w:rPr>
        <w:t>why</w:t>
      </w:r>
      <w:r>
        <w:t xml:space="preserve"> orders fell; fitted on 57 monthly points, which is not many; and it should not be extrapolated beyond the observed range of order counts.</w:t>
      </w:r>
    </w:p>
    <w:p>
      <w:pPr>
        <w:pStyle w:val="Heading2"/>
      </w:pPr>
      <w:r>
        <w:t>Trend and seasonality</w:t>
      </w:r>
    </w:p>
    <w:p>
      <w:r>
        <w:rPr>
          <w:i/>
        </w:rPr>
        <w:t>Task 2.5 · on screen: Figure 2 with the shading, then the forecast chart</w:t>
      </w:r>
    </w:p>
    <w:p>
      <w:r>
        <w:t>This is the section the topic is named after. Be precise about what was and was not found, and do not rush the middle of it.</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raise the obvious question and answer it: </w:t>
      </w:r>
      <w:r>
        <w:rPr>
          <w:i/>
        </w:rPr>
        <w:t>so why is there no growth rate in the forecast?</w:t>
      </w:r>
      <w:r>
        <w:t xml:space="preserve"> Because one was tested for and there is not a single one. A straight line fitted across all 57 months explains </w:t>
      </w:r>
      <w:r>
        <w:rPr>
          <w:b/>
        </w:rPr>
        <w:t>under 1% of the variation — R² = 0.0078, p = 0.515.</w:t>
      </w:r>
      <w:r>
        <w:t xml:space="preserve"> It was run on four different windows and gave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that cannot be demonstrated, is the correct handling. Projecting one anyway would be inventing a number</w:t>
      </w:r>
    </w:p>
    <w:p>
      <w:pPr>
        <w:pStyle w:val="ListBullet"/>
      </w:pPr>
      <w:r>
        <w:t xml:space="preserve">So the forecast is built from </w:t>
      </w:r>
      <w:r>
        <w:rPr>
          <w:b/>
        </w:rPr>
        <w:t>level and seasonality</w:t>
      </w:r>
      <w:r>
        <w:t xml:space="preserve"> instead. Monthly seasonal indices were computed — </w:t>
      </w:r>
      <w:r>
        <w:rPr>
          <w:b/>
        </w:rPr>
        <w:t>January 0.679, October 1.229, December 1.273</w:t>
      </w:r>
      <w:r>
        <w:t xml:space="preserve"> — and applied to the recent level to project the six months from January to June 2025</w:t>
      </w:r>
    </w:p>
    <w:p>
      <w:r>
        <w:t>Then the honest check, which is the part most worth having on the recording:</w:t>
      </w:r>
    </w:p>
    <w:p>
      <w:pPr>
        <w:pStyle w:val="ListBullet"/>
      </w:pPr>
      <w:r>
        <w:t xml:space="preserve">The two months that could be checked were held out, and the seasonal forecast was compared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tested</w:t>
      </w:r>
    </w:p>
    <w:p>
      <w:pPr>
        <w:pStyle w:val="ListBullet"/>
      </w:pPr>
      <w:r>
        <w:t xml:space="preserve">The reason is visible: </w:t>
      </w:r>
      <w:r>
        <w:rPr>
          <w:b/>
        </w:rPr>
        <w:t>January 2025 came in at 112,906 against a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The result is reported, the method is kept, and the forecast's reliability over this horizon is stated plainly as weak. The reliability discussion the brief asks for is not a formality here: the error was measured, and it is 22.7%</w:t>
      </w:r>
    </w:p>
    <w:p>
      <w:r>
        <w:rPr>
          <w:b/>
        </w:rPr>
        <w:t>End the part on this line:</w:t>
      </w:r>
      <w:r>
        <w:t xml:space="preserve"> building that monthly series also turned up something nobody expected — and it was a mistake of our own.</w:t>
      </w:r>
    </w:p>
    <w:p>
      <w:r>
        <w:br w:type="page"/>
      </w:r>
    </w:p>
    <w:p>
      <w:pPr>
        <w:pStyle w:val="Heading1"/>
      </w:pPr>
      <w:r>
        <w:t>Part 5 — Alber</w:t>
      </w:r>
    </w:p>
    <w:p>
      <w:r>
        <w:rPr>
          <w:i/>
        </w:rPr>
        <w:t>About 6 minutes. Record straight through — no need to say your name again.</w:t>
      </w:r>
    </w:p>
    <w:p>
      <w:pPr>
        <w:pStyle w:val="Heading2"/>
      </w:pPr>
      <w:r>
        <w:t>The correction</w:t>
      </w:r>
    </w:p>
    <w:p>
      <w:r>
        <w:rPr>
          <w:i/>
        </w:rPr>
        <w:t>On screen: the correction table from the Checkpoint 2 report</w:t>
      </w:r>
    </w:p>
    <w:p>
      <w:r>
        <w:t>This section exists because volunteering an error is worth more than having it found. Do not soften it.</w:t>
      </w:r>
    </w:p>
    <w:p>
      <w:pPr>
        <w:pStyle w:val="ListBullet"/>
      </w:pPr>
      <w:r>
        <w:t xml:space="preserve">Building the Checkpoint 2 monthly series exposed an </w:t>
      </w:r>
      <w:r>
        <w:rPr>
          <w:b/>
        </w:rPr>
        <w:t>error in our own Checkpoint 1</w:t>
      </w:r>
    </w:p>
    <w:p>
      <w:pPr>
        <w:pStyle w:val="ListBullet"/>
      </w:pPr>
      <w:r>
        <w:t xml:space="preserve">2020 was treated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4. The correction</w:t>
      </w:r>
    </w:p>
    <w:p>
      <w:pPr>
        <w:pStyle w:val="ListBullet"/>
      </w:pPr>
      <w:r>
        <w:t>The central thesis is unchanged; one supporting number was overstated</w:t>
      </w:r>
    </w:p>
    <w:p>
      <w:pPr>
        <w:pStyle w:val="ListBullet"/>
      </w:pPr>
      <w:r>
        <w:t xml:space="preserve">Checkpoint 1 was reissued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pPr>
        <w:pStyle w:val="Heading2"/>
      </w:pPr>
      <w:r>
        <w:t>What it means for the business</w:t>
      </w:r>
    </w:p>
    <w:p>
      <w:r>
        <w:rPr>
          <w:i/>
        </w:rPr>
        <w:t>On screen: the findings summary</w:t>
      </w:r>
    </w:p>
    <w:p>
      <w:r>
        <w:t>With that correction made, here is what the analysis actually tells the business. Three recommendations, each tied to a measurement rather than an opinion:</w:t>
      </w:r>
    </w:p>
    <w:p>
      <w:pPr>
        <w:pStyle w:val="ListBullet"/>
      </w:pPr>
      <w:r>
        <w:rPr>
          <w:b/>
        </w:rPr>
        <w:t>Track order count, not revenue.</w:t>
      </w:r>
      <w:r>
        <w:t xml:space="preserve"> Revenue is the lagging indicator; order count is what drives it, r = 0.923, and it is the thing the business can act on</w:t>
      </w:r>
    </w:p>
    <w:p>
      <w:pPr>
        <w:pStyle w:val="ListBullet"/>
      </w:pPr>
      <w:r>
        <w:rPr>
          <w:b/>
        </w:rPr>
        <w:t>Plan seasonality by category, not company-wide.</w:t>
      </w:r>
      <w:r>
        <w:t xml:space="preserve"> The blended curve is wrong for all three categories — Electronics peaks in Q2, Furniture and Office Supplies in Q4. A single planning curve over-stocks Electronics in Q4 and under-stocks it in Q2</w:t>
      </w:r>
    </w:p>
    <w:p>
      <w:pPr>
        <w:pStyle w:val="ListBullet"/>
      </w:pPr>
      <w:r>
        <w:rPr>
          <w:b/>
        </w:rPr>
        <w:t>Investigate Printers first.</w:t>
      </w:r>
      <w:r>
        <w:t xml:space="preserve"> One sub-category, </w:t>
      </w:r>
      <w:r>
        <w:rPr>
          <w:b/>
        </w:rPr>
        <w:t>136,865</w:t>
      </w:r>
      <w:r>
        <w:t xml:space="preserve"> lost, over half the entire gap. Whether that is supply, competition, or a category in structural decline is not something this dataset can answer — but it tells us where to look, and that is what the analysis was for</w:t>
      </w:r>
    </w:p>
    <w:p>
      <w:pPr>
        <w:pStyle w:val="Heading2"/>
      </w:pPr>
      <w:r>
        <w:t>The limitations</w:t>
      </w:r>
    </w:p>
    <w:p>
      <w:r>
        <w:t>Three, stated plainly and in your own voice:</w:t>
      </w:r>
    </w:p>
    <w:p>
      <w:pPr>
        <w:pStyle w:val="ListBullet"/>
      </w:pPr>
      <w:r>
        <w:rPr>
          <w:b/>
        </w:rPr>
        <w:t>The data is synthetic.</w:t>
      </w:r>
      <w:r>
        <w:t xml:space="preserve"> The figures illustrate the method rather than describe a real company. It was proved, it was stated, and no corrections were invented, because that would have been worse</w:t>
      </w:r>
    </w:p>
    <w:p>
      <w:pPr>
        <w:pStyle w:val="ListBullet"/>
      </w:pPr>
      <w:r>
        <w:rPr>
          <w:b/>
        </w:rPr>
        <w:t>The forecast is weak.</w:t>
      </w:r>
      <w:r>
        <w:t xml:space="preserve"> 22.7% mean absolute error against a flat average's 14.9%. Our own error was measured and reported rather than the test quietly dropped</w:t>
      </w:r>
    </w:p>
    <w:p>
      <w:pPr>
        <w:pStyle w:val="ListBullet"/>
      </w:pPr>
      <w:r>
        <w:rPr>
          <w:b/>
        </w:rPr>
        <w:t>Correlation is not causation.</w:t>
      </w:r>
      <w:r>
        <w:t xml:space="preserve"> Order count and revenue move together; that is not proof that one causes the other</w:t>
      </w:r>
    </w:p>
    <w:p>
      <w:r>
        <w:t xml:space="preserve">Then what the group </w:t>
      </w:r>
      <w:r>
        <w:rPr>
          <w:i/>
        </w:rPr>
        <w:t>would</w:t>
      </w:r>
      <w:r>
        <w:t xml:space="preserve"> stand behind: the method. A defect-documented dataset, a normalised schema with enforced constraints, queries verified on two database engines, and statistics tested for significance rather than eyeballed — with the negative results reported alongside the positive ones.</w:t>
      </w:r>
    </w:p>
    <w:p>
      <w:pPr>
        <w:pStyle w:val="Heading2"/>
      </w:pPr>
      <w:r>
        <w:t>The questions we would expect</w:t>
      </w:r>
    </w:p>
    <w:p>
      <w:r>
        <w:t>Still speaking continuously, raise these and answer them in your own words. This is the part that stands in for a live defense, so take it slowly.</w:t>
      </w:r>
    </w:p>
    <w:p>
      <w:r>
        <w:rPr>
          <w:b/>
        </w:rPr>
        <w:t>Does a fake dataset invalidate the project?</w:t>
      </w:r>
      <w:r>
        <w:t xml:space="preserve"> It invalidates the </w:t>
      </w:r>
      <w:r>
        <w:rPr>
          <w:i/>
        </w:rPr>
        <w:t>figures</w:t>
      </w:r>
      <w:r>
        <w:t xml:space="preserve">, not the </w:t>
      </w:r>
      <w:r>
        <w:rPr>
          <w:i/>
        </w:rPr>
        <w:t>method</w:t>
      </w:r>
      <w:r>
        <w:t>. It was proved with five signals and no corrections were fabricated, which would have been worse. The schema, the queries and the analysis would run identically on real data.</w:t>
      </w:r>
    </w:p>
    <w:p>
      <w:r>
        <w:rPr>
          <w:b/>
        </w:rPr>
        <w:t>Why not use `Order ID` as the primary key?</w:t>
      </w:r>
      <w:r>
        <w:t xml:space="preserve"> 1,194 rows, 547 distinct IDs, and the repeats span different dates and different customers. It identifies neither a row nor an order.</w:t>
      </w:r>
    </w:p>
    <w:p>
      <w:r>
        <w:rPr>
          <w:b/>
        </w:rPr>
        <w:t>Why exclude 2025, and why show 2020 per month?</w:t>
      </w:r>
      <w:r>
        <w:t xml:space="preserve"> Both ends of the file are partial. Including them whole would show fake growth at one end and a fake collapse at the other — which is exactly the mistake we made and corrected.</w:t>
      </w:r>
    </w:p>
    <w:p>
      <w:r>
        <w:rPr>
          <w:b/>
        </w:rPr>
        <w:t>Is R² = 0.85 good?</w:t>
      </w:r>
      <w:r>
        <w:t xml:space="preserve"> For cross-sectional business data, yes — but R² alone is not the test. The p-value of 1.98 × 10⁻²⁴ is what says the slope is not zero.</w:t>
      </w:r>
    </w:p>
    <w:p>
      <w:r>
        <w:rPr>
          <w:b/>
        </w:rPr>
        <w:t>The trend test found nothing — doesn't that sink a *trend* project?</w:t>
      </w:r>
      <w:r>
        <w:t xml:space="preserve"> It found that no single line fits both regimes, which is itself the finding. The trend is real, it is just piecewise, and Figure 2 shows it.</w:t>
      </w:r>
    </w:p>
    <w:p>
      <w:r>
        <w:rPr>
          <w:b/>
        </w:rPr>
        <w:t>The forecast lost to a flat average — why keep it?</w:t>
      </w:r>
      <w:r>
        <w:t xml:space="preserve"> Choosing a method on two observations is overfitting the holdout. The loss is reported and the reliability stated honestly.</w:t>
      </w:r>
    </w:p>
    <w:p>
      <w:r>
        <w:rPr>
          <w:b/>
        </w:rPr>
        <w:t>What would you do differently?</w:t>
      </w:r>
      <w:r>
        <w:t xml:space="preserve"> Validate the source before building on it, and check the completeness of both ends of the date range first — that is exactly what caused the one real error, and it would have cost ten minutes to catch at the start.</w:t>
      </w:r>
    </w:p>
    <w:p>
      <w:r>
        <w:rPr>
          <w:b/>
        </w:rPr>
        <w:t>What is next?</w:t>
      </w:r>
      <w:r>
        <w:t xml:space="preserve"> Checkpoint 3, the dashboard, built on </w:t>
      </w:r>
      <w:r>
        <w:rPr>
          <w:b/>
        </w:rPr>
        <w:t>order count</w:t>
      </w:r>
      <w:r>
        <w:t xml:space="preserve"> as the primary KPI rather than revenue because it is the leading indicator and the actionable one, and segmented on </w:t>
      </w:r>
      <w:r>
        <w:rPr>
          <w:b/>
        </w:rPr>
        <w:t>margin</w:t>
      </w:r>
      <w:r>
        <w:t xml:space="preserve"> rather than revenue, given how weakly those two turned out to be related.</w:t>
      </w:r>
    </w:p>
    <w:p>
      <w:pPr>
        <w:pStyle w:val="Heading2"/>
      </w:pPr>
      <w:r>
        <w:t>Close</w:t>
      </w:r>
    </w:p>
    <w:p>
      <w:r>
        <w:rPr>
          <w:i/>
        </w:rPr>
        <w:t>On screen: the cover page again, or the team slide</w:t>
      </w:r>
    </w:p>
    <w:p>
      <w:pPr>
        <w:pStyle w:val="ListBullet"/>
      </w:pPr>
      <w:r>
        <w:t>One sentence on what the project found: growth stopped in 2022, it was driven by a small number of sub-categories rather than a general slowdown, and order count is the measurable driver</w:t>
      </w:r>
    </w:p>
    <w:p>
      <w:pPr>
        <w:pStyle w:val="ListBullet"/>
      </w:pPr>
      <w:r>
        <w:t>Thank the instructor, name the three of you, and state that any member can answer questions on any part of the project — which is what Section 1.4 asks for, and which is true if you have rehearsed</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any section, not only the one you recorded — Section 1.4 lets the instructor ask any member about any part</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five parts present and in order, no task missing</w:t>
      </w:r>
    </w:p>
    <w:p>
      <w:pPr>
        <w:pStyle w:val="ListBullet"/>
      </w:pPr>
      <w:r>
        <w:t>Audio levels normalised across all three speakers</w:t>
      </w:r>
    </w:p>
    <w:p>
      <w:pPr>
        <w:pStyle w:val="ListBullet"/>
      </w:pPr>
      <w:r>
        <w:t>Each speaker names themselves once, and nobody claims a task or a role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