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Group Discussion Script</w:t>
      </w:r>
    </w:p>
    <w:p>
      <w:r>
        <w:rPr>
          <w:b/>
        </w:rPr>
        <w:t>BED 106 Business Analytics — Mini Capstone Project</w:t>
      </w:r>
      <w:r>
        <w:t xml:space="preserve"> Talibon Polytechnic College</w:t>
      </w:r>
    </w:p>
    <w:p>
      <w:r>
        <w:t>A three-speaker script for presenting and discussing the project. The running order follows the project brief: Task 1.1 through 1.4 for Checkpoint 1, then Task 2.1 through 2.5 for Checkpoint 2, then the limitations, then Q&amp;A.</w:t>
      </w:r>
    </w:p>
    <w:p>
      <w:r>
        <w:t xml:space="preserve">Running time is roughly </w:t>
      </w:r>
      <w:r>
        <w:rPr>
          <w:b/>
        </w:rPr>
        <w:t>15 minutes</w:t>
      </w:r>
      <w:r>
        <w:t xml:space="preserve"> for the script itself, plus Q&amp;A.</w:t>
      </w:r>
    </w:p>
    <w:p>
      <w:r>
        <w:br w:type="page"/>
      </w:r>
    </w:p>
    <w:p>
      <w:pPr>
        <w:pStyle w:val="Heading2"/>
      </w:pPr>
      <w:r>
        <w:t>Before you use this</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Practically, that means: read a segment,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w:t>
      </w:r>
    </w:p>
    <w:p>
      <w:r>
        <w:t>Every figure quoted here has been checked against the database. If you are asked where a number comes from, the answer is always a specific query or a specific worksheet cell, and those are named in the margin notes.</w:t>
      </w:r>
    </w:p>
    <w:p>
      <w:pPr>
        <w:pStyle w:val="Heading3"/>
      </w:pPr>
      <w:r>
        <w:t>Recording it</w:t>
      </w:r>
    </w:p>
    <w:p>
      <w:r>
        <w:t>Your instructor asked for a recording, so a few things change. Read this before you press record, not after the first take.</w:t>
      </w:r>
    </w:p>
    <w:p>
      <w:r>
        <w:rPr>
          <w:b/>
        </w:rPr>
        <w:t>Say your name the first time you speak.</w:t>
      </w:r>
      <w:r>
        <w:t xml:space="preserve"> "I'm Julebeth, I handled the data and the database." On a recording your instructor is matching a voice to a name for a mark under Section 1.4 — do not make them guess. Say the segment number or task too if the recording will be scrubbed through: "Task 1.2, the dataset."</w:t>
      </w:r>
    </w:p>
    <w:p>
      <w:r>
        <w:rPr>
          <w:b/>
        </w:rPr>
        <w:t>Record in segments, not one continuous take.</w:t>
      </w:r>
      <w:r>
        <w:t xml:space="preserve"> Ten short recordings you can re-take individually beat one fifteen-minute take that gets ruined at minute twelve. Stitch them, or submit them numbered. If it has to be one take, agree in advance that small stumbles are not worth restarting for — nobody is marking fluency.</w:t>
      </w:r>
    </w:p>
    <w:p>
      <w:r>
        <w:rPr>
          <w:b/>
        </w:rPr>
        <w:t>One person talks at a time.</w:t>
      </w:r>
      <w:r>
        <w:t xml:space="preserve"> Overlapping voices are fine in a room and unintelligible on a recording. Leave a beat after each speaker finishes before the next one starts; it also gives you clean cut points.</w:t>
      </w:r>
    </w:p>
    <w:p>
      <w:r>
        <w:rPr>
          <w:b/>
        </w:rPr>
        <w:t>Screen-record with audio rather than filming a monitor.</w:t>
      </w:r>
      <w:r>
        <w:t xml:space="preserve"> Every exhibit in this project is on a screen — the ERD, the query output, the workbook, the figures. If you film a laptop the numbers will not be readable, and unreadable evidence is the same as no evidence. Whoever drives the screen should not also be the one speaking, if you can spare the person.</w:t>
      </w:r>
    </w:p>
    <w:p>
      <w:r>
        <w:rPr>
          <w:b/>
        </w:rPr>
        <w:t>Do a thirty-second test first.</w:t>
      </w:r>
      <w:r>
        <w:t xml:space="preserve"> Record, play it back, check three things: every voice is audible, the screen text is legible at the recording's resolution, and there is no room echo or fan noise drowning you. Fixing this after a full take is the most common way groups lose an evening.</w:t>
      </w:r>
    </w:p>
    <w:p>
      <w:r>
        <w:rPr>
          <w:b/>
        </w:rPr>
        <w:t>A recording is permanent, so the honest parts matter more, not less.</w:t>
      </w:r>
      <w:r>
        <w:t xml:space="preserve"> The synthetic data, the Checkpoint 1 correction, the forecast that lost — say all three out loud, on the record, before anyone asks. A recording where you volunteer your own error reads as competence; one where the error surfaces later reads very differently.</w:t>
      </w:r>
    </w:p>
    <w:p>
      <w:r>
        <w:rPr>
          <w:b/>
        </w:rPr>
        <w:t>Q&amp;A on a recording.</w:t>
      </w:r>
      <w:r>
        <w:t xml:space="preserve"> There is nobody to ask questions, so use the Q&amp;A table two ways: rehearse with it, then record a short closing where each speaker answers one or two of the questions from their own area. It shows you can defend the work, which is what the live version would have tested.</w:t>
      </w:r>
    </w:p>
    <w:p>
      <w:r>
        <w:rPr>
          <w:b/>
        </w:rPr>
        <w:t>Before you submit:</w:t>
      </w:r>
      <w:r>
        <w:t xml:space="preserve"> play the whole thing back once, end to end. Check the file opens, the audio does not cut out, and the length fits any limit you were given. Name the file with your group and the checkpoint.</w:t>
      </w:r>
    </w:p>
    <w:p>
      <w:pPr>
        <w:pStyle w:val="Heading3"/>
      </w:pPr>
      <w:r>
        <w:t>The speakers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Speaker</w:t>
            </w:r>
          </w:p>
        </w:tc>
        <w:tc>
          <w:tcPr>
            <w:tcW w:type="dxa" w:w="3120"/>
          </w:tcPr>
          <w:p>
            <w:r>
              <w:rPr>
                <w:b/>
              </w:rPr>
            </w:r>
            <w:r>
              <w:rPr>
                <w:b/>
              </w:rPr>
              <w:t>Role from the brief</w:t>
            </w:r>
          </w:p>
        </w:tc>
        <w:tc>
          <w:tcPr>
            <w:tcW w:type="dxa" w:w="3120"/>
          </w:tcPr>
          <w:p>
            <w:r>
              <w:rPr>
                <w:b/>
              </w:rPr>
            </w:r>
            <w:r>
              <w:rPr>
                <w:b/>
              </w:rPr>
              <w:t>Covers</w:t>
            </w:r>
          </w:p>
        </w:tc>
      </w:tr>
      <w:tr>
        <w:tc>
          <w:tcPr>
            <w:tcW w:type="dxa" w:w="3120"/>
          </w:tcPr>
          <w:p>
            <w:pPr>
              <w:spacing w:line="240" w:lineRule="auto"/>
            </w:pPr>
            <w:r>
              <w:rPr>
                <w:sz w:val="18"/>
              </w:rPr>
            </w:r>
            <w:r>
              <w:rPr>
                <w:b/>
                <w:sz w:val="18"/>
              </w:rPr>
              <w:t>Alber</w:t>
            </w:r>
          </w:p>
        </w:tc>
        <w:tc>
          <w:tcPr>
            <w:tcW w:type="dxa" w:w="3120"/>
          </w:tcPr>
          <w:p>
            <w:pPr>
              <w:spacing w:line="240" w:lineRule="auto"/>
            </w:pPr>
            <w:r>
              <w:rPr>
                <w:sz w:val="18"/>
              </w:rPr>
            </w:r>
            <w:r>
              <w:rPr>
                <w:sz w:val="18"/>
              </w:rPr>
              <w:t>Project Lead / Analyst</w:t>
            </w:r>
          </w:p>
        </w:tc>
        <w:tc>
          <w:tcPr>
            <w:tcW w:type="dxa" w:w="3120"/>
          </w:tcPr>
          <w:p>
            <w:pPr>
              <w:spacing w:line="240" w:lineRule="auto"/>
            </w:pPr>
            <w:r>
              <w:rPr>
                <w:sz w:val="18"/>
              </w:rPr>
            </w:r>
            <w:r>
              <w:rPr>
                <w:sz w:val="18"/>
              </w:rPr>
              <w:t>The business problem, the findings, what the business should do</w:t>
            </w:r>
          </w:p>
        </w:tc>
      </w:tr>
      <w:tr>
        <w:tc>
          <w:tcPr>
            <w:tcW w:type="dxa" w:w="3120"/>
          </w:tcPr>
          <w:p>
            <w:pPr>
              <w:spacing w:line="240" w:lineRule="auto"/>
            </w:pPr>
            <w:r>
              <w:rPr>
                <w:sz w:val="18"/>
              </w:rPr>
            </w:r>
            <w:r>
              <w:rPr>
                <w:b/>
                <w:sz w:val="18"/>
              </w:rPr>
              <w:t>Julebeth</w:t>
            </w:r>
          </w:p>
        </w:tc>
        <w:tc>
          <w:tcPr>
            <w:tcW w:type="dxa" w:w="3120"/>
          </w:tcPr>
          <w:p>
            <w:pPr>
              <w:spacing w:line="240" w:lineRule="auto"/>
            </w:pPr>
            <w:r>
              <w:rPr>
                <w:sz w:val="18"/>
              </w:rPr>
            </w:r>
            <w:r>
              <w:rPr>
                <w:sz w:val="18"/>
              </w:rPr>
              <w:t>Data Engineer</w:t>
            </w:r>
          </w:p>
        </w:tc>
        <w:tc>
          <w:tcPr>
            <w:tcW w:type="dxa" w:w="3120"/>
          </w:tcPr>
          <w:p>
            <w:pPr>
              <w:spacing w:line="240" w:lineRule="auto"/>
            </w:pPr>
            <w:r>
              <w:rPr>
                <w:sz w:val="18"/>
              </w:rPr>
            </w:r>
            <w:r>
              <w:rPr>
                <w:sz w:val="18"/>
              </w:rPr>
              <w:t>The dataset, its quality, the ERD, the database, the workbook build</w:t>
            </w:r>
          </w:p>
        </w:tc>
      </w:tr>
      <w:tr>
        <w:tc>
          <w:tcPr>
            <w:tcW w:type="dxa" w:w="3120"/>
          </w:tcPr>
          <w:p>
            <w:pPr>
              <w:spacing w:line="240" w:lineRule="auto"/>
            </w:pPr>
            <w:r>
              <w:rPr>
                <w:sz w:val="18"/>
              </w:rPr>
            </w:r>
            <w:r>
              <w:rPr>
                <w:b/>
                <w:sz w:val="18"/>
              </w:rPr>
              <w:t>Mardy</w:t>
            </w:r>
          </w:p>
        </w:tc>
        <w:tc>
          <w:tcPr>
            <w:tcW w:type="dxa" w:w="3120"/>
          </w:tcPr>
          <w:p>
            <w:pPr>
              <w:spacing w:line="240" w:lineRule="auto"/>
            </w:pPr>
            <w:r>
              <w:rPr>
                <w:sz w:val="18"/>
              </w:rPr>
            </w:r>
            <w:r>
              <w:rPr>
                <w:sz w:val="18"/>
              </w:rPr>
              <w:t>Statistician / Modeler</w:t>
            </w:r>
          </w:p>
        </w:tc>
        <w:tc>
          <w:tcPr>
            <w:tcW w:type="dxa" w:w="3120"/>
          </w:tcPr>
          <w:p>
            <w:pPr>
              <w:spacing w:line="240" w:lineRule="auto"/>
            </w:pPr>
            <w:r>
              <w:rPr>
                <w:sz w:val="18"/>
              </w:rPr>
            </w:r>
            <w:r>
              <w:rPr>
                <w:sz w:val="18"/>
              </w:rPr>
              <w:t>The queries, descriptive statistics, correlation, regression, forecasting</w:t>
            </w:r>
          </w:p>
        </w:tc>
      </w:tr>
    </w:tbl>
    <w:p>
      <w:pPr>
        <w:spacing w:after="200" w:line="240" w:lineRule="auto"/>
        <w:jc w:val="center"/>
      </w:pPr>
      <w:r>
        <w:rPr>
          <w:i/>
          <w:color w:val="7B8994"/>
          <w:sz w:val="20"/>
        </w:rPr>
        <w:t>Table 1. The speakers</w:t>
      </w:r>
    </w:p>
    <w:p>
      <w:r>
        <w:t xml:space="preserve">Julebeth and Mardy can swap roles if the other split suits you better — the segments move as blocks, so trading segments 2, 3, 5 for segments 4, 6, 7, 8, 9 is the whole change. If a fourth member joins as </w:t>
      </w:r>
      <w:r>
        <w:rPr>
          <w:b/>
        </w:rPr>
        <w:t>BI Developer / Visualizer</w:t>
      </w:r>
      <w:r>
        <w:t>, give them the charts: split segments 4 and 9 so they present each figure and Mardy presents the number behind it.</w:t>
      </w:r>
    </w:p>
    <w:p>
      <w:pPr>
        <w:pStyle w:val="Heading3"/>
      </w:pPr>
      <w:r>
        <w:t>What to have on screen</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Segment</w:t>
            </w:r>
          </w:p>
        </w:tc>
        <w:tc>
          <w:tcPr>
            <w:tcW w:type="dxa" w:w="4680"/>
          </w:tcPr>
          <w:p>
            <w:r>
              <w:rPr>
                <w:b/>
              </w:rPr>
            </w:r>
            <w:r>
              <w:rPr>
                <w:b/>
              </w:rPr>
              <w:t>Show</w:t>
            </w:r>
          </w:p>
        </w:tc>
      </w:tr>
      <w:tr>
        <w:tc>
          <w:tcPr>
            <w:tcW w:type="dxa" w:w="4680"/>
          </w:tcPr>
          <w:p>
            <w:pPr>
              <w:spacing w:line="240" w:lineRule="auto"/>
            </w:pPr>
            <w:r>
              <w:rPr>
                <w:sz w:val="18"/>
              </w:rPr>
            </w:r>
            <w:r>
              <w:rPr>
                <w:sz w:val="18"/>
              </w:rPr>
              <w:t>1</w:t>
            </w:r>
          </w:p>
        </w:tc>
        <w:tc>
          <w:tcPr>
            <w:tcW w:type="dxa" w:w="4680"/>
          </w:tcPr>
          <w:p>
            <w:pPr>
              <w:spacing w:line="240" w:lineRule="auto"/>
            </w:pPr>
            <w:r>
              <w:rPr>
                <w:sz w:val="18"/>
              </w:rPr>
            </w:r>
            <w:r>
              <w:rPr>
                <w:sz w:val="18"/>
              </w:rPr>
              <w:t>Cover page, or Figure 1 (annual trend)</w:t>
            </w:r>
          </w:p>
        </w:tc>
      </w:tr>
      <w:tr>
        <w:tc>
          <w:tcPr>
            <w:tcW w:type="dxa" w:w="4680"/>
          </w:tcPr>
          <w:p>
            <w:pPr>
              <w:spacing w:line="240" w:lineRule="auto"/>
            </w:pPr>
            <w:r>
              <w:rPr>
                <w:sz w:val="18"/>
              </w:rPr>
            </w:r>
            <w:r>
              <w:rPr>
                <w:sz w:val="18"/>
              </w:rPr>
              <w:t>2</w:t>
            </w:r>
          </w:p>
        </w:tc>
        <w:tc>
          <w:tcPr>
            <w:tcW w:type="dxa" w:w="4680"/>
          </w:tcPr>
          <w:p>
            <w:pPr>
              <w:spacing w:line="240" w:lineRule="auto"/>
            </w:pPr>
            <w:r>
              <w:rPr>
                <w:sz w:val="18"/>
              </w:rPr>
            </w:r>
            <w:r>
              <w:rPr>
                <w:sz w:val="18"/>
              </w:rPr>
              <w:t>The raw CSV preview, first 10–20 rows</w:t>
            </w:r>
          </w:p>
        </w:tc>
      </w:tr>
      <w:tr>
        <w:tc>
          <w:tcPr>
            <w:tcW w:type="dxa" w:w="4680"/>
          </w:tcPr>
          <w:p>
            <w:pPr>
              <w:spacing w:line="240" w:lineRule="auto"/>
            </w:pPr>
            <w:r>
              <w:rPr>
                <w:sz w:val="18"/>
              </w:rPr>
            </w:r>
            <w:r>
              <w:rPr>
                <w:sz w:val="18"/>
              </w:rPr>
              <w:t>3</w:t>
            </w:r>
          </w:p>
        </w:tc>
        <w:tc>
          <w:tcPr>
            <w:tcW w:type="dxa" w:w="4680"/>
          </w:tcPr>
          <w:p>
            <w:pPr>
              <w:spacing w:line="240" w:lineRule="auto"/>
            </w:pPr>
            <w:r>
              <w:rPr>
                <w:sz w:val="18"/>
              </w:rPr>
            </w:r>
            <w:r>
              <w:rPr>
                <w:rFonts w:ascii="Consolas" w:hAnsi="Consolas"/>
                <w:color w:val="2F6F9F"/>
                <w:sz w:val="18"/>
              </w:rPr>
              <w:t>docs/figures/erd.png</w:t>
            </w:r>
            <w:r>
              <w:rPr>
                <w:sz w:val="18"/>
              </w:rPr>
              <w:t xml:space="preserve">, then the </w:t>
            </w:r>
            <w:r>
              <w:rPr>
                <w:rFonts w:ascii="Consolas" w:hAnsi="Consolas"/>
                <w:color w:val="2F6F9F"/>
                <w:sz w:val="18"/>
              </w:rPr>
              <w:t>SHOW TABLES</w:t>
            </w:r>
            <w:r>
              <w:rPr>
                <w:sz w:val="18"/>
              </w:rPr>
              <w:t xml:space="preserve"> screenshot</w:t>
            </w:r>
          </w:p>
        </w:tc>
      </w:tr>
      <w:tr>
        <w:tc>
          <w:tcPr>
            <w:tcW w:type="dxa" w:w="4680"/>
          </w:tcPr>
          <w:p>
            <w:pPr>
              <w:spacing w:line="240" w:lineRule="auto"/>
            </w:pPr>
            <w:r>
              <w:rPr>
                <w:sz w:val="18"/>
              </w:rPr>
            </w:r>
            <w:r>
              <w:rPr>
                <w:sz w:val="18"/>
              </w:rPr>
              <w:t>4</w:t>
            </w:r>
          </w:p>
        </w:tc>
        <w:tc>
          <w:tcPr>
            <w:tcW w:type="dxa" w:w="4680"/>
          </w:tcPr>
          <w:p>
            <w:pPr>
              <w:spacing w:line="240" w:lineRule="auto"/>
            </w:pPr>
            <w:r>
              <w:rPr>
                <w:sz w:val="18"/>
              </w:rPr>
            </w:r>
            <w:r>
              <w:rPr>
                <w:sz w:val="18"/>
              </w:rPr>
              <w:t>Query screenshots Q3, Q5, Q8</w:t>
            </w:r>
          </w:p>
        </w:tc>
      </w:tr>
      <w:tr>
        <w:tc>
          <w:tcPr>
            <w:tcW w:type="dxa" w:w="4680"/>
          </w:tcPr>
          <w:p>
            <w:pPr>
              <w:spacing w:line="240" w:lineRule="auto"/>
            </w:pPr>
            <w:r>
              <w:rPr>
                <w:sz w:val="18"/>
              </w:rPr>
            </w:r>
            <w:r>
              <w:rPr>
                <w:sz w:val="18"/>
              </w:rPr>
              <w:t>5</w:t>
            </w:r>
          </w:p>
        </w:tc>
        <w:tc>
          <w:tcPr>
            <w:tcW w:type="dxa" w:w="4680"/>
          </w:tcPr>
          <w:p>
            <w:pPr>
              <w:spacing w:line="240" w:lineRule="auto"/>
            </w:pPr>
            <w:r>
              <w:rPr>
                <w:sz w:val="18"/>
              </w:rPr>
            </w:r>
            <w:r>
              <w:rPr>
                <w:sz w:val="18"/>
              </w:rPr>
              <w:t>The workbook — Cleaned Data, then a PivotChart</w:t>
            </w:r>
          </w:p>
        </w:tc>
      </w:tr>
      <w:tr>
        <w:tc>
          <w:tcPr>
            <w:tcW w:type="dxa" w:w="4680"/>
          </w:tcPr>
          <w:p>
            <w:pPr>
              <w:spacing w:line="240" w:lineRule="auto"/>
            </w:pPr>
            <w:r>
              <w:rPr>
                <w:sz w:val="18"/>
              </w:rPr>
            </w:r>
            <w:r>
              <w:rPr>
                <w:sz w:val="18"/>
              </w:rPr>
              <w:t>6</w:t>
            </w:r>
          </w:p>
        </w:tc>
        <w:tc>
          <w:tcPr>
            <w:tcW w:type="dxa" w:w="4680"/>
          </w:tcPr>
          <w:p>
            <w:pPr>
              <w:spacing w:line="240" w:lineRule="auto"/>
            </w:pPr>
            <w:r>
              <w:rPr>
                <w:sz w:val="18"/>
              </w:rPr>
            </w:r>
            <w:r>
              <w:rPr>
                <w:sz w:val="18"/>
              </w:rPr>
              <w:t>The Amount histogram</w:t>
            </w:r>
          </w:p>
        </w:tc>
      </w:tr>
      <w:tr>
        <w:tc>
          <w:tcPr>
            <w:tcW w:type="dxa" w:w="4680"/>
          </w:tcPr>
          <w:p>
            <w:pPr>
              <w:spacing w:line="240" w:lineRule="auto"/>
            </w:pPr>
            <w:r>
              <w:rPr>
                <w:sz w:val="18"/>
              </w:rPr>
            </w:r>
            <w:r>
              <w:rPr>
                <w:sz w:val="18"/>
              </w:rPr>
              <w:t>7</w:t>
            </w:r>
          </w:p>
        </w:tc>
        <w:tc>
          <w:tcPr>
            <w:tcW w:type="dxa" w:w="4680"/>
          </w:tcPr>
          <w:p>
            <w:pPr>
              <w:spacing w:line="240" w:lineRule="auto"/>
            </w:pPr>
            <w:r>
              <w:rPr>
                <w:sz w:val="18"/>
              </w:rPr>
            </w:r>
            <w:r>
              <w:rPr>
                <w:sz w:val="18"/>
              </w:rPr>
              <w:t>The two scatter plots</w:t>
            </w:r>
          </w:p>
        </w:tc>
      </w:tr>
      <w:tr>
        <w:tc>
          <w:tcPr>
            <w:tcW w:type="dxa" w:w="4680"/>
          </w:tcPr>
          <w:p>
            <w:pPr>
              <w:spacing w:line="240" w:lineRule="auto"/>
            </w:pPr>
            <w:r>
              <w:rPr>
                <w:sz w:val="18"/>
              </w:rPr>
            </w:r>
            <w:r>
              <w:rPr>
                <w:sz w:val="18"/>
              </w:rPr>
              <w:t>8</w:t>
            </w:r>
          </w:p>
        </w:tc>
        <w:tc>
          <w:tcPr>
            <w:tcW w:type="dxa" w:w="4680"/>
          </w:tcPr>
          <w:p>
            <w:pPr>
              <w:spacing w:line="240" w:lineRule="auto"/>
            </w:pPr>
            <w:r>
              <w:rPr>
                <w:sz w:val="18"/>
              </w:rPr>
            </w:r>
            <w:r>
              <w:rPr>
                <w:sz w:val="18"/>
              </w:rPr>
              <w:t>The ToolPak regression output</w:t>
            </w:r>
          </w:p>
        </w:tc>
      </w:tr>
      <w:tr>
        <w:tc>
          <w:tcPr>
            <w:tcW w:type="dxa" w:w="4680"/>
          </w:tcPr>
          <w:p>
            <w:pPr>
              <w:spacing w:line="240" w:lineRule="auto"/>
            </w:pPr>
            <w:r>
              <w:rPr>
                <w:sz w:val="18"/>
              </w:rPr>
            </w:r>
            <w:r>
              <w:rPr>
                <w:sz w:val="18"/>
              </w:rPr>
              <w:t>9</w:t>
            </w:r>
          </w:p>
        </w:tc>
        <w:tc>
          <w:tcPr>
            <w:tcW w:type="dxa" w:w="4680"/>
          </w:tcPr>
          <w:p>
            <w:pPr>
              <w:spacing w:line="240" w:lineRule="auto"/>
            </w:pPr>
            <w:r>
              <w:rPr>
                <w:sz w:val="18"/>
              </w:rPr>
            </w:r>
            <w:r>
              <w:rPr>
                <w:sz w:val="18"/>
              </w:rPr>
              <w:t>Figure 2 with the regime shading, then the forecast chart</w:t>
            </w:r>
          </w:p>
        </w:tc>
      </w:tr>
      <w:tr>
        <w:tc>
          <w:tcPr>
            <w:tcW w:type="dxa" w:w="4680"/>
          </w:tcPr>
          <w:p>
            <w:pPr>
              <w:spacing w:line="240" w:lineRule="auto"/>
            </w:pPr>
            <w:r>
              <w:rPr>
                <w:sz w:val="18"/>
              </w:rPr>
            </w:r>
            <w:r>
              <w:rPr>
                <w:sz w:val="18"/>
              </w:rPr>
              <w:t>10</w:t>
            </w:r>
          </w:p>
        </w:tc>
        <w:tc>
          <w:tcPr>
            <w:tcW w:type="dxa" w:w="4680"/>
          </w:tcPr>
          <w:p>
            <w:pPr>
              <w:spacing w:line="240" w:lineRule="auto"/>
            </w:pPr>
            <w:r>
              <w:rPr>
                <w:sz w:val="18"/>
              </w:rPr>
            </w:r>
            <w:r>
              <w:rPr>
                <w:sz w:val="18"/>
              </w:rPr>
              <w:t>The correction table from the Checkpoint 2 report</w:t>
            </w:r>
          </w:p>
        </w:tc>
      </w:tr>
    </w:tbl>
    <w:p>
      <w:pPr>
        <w:spacing w:after="200" w:line="240" w:lineRule="auto"/>
        <w:jc w:val="center"/>
      </w:pPr>
      <w:r>
        <w:rPr>
          <w:i/>
          <w:color w:val="7B8994"/>
          <w:sz w:val="20"/>
        </w:rPr>
        <w:t>Table 2. What to have on screen</w:t>
      </w:r>
    </w:p>
    <w:p>
      <w:r>
        <w:br w:type="page"/>
      </w:r>
    </w:p>
    <w:p>
      <w:pPr>
        <w:pStyle w:val="Heading2"/>
      </w:pPr>
      <w:r>
        <w:t>Segment 1 — The business problem (Task 1.1)</w:t>
      </w:r>
    </w:p>
    <w:p>
      <w:r>
        <w:rPr>
          <w:i/>
        </w:rPr>
        <w:t>About 2 minutes. Alber opens.</w:t>
      </w:r>
    </w:p>
    <w:p>
      <w:r>
        <w:rPr>
          <w:b/>
        </w:rPr>
        <w:t>Alber.</w:t>
      </w:r>
      <w:r>
        <w:t xml:space="preserve"> Our domain is Retail and Sales Analytics, and our topic is sales trend analysis. The subject is a multi-category retailer — electronics, furniture and office supplies — trading across six US states between 2020 and 2025.</w:t>
      </w:r>
    </w:p>
    <w:p>
      <w:r>
        <w:t xml:space="preserve">The problem is simple to state and not simple to answer: </w:t>
      </w:r>
      <w:r>
        <w:rPr>
          <w:b/>
        </w:rPr>
        <w:t>the company grew, then stopped</w:t>
      </w:r>
      <w:r>
        <w:t>. On a like-for-like monthly basis, revenue rose 30.9% from 2020 to the 2022 peak, then fell in each of the next two years and finished 2024 at 17.6% below that peak.</w:t>
      </w:r>
    </w:p>
    <w:p>
      <w:r>
        <w:rPr>
          <w:b/>
        </w:rPr>
        <w:t>Julebeth.</w:t>
      </w:r>
      <w:r>
        <w:t xml:space="preserve"> Why is that an analytical problem? Falling sales is not exactly a mystery.</w:t>
      </w:r>
    </w:p>
    <w:p>
      <w:r>
        <w:rPr>
          <w:b/>
        </w:rPr>
        <w:t>Alber.</w:t>
      </w:r>
      <w:r>
        <w:t xml:space="preserve"> Because of what </w:t>
      </w:r>
      <w:r>
        <w:rPr>
          <w:i/>
        </w:rPr>
        <w:t>didn't</w:t>
      </w:r>
      <w:r>
        <w:t xml:space="preserve"> move. Margin held between 23.97% and 26.93% for the whole five years, and average order value stayed between 5,008 and 5,444. If margin had collapsed, the answer would be "we discounted too hard" and nobody would need a database to find that. Margin held steady while revenue fell, which means the company is writing </w:t>
      </w:r>
      <w:r>
        <w:rPr>
          <w:b/>
        </w:rPr>
        <w:t>fewer orders</w:t>
      </w:r>
      <w:r>
        <w:t>, not worse ones. And "fewer orders of what, when, and where" is a question a single annual revenue figure cannot answer.</w:t>
      </w:r>
    </w:p>
    <w:p>
      <w:r>
        <w:rPr>
          <w:b/>
        </w:rPr>
        <w:t>Mardy.</w:t>
      </w:r>
      <w:r>
        <w:t xml:space="preserve"> So the business questions.</w:t>
      </w:r>
    </w:p>
    <w:p>
      <w:r>
        <w:rPr>
          <w:b/>
        </w:rPr>
        <w:t>Alber.</w:t>
      </w:r>
      <w:r>
        <w:t xml:space="preserve"> Three of them, and every deliverable in this project maps back to one:</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Question</w:t>
            </w:r>
          </w:p>
        </w:tc>
        <w:tc>
          <w:tcPr>
            <w:tcW w:type="dxa" w:w="3120"/>
          </w:tcPr>
          <w:p>
            <w:r>
              <w:rPr>
                <w:b/>
              </w:rPr>
            </w:r>
            <w:r>
              <w:rPr>
                <w:b/>
              </w:rPr>
              <w:t>Answered by</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How have revenue and profit trended, and is the company still growing?</w:t>
            </w:r>
          </w:p>
        </w:tc>
        <w:tc>
          <w:tcPr>
            <w:tcW w:type="dxa" w:w="3120"/>
          </w:tcPr>
          <w:p>
            <w:pPr>
              <w:spacing w:line="240" w:lineRule="auto"/>
            </w:pPr>
            <w:r>
              <w:rPr>
                <w:sz w:val="18"/>
              </w:rPr>
            </w:r>
            <w:r>
              <w:rPr>
                <w:sz w:val="18"/>
              </w:rPr>
              <w:t>Query 3, and the Checkpoint 2 regression</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Which categories and sub-categories drive the trend?</w:t>
            </w:r>
          </w:p>
        </w:tc>
        <w:tc>
          <w:tcPr>
            <w:tcW w:type="dxa" w:w="3120"/>
          </w:tcPr>
          <w:p>
            <w:pPr>
              <w:spacing w:line="240" w:lineRule="auto"/>
            </w:pPr>
            <w:r>
              <w:rPr>
                <w:sz w:val="18"/>
              </w:rPr>
            </w:r>
            <w:r>
              <w:rPr>
                <w:sz w:val="18"/>
              </w:rPr>
              <w:t>Queries 5 and 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When does demand concentrate, and is the pattern the same for every category?</w:t>
            </w:r>
          </w:p>
        </w:tc>
        <w:tc>
          <w:tcPr>
            <w:tcW w:type="dxa" w:w="3120"/>
          </w:tcPr>
          <w:p>
            <w:pPr>
              <w:spacing w:line="240" w:lineRule="auto"/>
            </w:pPr>
            <w:r>
              <w:rPr>
                <w:sz w:val="18"/>
              </w:rPr>
            </w:r>
            <w:r>
              <w:rPr>
                <w:sz w:val="18"/>
              </w:rPr>
              <w:t>Queries 4 and 8</w:t>
            </w:r>
          </w:p>
        </w:tc>
      </w:tr>
    </w:tbl>
    <w:p>
      <w:pPr>
        <w:spacing w:after="200" w:line="240" w:lineRule="auto"/>
        <w:jc w:val="center"/>
      </w:pPr>
      <w:r>
        <w:rPr>
          <w:i/>
          <w:color w:val="7B8994"/>
          <w:sz w:val="20"/>
        </w:rPr>
        <w:t>Table 3. Segment 1 — The business problem (Task 1.1)</w:t>
      </w:r>
    </w:p>
    <w:p>
      <w:r>
        <w:t>Why it matters: the decisions hanging off these answers are what to stock, when to stock it, and where to put the sales effort. Getting them wrong costs inventory that does not sell and campaigns that land in the wrong quarter.</w:t>
      </w:r>
    </w:p>
    <w:p>
      <w:r>
        <w:br w:type="page"/>
      </w:r>
    </w:p>
    <w:p>
      <w:pPr>
        <w:pStyle w:val="Heading2"/>
      </w:pPr>
      <w:r>
        <w:t>Segment 2 — The dataset and what was wrong with it (Task 1.2)</w:t>
      </w:r>
    </w:p>
    <w:p>
      <w:r>
        <w:rPr>
          <w:i/>
        </w:rPr>
        <w:t>About 2.5 minutes. Julebeth leads.</w:t>
      </w:r>
    </w:p>
    <w:p>
      <w:r>
        <w:rPr>
          <w:b/>
        </w:rPr>
        <w:t>Julebeth.</w:t>
      </w:r>
      <w:r>
        <w:t xml:space="preserve"> The dataset is a retail sales export, 1,194 transaction lines and 12 columns, covering 22 March 2020 to 15 March 2025. The brief asks for at least 200 rows. The grain — and this is the word to remember — is </w:t>
      </w:r>
      <w:r>
        <w:rPr>
          <w:b/>
        </w:rPr>
        <w:t>one row per product line on an order</w:t>
      </w:r>
      <w:r>
        <w:t>, not one row per order.</w:t>
      </w:r>
    </w:p>
    <w:p>
      <w:r>
        <w:t>We ran a quality assessment before touching anything, and found five problems. I will take them in order of how much trouble they caused.</w:t>
      </w:r>
    </w:p>
    <w:p>
      <w:r>
        <w:rPr>
          <w:b/>
        </w:rPr>
        <w:t>One. `Order ID` is not a primary key.</w:t>
      </w:r>
      <w:r>
        <w:t xml:space="preserve"> There are 1,194 rows but only 547 distinct order IDs, and the repeats are not duplicate rows — the same ID appears on different dates, for different customers. So it does not identify an order either. We kept it as a plain attribute and issued our own surrogate key, </w:t>
      </w:r>
      <w:r>
        <w:rPr>
          <w:rFonts w:ascii="Consolas" w:hAnsi="Consolas"/>
          <w:color w:val="2F6F9F"/>
          <w:sz w:val="18"/>
        </w:rPr>
        <w:t>sale_id</w:t>
      </w:r>
      <w:r>
        <w:t>.</w:t>
      </w:r>
    </w:p>
    <w:p>
      <w:r>
        <w:rPr>
          <w:b/>
        </w:rPr>
        <w:t>Alber.</w:t>
      </w:r>
      <w:r>
        <w:t xml:space="preserve"> Why not repair it instead?</w:t>
      </w:r>
    </w:p>
    <w:p>
      <w:r>
        <w:rPr>
          <w:b/>
        </w:rPr>
        <w:t>Julebeth.</w:t>
      </w:r>
      <w:r>
        <w:t xml:space="preserve"> Because repairing it means deciding which of two rows with the same ID is the "real" one, and we have no evidence for that decision. Inventing that evidence is data fabrication, which the brief says is grounds for a failing mark. Documenting the defect costs us nothing analytically — no question we ask needs order identity.</w:t>
      </w:r>
    </w:p>
    <w:p>
      <w:r>
        <w:rPr>
          <w:b/>
        </w:rPr>
        <w:t>Two. Customer name is not an identifier either.</w:t>
      </w:r>
      <w:r>
        <w:t xml:space="preserve"> 807 customers resolve from 802 distinct names, because five names appear in more than one city. Our customer key is the pair (name, city).</w:t>
      </w:r>
    </w:p>
    <w:p>
      <w:r>
        <w:rPr>
          <w:b/>
        </w:rPr>
        <w:t>Three.</w:t>
      </w:r>
      <w:r>
        <w:t xml:space="preserve"> The </w:t>
      </w:r>
      <w:r>
        <w:rPr>
          <w:rFonts w:ascii="Consolas" w:hAnsi="Consolas"/>
          <w:color w:val="2F6F9F"/>
          <w:sz w:val="18"/>
        </w:rPr>
        <w:t>Year-Month</w:t>
      </w:r>
      <w:r>
        <w:t xml:space="preserve"> column is redundant — it is derivable from the date, so it does not belong in a normalised schema. We rebuilt it in the </w:t>
      </w:r>
      <w:r>
        <w:rPr>
          <w:rFonts w:ascii="Consolas" w:hAnsi="Consolas"/>
          <w:color w:val="2F6F9F"/>
          <w:sz w:val="18"/>
        </w:rPr>
        <w:t>dates</w:t>
      </w:r>
      <w:r>
        <w:t xml:space="preserve"> table.</w:t>
      </w:r>
    </w:p>
    <w:p>
      <w:r>
        <w:rPr>
          <w:b/>
        </w:rPr>
        <w:t>Four. Both ends of the file are partial.</w:t>
      </w:r>
      <w:r>
        <w:t xml:space="preserve"> It starts 22 March 2020 and stops 15 March 2025. That matters more than it sounds, and it is where our one significant error came from. I will come back to it.</w:t>
      </w:r>
    </w:p>
    <w:p>
      <w:r>
        <w:rPr>
          <w:b/>
        </w:rPr>
        <w:t>Five, and the one to be upfront about: the dataset is synthetic.</w:t>
      </w:r>
      <w:r>
        <w:t xml:space="preserve"> It is not real trading data. We have five machine-checked signals:</w:t>
      </w:r>
    </w:p>
    <w:p>
      <w:pPr>
        <w:pStyle w:val="ListBullet"/>
      </w:pPr>
      <w:r>
        <w:t>Not one loss-making line in five years — no real retailer has that</w:t>
      </w:r>
    </w:p>
    <w:p>
      <w:pPr>
        <w:pStyle w:val="ListBullet"/>
      </w:pPr>
      <w:r>
        <w:t>22 of the 802 names end in credential suffixes like "MD" or "DDS", which is a Faker library artefact</w:t>
      </w:r>
    </w:p>
    <w:p>
      <w:pPr>
        <w:pStyle w:val="ListBullet"/>
      </w:pPr>
      <w:r>
        <w:t>US cities paired with UPI and EMI payment methods, which are Indian payment rails</w:t>
      </w:r>
    </w:p>
    <w:p>
      <w:pPr>
        <w:pStyle w:val="ListBullet"/>
      </w:pPr>
      <w:r>
        <w:t>The payment mix is near-uniform, 206 to 260 across every method</w:t>
      </w:r>
    </w:p>
    <w:p>
      <w:pPr>
        <w:pStyle w:val="ListBullet"/>
      </w:pPr>
      <w:r>
        <w:t>The Amount histogram is flat, not normal — real transaction values are right-skewed</w:t>
      </w:r>
    </w:p>
    <w:p>
      <w:r>
        <w:rPr>
          <w:b/>
        </w:rPr>
        <w:t>Mardy.</w:t>
      </w:r>
      <w:r>
        <w:t xml:space="preserve"> And we did not fix any of it.</w:t>
      </w:r>
    </w:p>
    <w:p>
      <w:r>
        <w:rPr>
          <w:b/>
        </w:rPr>
        <w:t>Julebeth.</w:t>
      </w:r>
      <w:r>
        <w:t xml:space="preserve"> We did not. Fixing it would mean inventing numbers. What we did instead was state it, prove it, and carry the limitation into every conclusion. The method is unaffected — every query and every statistic in this project would run identically against a real export.</w:t>
      </w:r>
    </w:p>
    <w:p>
      <w:r>
        <w:br w:type="page"/>
      </w:r>
    </w:p>
    <w:p>
      <w:pPr>
        <w:pStyle w:val="Heading2"/>
      </w:pPr>
      <w:r>
        <w:t>Segment 3 — The database (Task 1.3)</w:t>
      </w:r>
    </w:p>
    <w:p>
      <w:r>
        <w:rPr>
          <w:i/>
        </w:rPr>
        <w:t>About 2 minutes. Julebeth continues, with the ERD on screen.</w:t>
      </w:r>
    </w:p>
    <w:p>
      <w:r>
        <w:rPr>
          <w:b/>
        </w:rPr>
        <w:t>Julebeth.</w:t>
      </w:r>
      <w:r>
        <w:t xml:space="preserve"> We normalised the flat file into a </w:t>
      </w:r>
      <w:r>
        <w:rPr>
          <w:b/>
        </w:rPr>
        <w:t>star schema</w:t>
      </w:r>
      <w:r>
        <w:t>: one fact table surrounded by seven dimensions, eight tables in total.</w:t>
      </w:r>
    </w:p>
    <w:p>
      <w:r>
        <w:rPr>
          <w:rFonts w:ascii="Consolas" w:hAnsi="Consolas"/>
          <w:color w:val="2F6F9F"/>
          <w:sz w:val="18"/>
        </w:rPr>
        <w:t>sales</w:t>
      </w:r>
      <w:r>
        <w:t xml:space="preserve"> is the fact table, one row per transaction line. Around it: </w:t>
      </w:r>
      <w:r>
        <w:rPr>
          <w:rFonts w:ascii="Consolas" w:hAnsi="Consolas"/>
          <w:color w:val="2F6F9F"/>
          <w:sz w:val="18"/>
        </w:rPr>
        <w:t>customers</w:t>
      </w:r>
      <w:r>
        <w:t xml:space="preserve">, </w:t>
      </w:r>
      <w:r>
        <w:rPr>
          <w:rFonts w:ascii="Consolas" w:hAnsi="Consolas"/>
          <w:color w:val="2F6F9F"/>
          <w:sz w:val="18"/>
        </w:rPr>
        <w:t>cities</w:t>
      </w:r>
      <w:r>
        <w:t xml:space="preserve">, </w:t>
      </w:r>
      <w:r>
        <w:rPr>
          <w:rFonts w:ascii="Consolas" w:hAnsi="Consolas"/>
          <w:color w:val="2F6F9F"/>
          <w:sz w:val="18"/>
        </w:rPr>
        <w:t>states</w:t>
      </w:r>
      <w:r>
        <w:t xml:space="preserve">, </w:t>
      </w:r>
      <w:r>
        <w:rPr>
          <w:rFonts w:ascii="Consolas" w:hAnsi="Consolas"/>
          <w:color w:val="2F6F9F"/>
          <w:sz w:val="18"/>
        </w:rPr>
        <w:t>categories</w:t>
      </w:r>
      <w:r>
        <w:t xml:space="preserve">, </w:t>
      </w:r>
      <w:r>
        <w:rPr>
          <w:rFonts w:ascii="Consolas" w:hAnsi="Consolas"/>
          <w:color w:val="2F6F9F"/>
          <w:sz w:val="18"/>
        </w:rPr>
        <w:t>sub_categories</w:t>
      </w:r>
      <w:r>
        <w:t xml:space="preserve">, </w:t>
      </w:r>
      <w:r>
        <w:rPr>
          <w:rFonts w:ascii="Consolas" w:hAnsi="Consolas"/>
          <w:color w:val="2F6F9F"/>
          <w:sz w:val="18"/>
        </w:rPr>
        <w:t>payment_modes</w:t>
      </w:r>
      <w:r>
        <w:t xml:space="preserve"> and </w:t>
      </w:r>
      <w:r>
        <w:rPr>
          <w:rFonts w:ascii="Consolas" w:hAnsi="Consolas"/>
          <w:color w:val="2F6F9F"/>
          <w:sz w:val="18"/>
        </w:rPr>
        <w:t>dates</w:t>
      </w:r>
      <w:r>
        <w:t>.</w:t>
      </w:r>
    </w:p>
    <w:p>
      <w:r>
        <w:rPr>
          <w:b/>
        </w:rPr>
        <w:t>Alber.</w:t>
      </w:r>
      <w:r>
        <w:t xml:space="preserve"> Why a star, and not just the one table we started with?</w:t>
      </w:r>
    </w:p>
    <w:p>
      <w:r>
        <w:rPr>
          <w:b/>
        </w:rPr>
        <w:t>Julebeth.</w:t>
      </w:r>
      <w:r>
        <w:t xml:space="preserve"> Three reasons.</w:t>
      </w:r>
    </w:p>
    <w:p>
      <w:r>
        <w:t xml:space="preserve">First, </w:t>
      </w:r>
      <w:r>
        <w:rPr>
          <w:b/>
        </w:rPr>
        <w:t>consistency</w:t>
      </w:r>
      <w:r>
        <w:t xml:space="preserve">. In the flat file, a category name is repeated on every row that uses it, so a typo in one row creates a category that does not exist. In the star, the name lives once in </w:t>
      </w:r>
      <w:r>
        <w:rPr>
          <w:rFonts w:ascii="Consolas" w:hAnsi="Consolas"/>
          <w:color w:val="2F6F9F"/>
          <w:sz w:val="18"/>
        </w:rPr>
        <w:t>categories</w:t>
      </w:r>
      <w:r>
        <w:t xml:space="preserve"> and the fact table carries an integer key. A typo becomes impossible rather than merely unlikely.</w:t>
      </w:r>
    </w:p>
    <w:p>
      <w:r>
        <w:t xml:space="preserve">Second, </w:t>
      </w:r>
      <w:r>
        <w:rPr>
          <w:b/>
        </w:rPr>
        <w:t>the brief asks for it</w:t>
      </w:r>
      <w:r>
        <w:t xml:space="preserve"> — Task 1.3 requires at least two related tables with proper primary and foreign keys. We have eight tables, eight primary keys, seven foreign keys, six unique constraints and four check constraints, and we tested that the constraints actually reject bad rows rather than assuming they would.</w:t>
      </w:r>
    </w:p>
    <w:p>
      <w:r>
        <w:t xml:space="preserve">Third, </w:t>
      </w:r>
      <w:r>
        <w:rPr>
          <w:b/>
        </w:rPr>
        <w:t>it is what the queries need</w:t>
      </w:r>
      <w:r>
        <w:t>. The category trend question needs category and date on the same row as the amount; a star gives you that in one join.</w:t>
      </w:r>
    </w:p>
    <w:p>
      <w:r>
        <w:rPr>
          <w:b/>
        </w:rPr>
        <w:t>Mardy.</w:t>
      </w:r>
      <w:r>
        <w:t xml:space="preserve"> Say something about the </w:t>
      </w:r>
      <w:r>
        <w:rPr>
          <w:rFonts w:ascii="Consolas" w:hAnsi="Consolas"/>
          <w:color w:val="2F6F9F"/>
          <w:sz w:val="18"/>
        </w:rPr>
        <w:t>dates</w:t>
      </w:r>
      <w:r>
        <w:t xml:space="preserve"> table, because that is the one that looks like overkill.</w:t>
      </w:r>
    </w:p>
    <w:p>
      <w:r>
        <w:rPr>
          <w:b/>
        </w:rPr>
        <w:t>Julebeth.</w:t>
      </w:r>
      <w:r>
        <w:t xml:space="preserve"> It looks like overkill until you try to write the queries. Two reasons it earns its place. One, it keeps the SQL portable — we never call </w:t>
      </w:r>
      <w:r>
        <w:rPr>
          <w:rFonts w:ascii="Consolas" w:hAnsi="Consolas"/>
          <w:color w:val="2F6F9F"/>
          <w:sz w:val="18"/>
        </w:rPr>
        <w:t>YEAR()</w:t>
      </w:r>
      <w:r>
        <w:t xml:space="preserve"> or </w:t>
      </w:r>
      <w:r>
        <w:rPr>
          <w:rFonts w:ascii="Consolas" w:hAnsi="Consolas"/>
          <w:color w:val="2F6F9F"/>
          <w:sz w:val="18"/>
        </w:rPr>
        <w:t>strftime()</w:t>
      </w:r>
      <w:r>
        <w:t xml:space="preserve">, so the same query file runs unchanged on MySQL and on SQLite, and we verified that. Two, it carries two flags the raw dates cannot: </w:t>
      </w:r>
      <w:r>
        <w:rPr>
          <w:rFonts w:ascii="Consolas" w:hAnsi="Consolas"/>
          <w:color w:val="2F6F9F"/>
          <w:sz w:val="18"/>
        </w:rPr>
        <w:t>is_complete_month</w:t>
      </w:r>
      <w:r>
        <w:t xml:space="preserve"> and </w:t>
      </w:r>
      <w:r>
        <w:rPr>
          <w:rFonts w:ascii="Consolas" w:hAnsi="Consolas"/>
          <w:color w:val="2F6F9F"/>
          <w:sz w:val="18"/>
        </w:rPr>
        <w:t>is_complete_year</w:t>
      </w:r>
      <w:r>
        <w:t>. Those flags are the fix for problem four, the partial ends of the file, and they are what stops anyone accidentally comparing a nine-month 2020 against a full 2021.</w:t>
      </w:r>
    </w:p>
    <w:p>
      <w:r>
        <w:t xml:space="preserve">One trap worth flagging because it cost us real time: </w:t>
      </w:r>
      <w:r>
        <w:rPr>
          <w:rFonts w:ascii="Consolas" w:hAnsi="Consolas"/>
          <w:color w:val="2F6F9F"/>
          <w:sz w:val="18"/>
        </w:rPr>
        <w:t>year_month</w:t>
      </w:r>
      <w:r>
        <w:t xml:space="preserve"> is a </w:t>
      </w:r>
      <w:r>
        <w:rPr>
          <w:b/>
        </w:rPr>
        <w:t>reserved word in MySQL</w:t>
      </w:r>
      <w:r>
        <w:t xml:space="preserve">. </w:t>
      </w:r>
      <w:r>
        <w:rPr>
          <w:rFonts w:ascii="Consolas" w:hAnsi="Consolas"/>
          <w:color w:val="2F6F9F"/>
          <w:sz w:val="18"/>
        </w:rPr>
        <w:t>CREATE TABLE dates</w:t>
      </w:r>
      <w:r>
        <w:t xml:space="preserve"> failed outright with a syntax error until we backticked it. We only found that because we installed a real MySQL server and ran the import rather than assuming the file was fine.</w:t>
      </w:r>
    </w:p>
    <w:p>
      <w:r>
        <w:t xml:space="preserve">The whole thing loads from one file — </w:t>
      </w:r>
      <w:r>
        <w:rPr>
          <w:rFonts w:ascii="Consolas" w:hAnsi="Consolas"/>
          <w:color w:val="2F6F9F"/>
          <w:sz w:val="18"/>
        </w:rPr>
        <w:t>02_mysql_full_import.sql</w:t>
      </w:r>
      <w:r>
        <w:t xml:space="preserve"> creates the database, all eight tables and all the data, and ends with a verification block whose last row must read 1,194 rows, 6,182,639.00 in revenue, 547 order IDs and 57 complete months, with zero orphans.</w:t>
      </w:r>
    </w:p>
    <w:p>
      <w:r>
        <w:br w:type="page"/>
      </w:r>
    </w:p>
    <w:p>
      <w:pPr>
        <w:pStyle w:val="Heading2"/>
      </w:pPr>
      <w:r>
        <w:t>Segment 4 — The eight queries (Task 1.4)</w:t>
      </w:r>
    </w:p>
    <w:p>
      <w:r>
        <w:rPr>
          <w:i/>
        </w:rPr>
        <w:t>About 3 minutes. Mardy leads. Have the Q3, Q5 and Q8 screenshots ready.</w:t>
      </w:r>
    </w:p>
    <w:p>
      <w:r>
        <w:rPr>
          <w:b/>
        </w:rPr>
        <w:t>Mardy.</w:t>
      </w:r>
      <w:r>
        <w:t xml:space="preserve"> Eight queries in four groups: two basic retrievals with </w:t>
      </w:r>
      <w:r>
        <w:rPr>
          <w:rFonts w:ascii="Consolas" w:hAnsi="Consolas"/>
          <w:color w:val="2F6F9F"/>
          <w:sz w:val="18"/>
        </w:rPr>
        <w:t>WHERE</w:t>
      </w:r>
      <w:r>
        <w:t xml:space="preserve"> and </w:t>
      </w:r>
      <w:r>
        <w:rPr>
          <w:rFonts w:ascii="Consolas" w:hAnsi="Consolas"/>
          <w:color w:val="2F6F9F"/>
          <w:sz w:val="18"/>
        </w:rPr>
        <w:t>ORDER BY</w:t>
      </w:r>
      <w:r>
        <w:t xml:space="preserve">, two aggregates with </w:t>
      </w:r>
      <w:r>
        <w:rPr>
          <w:rFonts w:ascii="Consolas" w:hAnsi="Consolas"/>
          <w:color w:val="2F6F9F"/>
          <w:sz w:val="18"/>
        </w:rPr>
        <w:t>GROUP BY</w:t>
      </w:r>
      <w:r>
        <w:t>, two multi-table joins — ours join four tables each — and two business-insight queries. I will skip the mechanics and go to what they found, which is four things.</w:t>
      </w:r>
    </w:p>
    <w:p>
      <w:r>
        <w:rPr>
          <w:b/>
        </w:rPr>
        <w:t>Finding one — growth stopped in 2022, and it stopped in a specific way.</w:t>
      </w:r>
      <w:r>
        <w:t xml:space="preserve"> Query 3 aggregates by year, but on a </w:t>
      </w:r>
      <w:r>
        <w:rPr>
          <w:b/>
        </w:rPr>
        <w:t>per-month</w:t>
      </w:r>
      <w:r>
        <w:t xml:space="preserve"> basis so the partial years cannot distort it. Revenue per month went from 92,934 in 2020, up to 121,648 at the 2022 peak, then down to 100,207 in 2024. Meanwhile margin never left the 24-to-27% band and average order value never left the 5,008-to-5,444 band. That combination is the whole diagnosis: fewer orders, not cheaper or less profitable ones.</w:t>
      </w:r>
    </w:p>
    <w:p>
      <w:r>
        <w:rPr>
          <w:b/>
        </w:rPr>
        <w:t>Alber.</w:t>
      </w:r>
      <w:r>
        <w:t xml:space="preserve"> Which is actionable in a way that "revenue fell" is not. It points at demand generation, not at pricing.</w:t>
      </w:r>
    </w:p>
    <w:p>
      <w:r>
        <w:rPr>
          <w:b/>
        </w:rPr>
        <w:t>Mardy.</w:t>
      </w:r>
      <w:r>
        <w:t xml:space="preserve"> </w:t>
      </w:r>
      <w:r>
        <w:rPr>
          <w:b/>
        </w:rPr>
        <w:t>Finding two — one sub-category explains most of the gap.</w:t>
      </w:r>
      <w:r>
        <w:t xml:space="preserve"> Query 5 and Query 7 break the trend down by category and sub-category. Printers lost 136,865 between 2023 and 2024, a 71.0% collapse — that single line item is over half of the entire peak-to-2024 gap. Every Electronics sub-category fell, and the category as a whole is down 40.8%. Every Office Supplies sub-category grew; Paper is up 85,689, or 149.4%.</w:t>
      </w:r>
    </w:p>
    <w:p>
      <w:r>
        <w:rPr>
          <w:b/>
        </w:rPr>
        <w:t>Julebeth.</w:t>
      </w:r>
      <w:r>
        <w:t xml:space="preserve"> So it is not a general slowdown.</w:t>
      </w:r>
    </w:p>
    <w:p>
      <w:r>
        <w:rPr>
          <w:b/>
        </w:rPr>
        <w:t>Mardy.</w:t>
      </w:r>
      <w:r>
        <w:t xml:space="preserve"> It is not. Two opposite trends are running at once, and the company-wide figure is their average, which describes neither. That is the single most useful thing Checkpoint 1 produced.</w:t>
      </w:r>
    </w:p>
    <w:p>
      <w:r>
        <w:rPr>
          <w:b/>
        </w:rPr>
        <w:t>Finding three — seasonality is category-specific.</w:t>
      </w:r>
      <w:r>
        <w:t xml:space="preserve"> Query 4 and Query 8. The blended figure says Q4 is the peak quarter. Split it out and Electronics actually peaks in </w:t>
      </w:r>
      <w:r>
        <w:rPr>
          <w:b/>
        </w:rPr>
        <w:t>Q2</w:t>
      </w:r>
      <w:r>
        <w:t>, at 30.79% of its annual revenue, while Furniture peaks in Q4 at 30.84% and Office Supplies in Q4 at 32.16%. So a single blended planning curve is wrong for all three categories — it over-stocks Electronics in Q4 and under-stocks it in Q2.</w:t>
      </w:r>
    </w:p>
    <w:p>
      <w:r>
        <w:rPr>
          <w:b/>
        </w:rPr>
        <w:t>Finding four — geography is not a factor.</w:t>
      </w:r>
      <w:r>
        <w:t xml:space="preserve"> Query 6. Across five years, state revenue spans only 28% between the highest and the lowest, with no state trending against the others. Not every finding has to be a discovery; this one tells the business where </w:t>
      </w:r>
      <w:r>
        <w:rPr>
          <w:i/>
        </w:rPr>
        <w:t>not</w:t>
      </w:r>
      <w:r>
        <w:t xml:space="preserve"> to spend its analytical effort.</w:t>
      </w:r>
    </w:p>
    <w:p>
      <w:r>
        <w:br w:type="page"/>
      </w:r>
    </w:p>
    <w:p>
      <w:pPr>
        <w:pStyle w:val="Heading2"/>
      </w:pPr>
      <w:r>
        <w:t>Segment 5 — The workbook (Task 2.1)</w:t>
      </w:r>
    </w:p>
    <w:p>
      <w:r>
        <w:rPr>
          <w:i/>
        </w:rPr>
        <w:t>About 1.5 minutes. Julebeth leads, workbook on screen.</w:t>
      </w:r>
    </w:p>
    <w:p>
      <w:r>
        <w:rPr>
          <w:b/>
        </w:rPr>
        <w:t>Julebeth.</w:t>
      </w:r>
      <w:r>
        <w:t xml:space="preserve"> Checkpoint 2 takes the same dataset — the brief requires the same dataset — out of the database and into Excel. The workbook has thirteen sheets.</w:t>
      </w:r>
    </w:p>
    <w:p>
      <w:r>
        <w:t xml:space="preserve">The one design decision to be able to defend: </w:t>
      </w:r>
      <w:r>
        <w:rPr>
          <w:b/>
        </w:rPr>
        <w:t>everything is live formulas, not pasted values.</w:t>
      </w:r>
      <w:r>
        <w:t xml:space="preserve"> Around 1,724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r>
        <w:t>Beyond the brief's minimum we added three native PivotTables, each with a bound PivotChart, sharing one pivot cache — the brief asks for three pivot tables and three pivot charts, and the SUMIFS cross-tabs alone would have been arguable.</w:t>
      </w:r>
    </w:p>
    <w:p>
      <w:r>
        <w:t xml:space="preserve">There are also seven </w:t>
      </w:r>
      <w:r>
        <w:rPr>
          <w:b/>
        </w:rPr>
        <w:t>self-check</w:t>
      </w:r>
      <w:r>
        <w:t xml:space="preserve"> formulas on the Read Me sheet. Each one recomputes a headline figure by an independent route and prints OK or MISMATCH. The row count, the revenue total and the regression slope are all checked that way. If someone edits a cell they should not have, the workbook says so.</w:t>
      </w:r>
    </w:p>
    <w:p>
      <w:r>
        <w:br w:type="page"/>
      </w:r>
    </w:p>
    <w:p>
      <w:pPr>
        <w:pStyle w:val="Heading2"/>
      </w:pPr>
      <w:r>
        <w:t>Segment 6 — Descriptive statistics (Task 2.2)</w:t>
      </w:r>
    </w:p>
    <w:p>
      <w:r>
        <w:rPr>
          <w:i/>
        </w:rPr>
        <w:t>About 1.5 minutes. Mardy.</w:t>
      </w:r>
    </w:p>
    <w:p>
      <w:r>
        <w:rPr>
          <w:b/>
        </w:rPr>
        <w:t>Mardy.</w:t>
      </w:r>
      <w:r>
        <w:t xml:space="preserve"> Three numerical variables: Amount, Profit and Quantity. Mean, median, mode, standard deviation, variance, range, quartiles, IQR and coefficient of variation for each, plus a frequency distribution and a histogram.</w:t>
      </w:r>
    </w:p>
    <w:p>
      <w:r>
        <w:t>Two things in there are worth your attention; the rest is table-filling.</w:t>
      </w:r>
    </w:p>
    <w:p>
      <w:r>
        <w:rPr>
          <w:b/>
        </w:rPr>
        <w:t>One — Profit is far less predictable than revenue.</w:t>
      </w:r>
      <w:r>
        <w:t xml:space="preserve"> Amount has a coefficient of variation of 54.2%. Profit has 82.9%, and a skew of +0.94. So profit is both more variable </w:t>
      </w:r>
      <w:r>
        <w:rPr>
          <w:i/>
        </w:rPr>
        <w:t>and</w:t>
      </w:r>
      <w:r>
        <w:t xml:space="preserve"> asymmetric — a long right tail of a few very profitable lines. Practically: a revenue target does not manage profit, because the two do not move together tightly enough for one to stand in for the other.</w:t>
      </w:r>
    </w:p>
    <w:p>
      <w:r>
        <w:rPr>
          <w:b/>
        </w:rPr>
        <w:t>Alber.</w:t>
      </w:r>
      <w:r>
        <w:t xml:space="preserve"> That is the point that changes what we recommend for the dashboard.</w:t>
      </w:r>
    </w:p>
    <w:p>
      <w:r>
        <w:rPr>
          <w:b/>
        </w:rPr>
        <w:t>Mardy.</w:t>
      </w:r>
      <w:r>
        <w:t xml:space="preserve"> It is. </w:t>
      </w:r>
      <w:r>
        <w:rPr>
          <w:b/>
        </w:rPr>
        <w:t>Two — the histogram is the real finding.</w:t>
      </w:r>
      <w:r>
        <w:t xml:space="preserve"> Amount is distributed almost flat across its range. Real transaction values are right-skewed: many small sales, few large ones. A flat distribution is what a random number generator produces. So our own descriptive statistics independently confirm the synthetic-data conclusion from Checkpoint 1, and we report it as evidence rather than hiding it.</w:t>
      </w:r>
    </w:p>
    <w:p>
      <w:r>
        <w:br w:type="page"/>
      </w:r>
    </w:p>
    <w:p>
      <w:pPr>
        <w:pStyle w:val="Heading2"/>
      </w:pPr>
      <w:r>
        <w:t>Segment 7 — Correlation (Task 2.3)</w:t>
      </w:r>
    </w:p>
    <w:p>
      <w:r>
        <w:rPr>
          <w:i/>
        </w:rPr>
        <w:t>About 1.5 minutes. Mardy, scatter plots on screen.</w:t>
      </w:r>
    </w:p>
    <w:p>
      <w:r>
        <w:rPr>
          <w:b/>
        </w:rPr>
        <w:t>Mardy.</w:t>
      </w:r>
      <w:r>
        <w:t xml:space="preserve"> Two required pairs plus a third for support. Pearson's r, with scatter plots and fitted trendlines.</w:t>
      </w:r>
    </w:p>
    <w:p>
      <w:r>
        <w:rPr>
          <w:b/>
        </w:rPr>
        <w:t>Pair one — monthly order count against monthly revenue: r = 0.9227.</w:t>
      </w:r>
      <w:r>
        <w:t xml:space="preserve"> Strong positive. Order count explains about 85%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we cannot reject the null hypothesis that the true correlation is zero. This is a </w:t>
      </w:r>
      <w:r>
        <w:rPr>
          <w:b/>
        </w:rPr>
        <w:t>negative result and we are keeping it</w:t>
      </w:r>
      <w:r>
        <w:t>, because it kills an obvious strategy: a "sell more units" target would not move revenue in this business. Price per line varies far more than units per line.</w:t>
      </w:r>
    </w:p>
    <w:p>
      <w:r>
        <w:rPr>
          <w:b/>
        </w:rPr>
        <w:t>Supporting pair — amount against profit: r = 0.6753</w:t>
      </w:r>
      <w:r>
        <w:t>, so about 46% of profit variation tracks revenue. Moderate, not strong. Same conclusion as the CV figures from the previous segment, reached a different way.</w:t>
      </w:r>
    </w:p>
    <w:p>
      <w:r>
        <w:rPr>
          <w:b/>
        </w:rPr>
        <w:t>Julebeth.</w:t>
      </w:r>
      <w:r>
        <w:t xml:space="preserve"> And the caveat.</w:t>
      </w:r>
    </w:p>
    <w:p>
      <w:r>
        <w:rPr>
          <w:b/>
        </w:rPr>
        <w:t>Mardy.</w:t>
      </w:r>
      <w:r>
        <w:t xml:space="preserve"> Correlation is not causation, and we say so explicitly. Order count and revenue could both be driven by something else — market conditions, a campaign we cannot see in this data. What we can say is that the association is strong and consistent over 57 months, not that one causes the other.</w:t>
      </w:r>
    </w:p>
    <w:p>
      <w:r>
        <w:br w:type="page"/>
      </w:r>
    </w:p>
    <w:p>
      <w:pPr>
        <w:pStyle w:val="Heading2"/>
      </w:pPr>
      <w:r>
        <w:t>Segment 8 — Regression (Task 2.4)</w:t>
      </w:r>
    </w:p>
    <w:p>
      <w:r>
        <w:rPr>
          <w:i/>
        </w:rPr>
        <w:t>About 2 minutes. Mardy, ToolPak output on screen.</w:t>
      </w:r>
    </w:p>
    <w:p>
      <w:r>
        <w:rPr>
          <w:b/>
        </w:rPr>
        <w:t>Mardy.</w:t>
      </w:r>
      <w:r>
        <w:t xml:space="preserve"> We regressed monthly revenue on monthly order count over the 57 complete months. The equation:</w:t>
      </w:r>
    </w:p>
    <w:p>
      <w:r>
        <w:rPr>
          <w:b/>
        </w:rPr>
        <w:t>Revenue = −1,353.65 + 5,224.25 × Orders</w:t>
      </w:r>
    </w:p>
    <w:p>
      <w:r>
        <w:t>Reading it properly:</w:t>
      </w:r>
    </w:p>
    <w:p>
      <w:pPr>
        <w:pStyle w:val="ListBullet"/>
      </w:pPr>
      <w:r>
        <w:rPr>
          <w:b/>
        </w:rPr>
        <w:t>The slope, 5,224.25.</w:t>
      </w:r>
      <w:r>
        <w:t xml:space="preserve"> One additional order in a month is associated with about 5,224 more revenue in that month. Here is the check that makes this convincing: the mean order value in the data is 5,178.09. The slope lands within 0.9%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we do not interpret it.</w:t>
      </w:r>
    </w:p>
    <w:p>
      <w:r>
        <w:rPr>
          <w:b/>
        </w:rPr>
        <w:t>Alber.</w:t>
      </w:r>
      <w:r>
        <w:t xml:space="preserve"> And the forecast the brief asks for.</w:t>
      </w:r>
    </w:p>
    <w:p>
      <w:r>
        <w:rPr>
          <w:b/>
        </w:rPr>
        <w:t>Mardy.</w:t>
      </w:r>
      <w:r>
        <w:t xml:space="preserve"> The company is running about four orders per month below its 2022 level. At 5,224 per order, closing that gap is worth roughly </w:t>
      </w:r>
      <w:r>
        <w:rPr>
          <w:b/>
        </w:rPr>
        <w:t>250,000 a year</w:t>
      </w:r>
      <w:r>
        <w:t>. Checkpoint 1 arrived at 257,297 by an entirely different route — summing the actual category shortfalls. Two independent methods landing within 3% of each other is the strongest single piece of evidence in this project.</w:t>
      </w:r>
    </w:p>
    <w:p>
      <w:r>
        <w:t xml:space="preserve">We list six limitations, and I will name the three that matter most: it is a single-predictor model, so it says nothing about </w:t>
      </w:r>
      <w:r>
        <w:rPr>
          <w:i/>
        </w:rPr>
        <w:t>why</w:t>
      </w:r>
      <w:r>
        <w:t xml:space="preserve"> orders fell; it is fitted on 57 monthly points, which is not many; and it should not be extrapolated beyond the observed range of order counts.</w:t>
      </w:r>
    </w:p>
    <w:p>
      <w:r>
        <w:br w:type="page"/>
      </w:r>
    </w:p>
    <w:p>
      <w:pPr>
        <w:pStyle w:val="Heading2"/>
      </w:pPr>
      <w:r>
        <w:t>Segment 9 — Trend and seasonality (Task 2.5)</w:t>
      </w:r>
    </w:p>
    <w:p>
      <w:r>
        <w:rPr>
          <w:i/>
        </w:rPr>
        <w:t>About 2.5 minutes. Mardy and Alber share this. Figure 2 on screen, then the forecast chart.</w:t>
      </w:r>
    </w:p>
    <w:p>
      <w:r>
        <w:rPr>
          <w:b/>
        </w:rPr>
        <w:t>Mardy.</w:t>
      </w:r>
      <w:r>
        <w:t xml:space="preserve"> This is the segment that carries our topic, so I want to be precise about what we did and did not find.</w:t>
      </w:r>
    </w:p>
    <w:p>
      <w:r>
        <w:t xml:space="preserve">The trend is real and it is the finding: </w:t>
      </w:r>
      <w:r>
        <w:rPr>
          <w:b/>
        </w:rPr>
        <w:t>the series runs in two regimes.</w:t>
      </w:r>
      <w:r>
        <w:t xml:space="preserve"> Growth from 2020 to 2022 — 92,934 up to 121,648 per month, +30.9%. Then a plateau from 2022 to 2024 — down to 100,207, −17.6%. You can see both on Figure 2; the shading marks where one ends and the other begins.</w:t>
      </w:r>
    </w:p>
    <w:p>
      <w:r>
        <w:rPr>
          <w:b/>
        </w:rPr>
        <w:t>Alber.</w:t>
      </w:r>
      <w:r>
        <w:t xml:space="preserve"> Then why is there no growth rate in the forecast?</w:t>
      </w:r>
    </w:p>
    <w:p>
      <w:r>
        <w:rPr>
          <w:b/>
        </w:rPr>
        <w:t>Mardy.</w:t>
      </w:r>
      <w:r>
        <w:t xml:space="preserve"> Because we tested for one and there isn't a single one. We fitted a straight line across all 57 months and it explains </w:t>
      </w:r>
      <w:r>
        <w:rPr>
          <w:b/>
        </w:rPr>
        <w:t>under 1% of the variation — R² = 0.0078, p = 0.515.</w:t>
      </w:r>
      <w:r>
        <w:t xml:space="preserve"> We ran it on four different windows and got the same answer each time.</w:t>
      </w:r>
    </w:p>
    <w:p>
      <w:r>
        <w:t>That result is not "no trend". It is "</w:t>
      </w:r>
      <w:r>
        <w:rPr>
          <w:b/>
        </w:rPr>
        <w:t>no single straight line fits both regimes</w:t>
      </w:r>
      <w:r>
        <w:t>", which is exactly what you would expect from a series that rises and then flattens: the up-slope and the flat cancel out, and the average of the two is nearly horizontal. Reporting that honestly, and refusing to project a growth rate we cannot demonstrate, is the correct handling — projecting one anyway would be inventing a number.</w:t>
      </w:r>
    </w:p>
    <w:p>
      <w:r>
        <w:t xml:space="preserve">So the forecast is built from </w:t>
      </w:r>
      <w:r>
        <w:rPr>
          <w:b/>
        </w:rPr>
        <w:t>level and seasonality</w:t>
      </w:r>
      <w:r>
        <w:t xml:space="preserve"> instead of from a trend line. We computed monthly seasonal indices — January runs at 0.679 of an average month, October at 1.229, December at 1.273 — and applied them to the recent level to project the six months from January to June 2025.</w:t>
      </w:r>
    </w:p>
    <w:p>
      <w:r>
        <w:rPr>
          <w:b/>
        </w:rPr>
        <w:t>Julebeth.</w:t>
      </w:r>
      <w:r>
        <w:t xml:space="preserve"> And you tested whether that actually worked.</w:t>
      </w:r>
    </w:p>
    <w:p>
      <w:r>
        <w:rPr>
          <w:b/>
        </w:rPr>
        <w:t>Mardy.</w:t>
      </w:r>
      <w:r>
        <w:t xml:space="preserve"> We did, and it is the part of this project I would most want the instructor to see. We held out the two months we could check and compared the seasonal forecast against a naive flat average. </w:t>
      </w:r>
      <w:r>
        <w:rPr>
          <w:b/>
        </w:rPr>
        <w:t>The seasonal forecast lost.</w:t>
      </w:r>
      <w:r>
        <w:t xml:space="preserve"> Mean absolute error 22.7% against the flat average's 14.9%. It ranks fifth of the eight methods we tested.</w:t>
      </w:r>
    </w:p>
    <w:p>
      <w:r>
        <w:t>The reason is visible: January 2025 came in at 112,906 against our prediction of 68,853. January's seasonal index says January is the weakest month of the year, and this January was not.</w:t>
      </w:r>
    </w:p>
    <w:p>
      <w:r>
        <w:rPr>
          <w:b/>
        </w:rPr>
        <w:t>Alber.</w:t>
      </w:r>
      <w:r>
        <w:t xml:space="preserve"> So why keep the seasonal method?</w:t>
      </w:r>
    </w:p>
    <w:p>
      <w:r>
        <w:rPr>
          <w:b/>
        </w:rPr>
        <w:t>Mardy.</w:t>
      </w:r>
      <w:r>
        <w:t xml:space="preserve"> Because switching methods on the strength of two observations is overfitting the holdout — you would be choosing the model that happened to win on a two-month sample, which is not evidence. We report the result, we keep the method, and we say plainly that our forecast reliability over this horizon is weak. The reliability discussion the brief asks for is not a formality here; we have measured our own error and it is 22.7%.</w:t>
      </w:r>
    </w:p>
    <w:p>
      <w:r>
        <w:br w:type="page"/>
      </w:r>
    </w:p>
    <w:p>
      <w:pPr>
        <w:pStyle w:val="Heading2"/>
      </w:pPr>
      <w:r>
        <w:t>Segment 10 — The correction, and what we would tell the business</w:t>
      </w:r>
    </w:p>
    <w:p>
      <w:r>
        <w:rPr>
          <w:i/>
        </w:rPr>
        <w:t>About 2 minutes. Alber closes, with Julebeth on the correction.</w:t>
      </w:r>
    </w:p>
    <w:p>
      <w:r>
        <w:rPr>
          <w:b/>
        </w:rPr>
        <w:t>Julebeth.</w:t>
      </w:r>
      <w:r>
        <w:t xml:space="preserve"> Before the conclusion, one thing we have to put on the record ourselves. Building the Checkpoint 2 monthly series exposed an </w:t>
      </w:r>
      <w:r>
        <w:rPr>
          <w:b/>
        </w:rPr>
        <w:t>error in our own Checkpoint 1</w:t>
      </w:r>
      <w:r>
        <w:t>.</w:t>
      </w:r>
    </w:p>
    <w:p>
      <w:r>
        <w:t xml:space="preserve">We treated 2020 as a full year. The file starts 22 March, so 2020 holds nine months. That overstated 2020-to-2022 growth as </w:t>
      </w:r>
      <w:r>
        <w:rPr>
          <w:b/>
        </w:rPr>
        <w:t>69.9%</w:t>
      </w:r>
      <w:r>
        <w:t xml:space="preserve"> when the like-for-like figure is </w:t>
      </w:r>
      <w:r>
        <w:rPr>
          <w:b/>
        </w:rPr>
        <w:t>30.9%</w:t>
      </w:r>
      <w:r>
        <w:t>. It also distorted March's seasonal index, from 1.025 down to 0.876.</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4. Segment 10 — The correction, and what we would tell the business</w:t>
      </w:r>
    </w:p>
    <w:p>
      <w:r>
        <w:t xml:space="preserve">The central thesis is unchanged; one supporting number was overstated. We reissued Checkpoint 1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r>
        <w:rPr>
          <w:b/>
        </w:rPr>
        <w:t>Alber.</w:t>
      </w:r>
      <w:r>
        <w:t xml:space="preserve"> Three recommendations come out of this, and each one is tied to a measurement rather than an opinion.</w:t>
      </w:r>
    </w:p>
    <w:p>
      <w:r>
        <w:rPr>
          <w:b/>
        </w:rPr>
        <w:t>One — track order count, not revenue.</w:t>
      </w:r>
      <w:r>
        <w:t xml:space="preserve"> Revenue is the lagging indicator; order count is what drives it, r = 0.923, and it is the thing the business can actually act on.</w:t>
      </w:r>
    </w:p>
    <w:p>
      <w:r>
        <w:rPr>
          <w:b/>
        </w:rPr>
        <w:t>Two — plan seasonality by category, not company-wide.</w:t>
      </w:r>
      <w:r>
        <w:t xml:space="preserve"> The blended curve is wrong for all three categories. Electronics peaks in Q2; the other two peak in Q4.</w:t>
      </w:r>
    </w:p>
    <w:p>
      <w:r>
        <w:rPr>
          <w:b/>
        </w:rPr>
        <w:t>Three — investigate Printers first.</w:t>
      </w:r>
      <w:r>
        <w:t xml:space="preserve"> One sub-category, 136,865, over half the gap. Whether that is a supply problem, a competitive loss, or a category in structural decline is not something this dataset can tell us — but it tells us where to look, and that is what the analysis was for.</w:t>
      </w:r>
    </w:p>
    <w:p>
      <w:r>
        <w:rPr>
          <w:b/>
        </w:rPr>
        <w:t>Mardy.</w:t>
      </w:r>
      <w:r>
        <w:t xml:space="preserve"> And the honest summary of the limitations.</w:t>
      </w:r>
    </w:p>
    <w:p>
      <w:r>
        <w:rPr>
          <w:b/>
        </w:rPr>
        <w:t>Alber.</w:t>
      </w:r>
      <w:r>
        <w:t xml:space="preserve"> Three. The data is synthetic, so the </w:t>
      </w:r>
      <w:r>
        <w:rPr>
          <w:i/>
        </w:rPr>
        <w:t>figures</w:t>
      </w:r>
      <w:r>
        <w:t xml:space="preserve"> illustrate the method rather than describe a real company. The forecast is weak — 22.7% error against a flat average's 14.9%, and we say so rather than quietly dropping the test. And correlation is not causation: we have shown that order count and revenue move together, not that one causes the other.</w:t>
      </w:r>
    </w:p>
    <w:p>
      <w:r>
        <w:t>What we would stand behind is the method: a defect-documented dataset, a normalised schema with enforced constraints, queries verified on two database engines, and statistics tested for significance rather than eyeballed — with the negative results reported alongside the positive ones.</w:t>
      </w:r>
    </w:p>
    <w:p>
      <w:r>
        <w:br w:type="page"/>
      </w:r>
    </w:p>
    <w:p>
      <w:pPr>
        <w:pStyle w:val="Heading2"/>
      </w:pPr>
      <w:r>
        <w:t>Q&amp;A — likely questions and who takes them</w:t>
      </w:r>
    </w:p>
    <w:p>
      <w:r>
        <w:rPr>
          <w:i/>
        </w:rPr>
        <w:t>Answer in your own words. Whoever owns the area takes the question; the others should be able to take it too.</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Question</w:t>
            </w:r>
          </w:p>
        </w:tc>
        <w:tc>
          <w:tcPr>
            <w:tcW w:type="dxa" w:w="3120"/>
          </w:tcPr>
          <w:p>
            <w:r>
              <w:rPr>
                <w:b/>
              </w:rPr>
            </w:r>
            <w:r>
              <w:rPr>
                <w:b/>
              </w:rPr>
              <w:t>Who</w:t>
            </w:r>
          </w:p>
        </w:tc>
        <w:tc>
          <w:tcPr>
            <w:tcW w:type="dxa" w:w="3120"/>
          </w:tcPr>
          <w:p>
            <w:r>
              <w:rPr>
                <w:b/>
              </w:rPr>
            </w:r>
            <w:r>
              <w:rPr>
                <w:b/>
              </w:rPr>
              <w:t>The short answer</w:t>
            </w:r>
          </w:p>
        </w:tc>
      </w:tr>
      <w:tr>
        <w:tc>
          <w:tcPr>
            <w:tcW w:type="dxa" w:w="3120"/>
          </w:tcPr>
          <w:p>
            <w:pPr>
              <w:spacing w:line="240" w:lineRule="auto"/>
            </w:pPr>
            <w:r>
              <w:rPr>
                <w:sz w:val="18"/>
              </w:rPr>
            </w:r>
            <w:r>
              <w:rPr>
                <w:sz w:val="18"/>
              </w:rPr>
              <w:t>Your dataset looks fake — doesn't that invalidate the project?</w:t>
            </w:r>
          </w:p>
        </w:tc>
        <w:tc>
          <w:tcPr>
            <w:tcW w:type="dxa" w:w="3120"/>
          </w:tcPr>
          <w:p>
            <w:pPr>
              <w:spacing w:line="240" w:lineRule="auto"/>
            </w:pPr>
            <w:r>
              <w:rPr>
                <w:sz w:val="18"/>
              </w:rPr>
            </w:r>
            <w:r>
              <w:rPr>
                <w:sz w:val="18"/>
              </w:rPr>
              <w:t>Julebeth</w:t>
            </w:r>
          </w:p>
        </w:tc>
        <w:tc>
          <w:tcPr>
            <w:tcW w:type="dxa" w:w="3120"/>
          </w:tcPr>
          <w:p>
            <w:pPr>
              <w:spacing w:line="240" w:lineRule="auto"/>
            </w:pPr>
            <w:r>
              <w:rPr>
                <w:sz w:val="18"/>
              </w:rPr>
            </w:r>
            <w:r>
              <w:rPr>
                <w:sz w:val="18"/>
              </w:rPr>
              <w:t>It invalidates the figures, not the method. We proved it with five signals and did not fabricate corrections, which would be worse.</w:t>
            </w:r>
          </w:p>
        </w:tc>
      </w:tr>
      <w:tr>
        <w:tc>
          <w:tcPr>
            <w:tcW w:type="dxa" w:w="3120"/>
          </w:tcPr>
          <w:p>
            <w:pPr>
              <w:spacing w:line="240" w:lineRule="auto"/>
            </w:pPr>
            <w:r>
              <w:rPr>
                <w:sz w:val="18"/>
              </w:rPr>
            </w:r>
            <w:r>
              <w:rPr>
                <w:sz w:val="18"/>
              </w:rPr>
              <w:t xml:space="preserve">Why didn't you use </w:t>
            </w:r>
            <w:r>
              <w:rPr>
                <w:rFonts w:ascii="Consolas" w:hAnsi="Consolas"/>
                <w:color w:val="2F6F9F"/>
                <w:sz w:val="18"/>
              </w:rPr>
              <w:t>Order ID</w:t>
            </w:r>
            <w:r>
              <w:rPr>
                <w:sz w:val="18"/>
              </w:rPr>
              <w:t xml:space="preserve"> as the primary key?</w:t>
            </w:r>
          </w:p>
        </w:tc>
        <w:tc>
          <w:tcPr>
            <w:tcW w:type="dxa" w:w="3120"/>
          </w:tcPr>
          <w:p>
            <w:pPr>
              <w:spacing w:line="240" w:lineRule="auto"/>
            </w:pPr>
            <w:r>
              <w:rPr>
                <w:sz w:val="18"/>
              </w:rPr>
            </w:r>
            <w:r>
              <w:rPr>
                <w:sz w:val="18"/>
              </w:rPr>
              <w:t>Julebeth</w:t>
            </w:r>
          </w:p>
        </w:tc>
        <w:tc>
          <w:tcPr>
            <w:tcW w:type="dxa" w:w="3120"/>
          </w:tcPr>
          <w:p>
            <w:pPr>
              <w:spacing w:line="240" w:lineRule="auto"/>
            </w:pPr>
            <w:r>
              <w:rPr>
                <w:sz w:val="18"/>
              </w:rPr>
            </w:r>
            <w:r>
              <w:rPr>
                <w:sz w:val="18"/>
              </w:rPr>
              <w:t>1,194 rows, 547 distinct IDs, and the repeats span different dates and customers. It identifies neither a row nor an order.</w:t>
            </w:r>
          </w:p>
        </w:tc>
      </w:tr>
      <w:tr>
        <w:tc>
          <w:tcPr>
            <w:tcW w:type="dxa" w:w="3120"/>
          </w:tcPr>
          <w:p>
            <w:pPr>
              <w:spacing w:line="240" w:lineRule="auto"/>
            </w:pPr>
            <w:r>
              <w:rPr>
                <w:sz w:val="18"/>
              </w:rPr>
            </w:r>
            <w:r>
              <w:rPr>
                <w:sz w:val="18"/>
              </w:rPr>
              <w:t>Why eight tables instead of one?</w:t>
            </w:r>
          </w:p>
        </w:tc>
        <w:tc>
          <w:tcPr>
            <w:tcW w:type="dxa" w:w="3120"/>
          </w:tcPr>
          <w:p>
            <w:pPr>
              <w:spacing w:line="240" w:lineRule="auto"/>
            </w:pPr>
            <w:r>
              <w:rPr>
                <w:sz w:val="18"/>
              </w:rPr>
            </w:r>
            <w:r>
              <w:rPr>
                <w:sz w:val="18"/>
              </w:rPr>
              <w:t>Julebeth</w:t>
            </w:r>
          </w:p>
        </w:tc>
        <w:tc>
          <w:tcPr>
            <w:tcW w:type="dxa" w:w="3120"/>
          </w:tcPr>
          <w:p>
            <w:pPr>
              <w:spacing w:line="240" w:lineRule="auto"/>
            </w:pPr>
            <w:r>
              <w:rPr>
                <w:sz w:val="18"/>
              </w:rPr>
            </w:r>
            <w:r>
              <w:rPr>
                <w:sz w:val="18"/>
              </w:rPr>
              <w:t>Consistency, enforced constraints, and because the queries need category and date on the same row as the amount.</w:t>
            </w:r>
          </w:p>
        </w:tc>
      </w:tr>
      <w:tr>
        <w:tc>
          <w:tcPr>
            <w:tcW w:type="dxa" w:w="3120"/>
          </w:tcPr>
          <w:p>
            <w:pPr>
              <w:spacing w:line="240" w:lineRule="auto"/>
            </w:pPr>
            <w:r>
              <w:rPr>
                <w:sz w:val="18"/>
              </w:rPr>
            </w:r>
            <w:r>
              <w:rPr>
                <w:sz w:val="18"/>
              </w:rPr>
              <w:t xml:space="preserve">Why a </w:t>
            </w:r>
            <w:r>
              <w:rPr>
                <w:rFonts w:ascii="Consolas" w:hAnsi="Consolas"/>
                <w:color w:val="2F6F9F"/>
                <w:sz w:val="18"/>
              </w:rPr>
              <w:t>dates</w:t>
            </w:r>
            <w:r>
              <w:rPr>
                <w:sz w:val="18"/>
              </w:rPr>
              <w:t xml:space="preserve"> table?</w:t>
            </w:r>
          </w:p>
        </w:tc>
        <w:tc>
          <w:tcPr>
            <w:tcW w:type="dxa" w:w="3120"/>
          </w:tcPr>
          <w:p>
            <w:pPr>
              <w:spacing w:line="240" w:lineRule="auto"/>
            </w:pPr>
            <w:r>
              <w:rPr>
                <w:sz w:val="18"/>
              </w:rPr>
            </w:r>
            <w:r>
              <w:rPr>
                <w:sz w:val="18"/>
              </w:rPr>
              <w:t>Julebeth</w:t>
            </w:r>
          </w:p>
        </w:tc>
        <w:tc>
          <w:tcPr>
            <w:tcW w:type="dxa" w:w="3120"/>
          </w:tcPr>
          <w:p>
            <w:pPr>
              <w:spacing w:line="240" w:lineRule="auto"/>
            </w:pPr>
            <w:r>
              <w:rPr>
                <w:sz w:val="18"/>
              </w:rPr>
            </w:r>
            <w:r>
              <w:rPr>
                <w:sz w:val="18"/>
              </w:rPr>
              <w:t xml:space="preserve">Portability — no </w:t>
            </w:r>
            <w:r>
              <w:rPr>
                <w:rFonts w:ascii="Consolas" w:hAnsi="Consolas"/>
                <w:color w:val="2F6F9F"/>
                <w:sz w:val="18"/>
              </w:rPr>
              <w:t>YEAR()</w:t>
            </w:r>
            <w:r>
              <w:rPr>
                <w:sz w:val="18"/>
              </w:rPr>
              <w:t xml:space="preserve"> or </w:t>
            </w:r>
            <w:r>
              <w:rPr>
                <w:rFonts w:ascii="Consolas" w:hAnsi="Consolas"/>
                <w:color w:val="2F6F9F"/>
                <w:sz w:val="18"/>
              </w:rPr>
              <w:t>strftime()</w:t>
            </w:r>
            <w:r>
              <w:rPr>
                <w:sz w:val="18"/>
              </w:rPr>
              <w:t>, so the same SQL runs on MySQL and SQLite — plus the two completeness flags.</w:t>
            </w:r>
          </w:p>
        </w:tc>
      </w:tr>
      <w:tr>
        <w:tc>
          <w:tcPr>
            <w:tcW w:type="dxa" w:w="3120"/>
          </w:tcPr>
          <w:p>
            <w:pPr>
              <w:spacing w:line="240" w:lineRule="auto"/>
            </w:pPr>
            <w:r>
              <w:rPr>
                <w:sz w:val="18"/>
              </w:rPr>
            </w:r>
            <w:r>
              <w:rPr>
                <w:sz w:val="18"/>
              </w:rPr>
              <w:t>Why exclude 2025 and show 2020 per month?</w:t>
            </w:r>
          </w:p>
        </w:tc>
        <w:tc>
          <w:tcPr>
            <w:tcW w:type="dxa" w:w="3120"/>
          </w:tcPr>
          <w:p>
            <w:pPr>
              <w:spacing w:line="240" w:lineRule="auto"/>
            </w:pPr>
            <w:r>
              <w:rPr>
                <w:sz w:val="18"/>
              </w:rPr>
            </w:r>
            <w:r>
              <w:rPr>
                <w:sz w:val="18"/>
              </w:rPr>
              <w:t>Julebeth</w:t>
            </w:r>
          </w:p>
        </w:tc>
        <w:tc>
          <w:tcPr>
            <w:tcW w:type="dxa" w:w="3120"/>
          </w:tcPr>
          <w:p>
            <w:pPr>
              <w:spacing w:line="240" w:lineRule="auto"/>
            </w:pPr>
            <w:r>
              <w:rPr>
                <w:sz w:val="18"/>
              </w:rPr>
            </w:r>
            <w:r>
              <w:rPr>
                <w:sz w:val="18"/>
              </w:rPr>
              <w:t>Both ends are partial. Including them whole would show a fake collapse and fake growth. This is exactly the mistake we made and corrected.</w:t>
            </w:r>
          </w:p>
        </w:tc>
      </w:tr>
      <w:tr>
        <w:tc>
          <w:tcPr>
            <w:tcW w:type="dxa" w:w="3120"/>
          </w:tcPr>
          <w:p>
            <w:pPr>
              <w:spacing w:line="240" w:lineRule="auto"/>
            </w:pPr>
            <w:r>
              <w:rPr>
                <w:sz w:val="18"/>
              </w:rPr>
            </w:r>
            <w:r>
              <w:rPr>
                <w:sz w:val="18"/>
              </w:rPr>
              <w:t>Is R² = 0.85 good?</w:t>
            </w:r>
          </w:p>
        </w:tc>
        <w:tc>
          <w:tcPr>
            <w:tcW w:type="dxa" w:w="3120"/>
          </w:tcPr>
          <w:p>
            <w:pPr>
              <w:spacing w:line="240" w:lineRule="auto"/>
            </w:pPr>
            <w:r>
              <w:rPr>
                <w:sz w:val="18"/>
              </w:rPr>
            </w:r>
            <w:r>
              <w:rPr>
                <w:sz w:val="18"/>
              </w:rPr>
              <w:t>Mardy</w:t>
            </w:r>
          </w:p>
        </w:tc>
        <w:tc>
          <w:tcPr>
            <w:tcW w:type="dxa" w:w="3120"/>
          </w:tcPr>
          <w:p>
            <w:pPr>
              <w:spacing w:line="240" w:lineRule="auto"/>
            </w:pPr>
            <w:r>
              <w:rPr>
                <w:sz w:val="18"/>
              </w:rPr>
            </w:r>
            <w:r>
              <w:rPr>
                <w:sz w:val="18"/>
              </w:rPr>
              <w:t>For cross-sectional business data, yes — but R² alone is not the test. The p-value of 1.98 × 10⁻²⁴ is what says the slope is not zero.</w:t>
            </w:r>
          </w:p>
        </w:tc>
      </w:tr>
      <w:tr>
        <w:tc>
          <w:tcPr>
            <w:tcW w:type="dxa" w:w="3120"/>
          </w:tcPr>
          <w:p>
            <w:pPr>
              <w:spacing w:line="240" w:lineRule="auto"/>
            </w:pPr>
            <w:r>
              <w:rPr>
                <w:sz w:val="18"/>
              </w:rPr>
            </w:r>
            <w:r>
              <w:rPr>
                <w:sz w:val="18"/>
              </w:rPr>
              <w:t xml:space="preserve">Your trend test found nothing. Doesn't that sink a </w:t>
            </w:r>
            <w:r>
              <w:rPr>
                <w:i/>
                <w:sz w:val="18"/>
              </w:rPr>
              <w:t>trend</w:t>
            </w:r>
            <w:r>
              <w:rPr>
                <w:sz w:val="18"/>
              </w:rPr>
              <w:t xml:space="preserve"> project?</w:t>
            </w:r>
          </w:p>
        </w:tc>
        <w:tc>
          <w:tcPr>
            <w:tcW w:type="dxa" w:w="3120"/>
          </w:tcPr>
          <w:p>
            <w:pPr>
              <w:spacing w:line="240" w:lineRule="auto"/>
            </w:pPr>
            <w:r>
              <w:rPr>
                <w:sz w:val="18"/>
              </w:rPr>
            </w:r>
            <w:r>
              <w:rPr>
                <w:sz w:val="18"/>
              </w:rPr>
              <w:t>Mardy</w:t>
            </w:r>
          </w:p>
        </w:tc>
        <w:tc>
          <w:tcPr>
            <w:tcW w:type="dxa" w:w="3120"/>
          </w:tcPr>
          <w:p>
            <w:pPr>
              <w:spacing w:line="240" w:lineRule="auto"/>
            </w:pPr>
            <w:r>
              <w:rPr>
                <w:sz w:val="18"/>
              </w:rPr>
            </w:r>
            <w:r>
              <w:rPr>
                <w:sz w:val="18"/>
              </w:rPr>
              <w:t>It found that no single line fits both regimes, which is itself the finding. The trend is real; it is just piecewise, and Figure 2 shows it.</w:t>
            </w:r>
          </w:p>
        </w:tc>
      </w:tr>
      <w:tr>
        <w:tc>
          <w:tcPr>
            <w:tcW w:type="dxa" w:w="3120"/>
          </w:tcPr>
          <w:p>
            <w:pPr>
              <w:spacing w:line="240" w:lineRule="auto"/>
            </w:pPr>
            <w:r>
              <w:rPr>
                <w:sz w:val="18"/>
              </w:rPr>
            </w:r>
            <w:r>
              <w:rPr>
                <w:sz w:val="18"/>
              </w:rPr>
              <w:t>Why not project a growth rate anyway?</w:t>
            </w:r>
          </w:p>
        </w:tc>
        <w:tc>
          <w:tcPr>
            <w:tcW w:type="dxa" w:w="3120"/>
          </w:tcPr>
          <w:p>
            <w:pPr>
              <w:spacing w:line="240" w:lineRule="auto"/>
            </w:pPr>
            <w:r>
              <w:rPr>
                <w:sz w:val="18"/>
              </w:rPr>
            </w:r>
            <w:r>
              <w:rPr>
                <w:sz w:val="18"/>
              </w:rPr>
              <w:t>Mardy</w:t>
            </w:r>
          </w:p>
        </w:tc>
        <w:tc>
          <w:tcPr>
            <w:tcW w:type="dxa" w:w="3120"/>
          </w:tcPr>
          <w:p>
            <w:pPr>
              <w:spacing w:line="240" w:lineRule="auto"/>
            </w:pPr>
            <w:r>
              <w:rPr>
                <w:sz w:val="18"/>
              </w:rPr>
            </w:r>
            <w:r>
              <w:rPr>
                <w:sz w:val="18"/>
              </w:rPr>
              <w:t>Because we cannot demonstrate one. Projecting a number we tested for and did not find would be inventing it.</w:t>
            </w:r>
          </w:p>
        </w:tc>
      </w:tr>
      <w:tr>
        <w:tc>
          <w:tcPr>
            <w:tcW w:type="dxa" w:w="3120"/>
          </w:tcPr>
          <w:p>
            <w:pPr>
              <w:spacing w:line="240" w:lineRule="auto"/>
            </w:pPr>
            <w:r>
              <w:rPr>
                <w:sz w:val="18"/>
              </w:rPr>
            </w:r>
            <w:r>
              <w:rPr>
                <w:sz w:val="18"/>
              </w:rPr>
              <w:t>Your forecast lost to a flat average. Why keep it?</w:t>
            </w:r>
          </w:p>
        </w:tc>
        <w:tc>
          <w:tcPr>
            <w:tcW w:type="dxa" w:w="3120"/>
          </w:tcPr>
          <w:p>
            <w:pPr>
              <w:spacing w:line="240" w:lineRule="auto"/>
            </w:pPr>
            <w:r>
              <w:rPr>
                <w:sz w:val="18"/>
              </w:rPr>
            </w:r>
            <w:r>
              <w:rPr>
                <w:sz w:val="18"/>
              </w:rPr>
              <w:t>Mardy</w:t>
            </w:r>
          </w:p>
        </w:tc>
        <w:tc>
          <w:tcPr>
            <w:tcW w:type="dxa" w:w="3120"/>
          </w:tcPr>
          <w:p>
            <w:pPr>
              <w:spacing w:line="240" w:lineRule="auto"/>
            </w:pPr>
            <w:r>
              <w:rPr>
                <w:sz w:val="18"/>
              </w:rPr>
            </w:r>
            <w:r>
              <w:rPr>
                <w:sz w:val="18"/>
              </w:rPr>
              <w:t>Choosing a method on two observations is overfitting the holdout. We report the loss and state the reliability honestly.</w:t>
            </w:r>
          </w:p>
        </w:tc>
      </w:tr>
      <w:tr>
        <w:tc>
          <w:tcPr>
            <w:tcW w:type="dxa" w:w="3120"/>
          </w:tcPr>
          <w:p>
            <w:pPr>
              <w:spacing w:line="240" w:lineRule="auto"/>
            </w:pPr>
            <w:r>
              <w:rPr>
                <w:sz w:val="18"/>
              </w:rPr>
            </w:r>
            <w:r>
              <w:rPr>
                <w:sz w:val="18"/>
              </w:rPr>
              <w:t>Correlation or causation?</w:t>
            </w:r>
          </w:p>
        </w:tc>
        <w:tc>
          <w:tcPr>
            <w:tcW w:type="dxa" w:w="3120"/>
          </w:tcPr>
          <w:p>
            <w:pPr>
              <w:spacing w:line="240" w:lineRule="auto"/>
            </w:pPr>
            <w:r>
              <w:rPr>
                <w:sz w:val="18"/>
              </w:rPr>
            </w:r>
            <w:r>
              <w:rPr>
                <w:sz w:val="18"/>
              </w:rPr>
              <w:t>Mardy</w:t>
            </w:r>
          </w:p>
        </w:tc>
        <w:tc>
          <w:tcPr>
            <w:tcW w:type="dxa" w:w="3120"/>
          </w:tcPr>
          <w:p>
            <w:pPr>
              <w:spacing w:line="240" w:lineRule="auto"/>
            </w:pPr>
            <w:r>
              <w:rPr>
                <w:sz w:val="18"/>
              </w:rPr>
            </w:r>
            <w:r>
              <w:rPr>
                <w:sz w:val="18"/>
              </w:rPr>
              <w:t>Association only. Strong and consistent over 57 months; not proof of a mechanism.</w:t>
            </w:r>
          </w:p>
        </w:tc>
      </w:tr>
      <w:tr>
        <w:tc>
          <w:tcPr>
            <w:tcW w:type="dxa" w:w="3120"/>
          </w:tcPr>
          <w:p>
            <w:pPr>
              <w:spacing w:line="240" w:lineRule="auto"/>
            </w:pPr>
            <w:r>
              <w:rPr>
                <w:sz w:val="18"/>
              </w:rPr>
            </w:r>
            <w:r>
              <w:rPr>
                <w:sz w:val="18"/>
              </w:rPr>
              <w:t>What does the intercept mean?</w:t>
            </w:r>
          </w:p>
        </w:tc>
        <w:tc>
          <w:tcPr>
            <w:tcW w:type="dxa" w:w="3120"/>
          </w:tcPr>
          <w:p>
            <w:pPr>
              <w:spacing w:line="240" w:lineRule="auto"/>
            </w:pPr>
            <w:r>
              <w:rPr>
                <w:sz w:val="18"/>
              </w:rPr>
            </w:r>
            <w:r>
              <w:rPr>
                <w:sz w:val="18"/>
              </w:rPr>
              <w:t>Mardy</w:t>
            </w:r>
          </w:p>
        </w:tc>
        <w:tc>
          <w:tcPr>
            <w:tcW w:type="dxa" w:w="3120"/>
          </w:tcPr>
          <w:p>
            <w:pPr>
              <w:spacing w:line="240" w:lineRule="auto"/>
            </w:pPr>
            <w:r>
              <w:rPr>
                <w:sz w:val="18"/>
              </w:rPr>
            </w:r>
            <w:r>
              <w:rPr>
                <w:sz w:val="18"/>
              </w:rPr>
              <w:t>Nothing usable. Zero orders cannot produce negative revenue — it is an extrapolation outside the data.</w:t>
            </w:r>
          </w:p>
        </w:tc>
      </w:tr>
      <w:tr>
        <w:tc>
          <w:tcPr>
            <w:tcW w:type="dxa" w:w="3120"/>
          </w:tcPr>
          <w:p>
            <w:pPr>
              <w:spacing w:line="240" w:lineRule="auto"/>
            </w:pPr>
            <w:r>
              <w:rPr>
                <w:sz w:val="18"/>
              </w:rPr>
            </w:r>
            <w:r>
              <w:rPr>
                <w:sz w:val="18"/>
              </w:rPr>
              <w:t>Why is the workbook all formulas?</w:t>
            </w:r>
          </w:p>
        </w:tc>
        <w:tc>
          <w:tcPr>
            <w:tcW w:type="dxa" w:w="3120"/>
          </w:tcPr>
          <w:p>
            <w:pPr>
              <w:spacing w:line="240" w:lineRule="auto"/>
            </w:pPr>
            <w:r>
              <w:rPr>
                <w:sz w:val="18"/>
              </w:rPr>
            </w:r>
            <w:r>
              <w:rPr>
                <w:sz w:val="18"/>
              </w:rPr>
              <w:t>Julebeth</w:t>
            </w:r>
          </w:p>
        </w:tc>
        <w:tc>
          <w:tcPr>
            <w:tcW w:type="dxa" w:w="3120"/>
          </w:tcPr>
          <w:p>
            <w:pPr>
              <w:spacing w:line="240" w:lineRule="auto"/>
            </w:pPr>
            <w:r>
              <w:rPr>
                <w:sz w:val="18"/>
              </w:rPr>
            </w:r>
            <w:r>
              <w:rPr>
                <w:sz w:val="18"/>
              </w:rPr>
              <w:t>So the analysis is reproducible and auditable. Pasted values would look identical and prove nothing; the seven self-checks would not work.</w:t>
            </w:r>
          </w:p>
        </w:tc>
      </w:tr>
      <w:tr>
        <w:tc>
          <w:tcPr>
            <w:tcW w:type="dxa" w:w="3120"/>
          </w:tcPr>
          <w:p>
            <w:pPr>
              <w:spacing w:line="240" w:lineRule="auto"/>
            </w:pPr>
            <w:r>
              <w:rPr>
                <w:sz w:val="18"/>
              </w:rPr>
            </w:r>
            <w:r>
              <w:rPr>
                <w:sz w:val="18"/>
              </w:rPr>
              <w:t>What would you do differently?</w:t>
            </w:r>
          </w:p>
        </w:tc>
        <w:tc>
          <w:tcPr>
            <w:tcW w:type="dxa" w:w="3120"/>
          </w:tcPr>
          <w:p>
            <w:pPr>
              <w:spacing w:line="240" w:lineRule="auto"/>
            </w:pPr>
            <w:r>
              <w:rPr>
                <w:sz w:val="18"/>
              </w:rPr>
            </w:r>
            <w:r>
              <w:rPr>
                <w:sz w:val="18"/>
              </w:rPr>
              <w:t>Alber</w:t>
            </w:r>
          </w:p>
        </w:tc>
        <w:tc>
          <w:tcPr>
            <w:tcW w:type="dxa" w:w="3120"/>
          </w:tcPr>
          <w:p>
            <w:pPr>
              <w:spacing w:line="240" w:lineRule="auto"/>
            </w:pPr>
            <w:r>
              <w:rPr>
                <w:sz w:val="18"/>
              </w:rPr>
            </w:r>
            <w:r>
              <w:rPr>
                <w:sz w:val="18"/>
              </w:rPr>
              <w:t>Validate the source before building on it, and check the completeness of both ends of the date range first — that is what caused our one real error.</w:t>
            </w:r>
          </w:p>
        </w:tc>
      </w:tr>
      <w:tr>
        <w:tc>
          <w:tcPr>
            <w:tcW w:type="dxa" w:w="3120"/>
          </w:tcPr>
          <w:p>
            <w:pPr>
              <w:spacing w:line="240" w:lineRule="auto"/>
            </w:pPr>
            <w:r>
              <w:rPr>
                <w:sz w:val="18"/>
              </w:rPr>
            </w:r>
            <w:r>
              <w:rPr>
                <w:sz w:val="18"/>
              </w:rPr>
              <w:t>What is next?</w:t>
            </w:r>
          </w:p>
        </w:tc>
        <w:tc>
          <w:tcPr>
            <w:tcW w:type="dxa" w:w="3120"/>
          </w:tcPr>
          <w:p>
            <w:pPr>
              <w:spacing w:line="240" w:lineRule="auto"/>
            </w:pPr>
            <w:r>
              <w:rPr>
                <w:sz w:val="18"/>
              </w:rPr>
            </w:r>
            <w:r>
              <w:rPr>
                <w:sz w:val="18"/>
              </w:rPr>
              <w:t>Alber</w:t>
            </w:r>
          </w:p>
        </w:tc>
        <w:tc>
          <w:tcPr>
            <w:tcW w:type="dxa" w:w="3120"/>
          </w:tcPr>
          <w:p>
            <w:pPr>
              <w:spacing w:line="240" w:lineRule="auto"/>
            </w:pPr>
            <w:r>
              <w:rPr>
                <w:sz w:val="18"/>
              </w:rPr>
            </w:r>
            <w:r>
              <w:rPr>
                <w:sz w:val="18"/>
              </w:rPr>
              <w:t>Checkpoint 3: a dashboard built on order count as the primary KPI and margin as the segmentation, because revenue is a poor proxy for profit here.</w:t>
            </w:r>
          </w:p>
        </w:tc>
      </w:tr>
    </w:tbl>
    <w:p>
      <w:pPr>
        <w:spacing w:after="200" w:line="240" w:lineRule="auto"/>
        <w:jc w:val="center"/>
      </w:pPr>
      <w:r>
        <w:rPr>
          <w:i/>
          <w:color w:val="7B8994"/>
          <w:sz w:val="20"/>
        </w:rPr>
        <w:t>Table 5. Q&amp;A — likely questions and who takes them</w:t>
      </w:r>
    </w:p>
    <w:p>
      <w:r>
        <w:br w:type="page"/>
      </w:r>
    </w:p>
    <w:p>
      <w:pPr>
        <w:pStyle w:val="Heading2"/>
      </w:pPr>
      <w:r>
        <w:t>Rehearsal checklist</w:t>
      </w:r>
    </w:p>
    <w:p>
      <w:pPr>
        <w:pStyle w:val="ListBullet"/>
      </w:pPr>
      <w:r>
        <w:t>Every number you say out loud, you can point to — a query, a figure, or a cell</w:t>
      </w:r>
    </w:p>
    <w:p>
      <w:pPr>
        <w:pStyle w:val="ListBullet"/>
      </w:pPr>
      <w:r>
        <w:t>Each speaker can answer at least one question from another speaker's segment</w:t>
      </w:r>
    </w:p>
    <w:p>
      <w:pPr>
        <w:pStyle w:val="ListBullet"/>
      </w:pPr>
      <w:r>
        <w:t>Someone owns the screen and knows the order the exhibits appear in</w:t>
      </w:r>
    </w:p>
    <w:p>
      <w:pPr>
        <w:pStyle w:val="ListBullet"/>
      </w:pPr>
      <w:r>
        <w:t>You have said the synthetic-data limitation out loud before anyone asks</w:t>
      </w:r>
    </w:p>
    <w:p>
      <w:pPr>
        <w:pStyle w:val="ListBullet"/>
      </w:pPr>
      <w:r>
        <w:t>You have said the Checkpoint 1 correction out loud before anyone finds it</w:t>
      </w:r>
    </w:p>
    <w:p>
      <w:pPr>
        <w:pStyle w:val="ListBullet"/>
      </w:pPr>
      <w:r>
        <w:t>Total run time under the limit, with Q&amp;A time left over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