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Group Discussion Script</w:t>
      </w:r>
    </w:p>
    <w:p>
      <w:r>
        <w:rPr>
          <w:b/>
        </w:rPr>
        <w:t>BED 106 Business Analytics — Mini Capstone Project</w:t>
      </w:r>
      <w:r>
        <w:t xml:space="preserve"> Talibon Polytechnic College</w:t>
      </w:r>
    </w:p>
    <w:p>
      <w:r>
        <w:rPr>
          <w:b/>
        </w:rPr>
        <w:t>Julebeth's part.</w:t>
      </w:r>
      <w:r>
        <w:t xml:space="preserve"> A recording script for three speakers who record </w:t>
      </w:r>
      <w:r>
        <w:rPr>
          <w:b/>
        </w:rPr>
        <w:t>separately</w:t>
      </w:r>
      <w:r>
        <w:t>, in their own time and place, with the leader editing the clips together afterwards.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Speaker</w:t>
            </w:r>
          </w:p>
        </w:tc>
        <w:tc>
          <w:tcPr>
            <w:tcW w:type="dxa" w:w="3120"/>
          </w:tcPr>
          <w:p>
            <w:r>
              <w:rPr>
                <w:b/>
              </w:rPr>
            </w:r>
            <w:r>
              <w:rPr>
                <w:b/>
              </w:rPr>
              <w:t>Role from the brief</w:t>
            </w:r>
          </w:p>
        </w:tc>
        <w:tc>
          <w:tcPr>
            <w:tcW w:type="dxa" w:w="3120"/>
          </w:tcPr>
          <w:p>
            <w:r>
              <w:rPr>
                <w:b/>
              </w:rPr>
            </w:r>
            <w:r>
              <w:rPr>
                <w:b/>
              </w:rPr>
              <w:t>Records</w:t>
            </w:r>
          </w:p>
        </w:tc>
      </w:tr>
      <w:tr>
        <w:tc>
          <w:tcPr>
            <w:tcW w:type="dxa" w:w="3120"/>
          </w:tcPr>
          <w:p>
            <w:pPr>
              <w:spacing w:line="240" w:lineRule="auto"/>
            </w:pPr>
            <w:r>
              <w:rPr>
                <w:sz w:val="18"/>
              </w:rPr>
            </w:r>
            <w:r>
              <w:rPr>
                <w:b/>
                <w:sz w:val="18"/>
              </w:rPr>
              <w:t>Alber</w:t>
            </w:r>
          </w:p>
        </w:tc>
        <w:tc>
          <w:tcPr>
            <w:tcW w:type="dxa" w:w="3120"/>
          </w:tcPr>
          <w:p>
            <w:pPr>
              <w:spacing w:line="240" w:lineRule="auto"/>
            </w:pPr>
            <w:r>
              <w:rPr>
                <w:sz w:val="18"/>
              </w:rPr>
            </w:r>
            <w:r>
              <w:rPr>
                <w:sz w:val="18"/>
              </w:rPr>
              <w:t>Project Lead / Analyst</w:t>
            </w:r>
          </w:p>
        </w:tc>
        <w:tc>
          <w:tcPr>
            <w:tcW w:type="dxa" w:w="3120"/>
          </w:tcPr>
          <w:p>
            <w:pPr>
              <w:spacing w:line="240" w:lineRule="auto"/>
            </w:pPr>
            <w:r>
              <w:rPr>
                <w:sz w:val="18"/>
              </w:rPr>
            </w:r>
            <w:r>
              <w:rPr>
                <w:sz w:val="18"/>
              </w:rPr>
              <w:t>Clips A1–A5 — opening, the business problem, recommendations, closing</w:t>
            </w:r>
          </w:p>
        </w:tc>
      </w:tr>
      <w:tr>
        <w:tc>
          <w:tcPr>
            <w:tcW w:type="dxa" w:w="3120"/>
          </w:tcPr>
          <w:p>
            <w:pPr>
              <w:spacing w:line="240" w:lineRule="auto"/>
            </w:pPr>
            <w:r>
              <w:rPr>
                <w:sz w:val="18"/>
              </w:rPr>
            </w:r>
            <w:r>
              <w:rPr>
                <w:b/>
                <w:sz w:val="18"/>
              </w:rPr>
              <w:t>Julebeth</w:t>
            </w:r>
          </w:p>
        </w:tc>
        <w:tc>
          <w:tcPr>
            <w:tcW w:type="dxa" w:w="3120"/>
          </w:tcPr>
          <w:p>
            <w:pPr>
              <w:spacing w:line="240" w:lineRule="auto"/>
            </w:pPr>
            <w:r>
              <w:rPr>
                <w:sz w:val="18"/>
              </w:rPr>
            </w:r>
            <w:r>
              <w:rPr>
                <w:sz w:val="18"/>
              </w:rPr>
              <w:t>Data Engineer</w:t>
            </w:r>
          </w:p>
        </w:tc>
        <w:tc>
          <w:tcPr>
            <w:tcW w:type="dxa" w:w="3120"/>
          </w:tcPr>
          <w:p>
            <w:pPr>
              <w:spacing w:line="240" w:lineRule="auto"/>
            </w:pPr>
            <w:r>
              <w:rPr>
                <w:sz w:val="18"/>
              </w:rPr>
            </w:r>
            <w:r>
              <w:rPr>
                <w:sz w:val="18"/>
              </w:rPr>
              <w:t>Clips B1–B5 — the dataset, the database, the workbook, the correction</w:t>
            </w:r>
          </w:p>
        </w:tc>
      </w:tr>
      <w:tr>
        <w:tc>
          <w:tcPr>
            <w:tcW w:type="dxa" w:w="3120"/>
          </w:tcPr>
          <w:p>
            <w:pPr>
              <w:spacing w:line="240" w:lineRule="auto"/>
            </w:pPr>
            <w:r>
              <w:rPr>
                <w:sz w:val="18"/>
              </w:rPr>
            </w:r>
            <w:r>
              <w:rPr>
                <w:b/>
                <w:sz w:val="18"/>
              </w:rPr>
              <w:t>Mardy</w:t>
            </w:r>
          </w:p>
        </w:tc>
        <w:tc>
          <w:tcPr>
            <w:tcW w:type="dxa" w:w="3120"/>
          </w:tcPr>
          <w:p>
            <w:pPr>
              <w:spacing w:line="240" w:lineRule="auto"/>
            </w:pPr>
            <w:r>
              <w:rPr>
                <w:sz w:val="18"/>
              </w:rPr>
            </w:r>
            <w:r>
              <w:rPr>
                <w:sz w:val="18"/>
              </w:rPr>
              <w:t>Statistician / Modeler</w:t>
            </w:r>
          </w:p>
        </w:tc>
        <w:tc>
          <w:tcPr>
            <w:tcW w:type="dxa" w:w="3120"/>
          </w:tcPr>
          <w:p>
            <w:pPr>
              <w:spacing w:line="240" w:lineRule="auto"/>
            </w:pPr>
            <w:r>
              <w:rPr>
                <w:sz w:val="18"/>
              </w:rPr>
            </w:r>
            <w:r>
              <w:rPr>
                <w:sz w:val="18"/>
              </w:rPr>
              <w:t>Clips C1–C6 — the queries, statistics, regression, forecasting</w:t>
            </w:r>
          </w:p>
        </w:tc>
      </w:tr>
    </w:tbl>
    <w:p>
      <w:pPr>
        <w:spacing w:after="200" w:line="240" w:lineRule="auto"/>
        <w:jc w:val="center"/>
      </w:pPr>
      <w:r>
        <w:rPr>
          <w:i/>
          <w:color w:val="7B8994"/>
          <w:sz w:val="20"/>
        </w:rPr>
        <w:t>Table 1. Sales Trend Analysis — Group Discussion Script</w:t>
      </w:r>
    </w:p>
    <w:p>
      <w:r>
        <w:t xml:space="preserve">Total runtime is roughly </w:t>
      </w:r>
      <w:r>
        <w:rPr>
          <w:b/>
        </w:rPr>
        <w:t>17 minutes</w:t>
      </w:r>
      <w:r>
        <w:t xml:space="preserve"> assembled.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clip's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clip.</w:t>
      </w:r>
    </w:p>
    <w:p>
      <w:r>
        <w:br w:type="page"/>
      </w:r>
    </w:p>
    <w:p>
      <w:pPr>
        <w:pStyle w:val="Heading2"/>
      </w:pPr>
      <w:r>
        <w:t>How this works when you record separately</w:t>
      </w:r>
    </w:p>
    <w:p>
      <w:r>
        <w:t xml:space="preserve">Because nobody is in the room with you, there is no back-and-forth to react to. Every clip below is therefore </w:t>
      </w:r>
      <w:r>
        <w:rPr>
          <w:b/>
        </w:rPr>
        <w:t>self-contained</w:t>
      </w:r>
      <w:r>
        <w:t>: you never wait for a cue, and you never answer a question someone else has to have asked first.</w:t>
      </w:r>
    </w:p>
    <w:p>
      <w:r>
        <w:t xml:space="preserve">What holds the recording together instead is the </w:t>
      </w:r>
      <w:r>
        <w:rPr>
          <w:b/>
        </w:rPr>
        <w:t>handoff</w:t>
      </w:r>
      <w:r>
        <w:t>. Each clip ends by naming what comes next and who takes it, and the next clip opens by picking that thread up. Say those lines even though they feel odd alone in a room — they are what turns five separate recordings into one discussion instead of five disconnected reports. They are the single most important thing on the page.</w:t>
      </w:r>
    </w:p>
    <w:p>
      <w:pPr>
        <w:pStyle w:val="Heading3"/>
      </w:pPr>
      <w:r>
        <w:t>Rules for every clip</w:t>
      </w:r>
    </w:p>
    <w:p>
      <w:r>
        <w:rPr>
          <w:b/>
        </w:rPr>
        <w:t>Name yourself in your first clip.</w:t>
      </w:r>
      <w:r>
        <w:t xml:space="preserve"> "I'm Julebeth, I handled the data and the database." Your instructor is matching a voice to a name for a mark under Section 1.4. Do not make them guess, and do not assume the video shows your face.</w:t>
      </w:r>
    </w:p>
    <w:p>
      <w:r>
        <w:rPr>
          <w:b/>
        </w:rPr>
        <w:t>Say the clip ID before you start speaking.</w:t>
      </w:r>
      <w:r>
        <w:t xml:space="preserve"> "Clip B2, take 1." Alber cuts that off in the edit, but without it he is identifying twenty files by ear.</w:t>
      </w:r>
    </w:p>
    <w:p>
      <w:r>
        <w:rPr>
          <w:b/>
        </w:rPr>
        <w:t>Leave two seconds of silence at the start and end of every clip.</w:t>
      </w:r>
      <w:r>
        <w:t xml:space="preserve"> Speak the ID, pause, then begin. At the end, stop talking and let it run for two seconds before you stop recording. Cuts made against silence are clean; cuts made against a breath are not.</w:t>
      </w:r>
    </w:p>
    <w:p>
      <w:r>
        <w:rPr>
          <w:b/>
        </w:rPr>
        <w:t>Record each clip as its own file.</w:t>
      </w:r>
      <w:r>
        <w:t xml:space="preserve"> Do not record all of yours in one long take. A re-take should cost you ninety seconds, not the whole afternoon.</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Name your files by clip ID:</w:t>
      </w:r>
      <w:r>
        <w:t xml:space="preserve"> </w:t>
      </w:r>
      <w:r>
        <w:rPr>
          <w:rFonts w:ascii="Consolas" w:hAnsi="Consolas"/>
          <w:color w:val="2F6F9F"/>
          <w:sz w:val="18"/>
        </w:rPr>
        <w:t>B2_database_take2.mp4</w:t>
      </w:r>
      <w:r>
        <w:t>. Send Alber the takes you want used, not every take you shot.</w:t>
      </w:r>
    </w:p>
    <w:p>
      <w:r>
        <w:rPr>
          <w:b/>
        </w:rPr>
        <w:t>Agree three settings before anyone records:</w:t>
      </w:r>
      <w:r>
        <w:t xml:space="preserve"> screen resolution (1920 × 1080 is the safe choice), video format, and roughly how close you sit to the mic. Three clips recorded at three different volumes is the one problem that is genuinely annoying to fix in the edit.</w:t>
      </w:r>
    </w:p>
    <w:p>
      <w:r>
        <w:rPr>
          <w:b/>
        </w:rPr>
        <w:t>Do a thirty-second test first.</w:t>
      </w:r>
      <w:r>
        <w:t xml:space="preserve"> Record, play it back, and check three things: your voice is audible, the on-screen text is legible at that resolution, and no fan or echo is drowning you. Fixing this after you have recorded everything is the most common way groups lose an evening.</w:t>
      </w:r>
    </w:p>
    <w:p>
      <w:pPr>
        <w:pStyle w:val="Heading3"/>
      </w:pPr>
      <w:r>
        <w:t>If a clip mentions something you did not do</w:t>
      </w:r>
    </w:p>
    <w:p>
      <w:r>
        <w:t>Each speaker's clips cover that speaker's own work, so this should not arise. Where a clip refers to another person's area, it does so in one sentence as a handoff — "the statistics side is Mardy's, and he takes it next" — which is true and which you can say honestly.</w:t>
      </w:r>
    </w:p>
    <w:p>
      <w:r>
        <w:br w:type="page"/>
      </w:r>
    </w:p>
    <w:p>
      <w:pPr>
        <w:pStyle w:val="Heading1"/>
      </w:pPr>
      <w:r>
        <w:t>Part B — Julebeth</w:t>
      </w:r>
    </w:p>
    <w:p>
      <w:r>
        <w:t>Data Engineer. Five clips: the dataset, the database, the workbook, the Checkpoint 1 correction, and one Q&amp;A block. Yours are the clips with the most screen work, so leave yourself time to get the exhibits open before you start.</w:t>
      </w:r>
    </w:p>
    <w:p>
      <w:pPr>
        <w:pStyle w:val="Heading2"/>
      </w:pPr>
      <w:r>
        <w:t>Clip B1 — The dataset and what was wrong with it</w:t>
      </w:r>
    </w:p>
    <w:p>
      <w:r>
        <w:rPr>
          <w:i/>
        </w:rPr>
        <w:t>Task 1.2 · about 2.5 minutes · on screen: the raw CSV, first 15–20 rows</w:t>
      </w:r>
    </w:p>
    <w:p>
      <w:r>
        <w:rPr>
          <w:b/>
        </w:rPr>
        <w:t>Open with:</w:t>
      </w:r>
      <w:r>
        <w:t xml:space="preserve"> your name and role — "I'm Julebeth, I handled the data and the database" — then pick up Alber's thread: before any of those questions could be answered, the raw file had to be assessed and cleaned.</w:t>
      </w:r>
    </w:p>
    <w:p>
      <w:r>
        <w:t>Beats:</w:t>
      </w:r>
    </w:p>
    <w:p>
      <w:pPr>
        <w:pStyle w:val="ListBullet"/>
      </w:pPr>
      <w:r>
        <w:t xml:space="preserve">The dataset is a retail sales export, </w:t>
      </w:r>
      <w:r>
        <w:rPr>
          <w:b/>
        </w:rPr>
        <w:t>1,194 transaction lines and 12 columns</w:t>
      </w:r>
      <w:r>
        <w:t xml:space="preserve">, covering </w:t>
      </w:r>
      <w:r>
        <w:rPr>
          <w:b/>
        </w:rPr>
        <w:t>22 March 2020 to 15 March 2025</w:t>
      </w:r>
      <w:r>
        <w:t>. The brief asks for at least 200 rows</w:t>
      </w:r>
    </w:p>
    <w:p>
      <w:pPr>
        <w:pStyle w:val="ListBullet"/>
      </w:pPr>
      <w:r>
        <w:t xml:space="preserve">The word to stress: the </w:t>
      </w:r>
      <w:r>
        <w:rPr>
          <w:b/>
        </w:rPr>
        <w:t>grain</w:t>
      </w:r>
      <w:r>
        <w:t xml:space="preserve"> is one row per </w:t>
      </w:r>
      <w:r>
        <w:rPr>
          <w:i/>
        </w:rPr>
        <w:t>product line on an order</w:t>
      </w:r>
      <w:r>
        <w:t>, not one row per order. Everything downstream depends on that</w:t>
      </w:r>
    </w:p>
    <w:p>
      <w:pPr>
        <w:pStyle w:val="ListBullet"/>
      </w:pPr>
      <w:r>
        <w:t xml:space="preserve">We ran a quality assessment before touching anything and found </w:t>
      </w:r>
      <w:r>
        <w:rPr>
          <w:b/>
        </w:rPr>
        <w:t>five problems</w:t>
      </w:r>
      <w:r>
        <w:t>. Take them in order of how much trouble they caused</w:t>
      </w:r>
    </w:p>
    <w:p>
      <w:r>
        <w:rPr>
          <w:b/>
        </w:rPr>
        <w:t>One — `Order ID` is not a primary key.</w:t>
      </w:r>
      <w:r>
        <w:t xml:space="preserve"> 1,194 rows, only </w:t>
      </w:r>
      <w:r>
        <w:rPr>
          <w:b/>
        </w:rPr>
        <w:t>547 distinct order IDs</w:t>
      </w:r>
      <w:r>
        <w:t xml:space="preserve">, and the repeats are not duplicate rows: the same ID appears on different dates, for different customers. So it does not identify an order either. We kept it as a plain attribute and issued our own surrogate key, </w:t>
      </w:r>
      <w:r>
        <w:rPr>
          <w:rFonts w:ascii="Consolas" w:hAnsi="Consolas"/>
          <w:color w:val="2F6F9F"/>
          <w:sz w:val="18"/>
        </w:rPr>
        <w:t>sale_id</w:t>
      </w:r>
      <w:r>
        <w:t>.</w:t>
      </w:r>
    </w:p>
    <w:p>
      <w:r>
        <w:t xml:space="preserve">Answer the obvious objection yourself — </w:t>
      </w:r>
      <w:r>
        <w:rPr>
          <w:i/>
        </w:rPr>
        <w:t>why not repair it?</w:t>
      </w:r>
      <w:r>
        <w:t xml:space="preserve"> Because repairing it means deciding which of two rows with the same ID is the real one, and we have no evidence for that decision. Inventing that evidence is data fabrication, which the brief says is grounds for a failing mark. Documenting the defect costs us nothing analytically, because no question we ask needs order identity.</w:t>
      </w:r>
    </w:p>
    <w:p>
      <w:r>
        <w:rPr>
          <w:b/>
        </w:rPr>
        <w:t>Two — customer name is not an identifier either.</w:t>
      </w:r>
      <w:r>
        <w:t xml:space="preserve"> </w:t>
      </w:r>
      <w:r>
        <w:rPr>
          <w:b/>
        </w:rPr>
        <w:t>807 customers</w:t>
      </w:r>
      <w:r>
        <w:t xml:space="preserve"> resolve from </w:t>
      </w:r>
      <w:r>
        <w:rPr>
          <w:b/>
        </w:rPr>
        <w:t>802 distinct names</w:t>
      </w:r>
      <w:r>
        <w:t>, because five names appear in more than one city. Our customer key is the pair (name, city).</w:t>
      </w:r>
    </w:p>
    <w:p>
      <w:r>
        <w:rPr>
          <w:b/>
        </w:rPr>
        <w:t>Three — `Year-Month` is redundant.</w:t>
      </w:r>
      <w:r>
        <w:t xml:space="preserve"> It is derivable from the date, so it does not belong in a normalised schema. We rebuilt it in the </w:t>
      </w:r>
      <w:r>
        <w:rPr>
          <w:rFonts w:ascii="Consolas" w:hAnsi="Consolas"/>
          <w:color w:val="2F6F9F"/>
          <w:sz w:val="18"/>
        </w:rPr>
        <w:t>dates</w:t>
      </w:r>
      <w:r>
        <w:t xml:space="preserve"> table.</w:t>
      </w:r>
    </w:p>
    <w:p>
      <w:r>
        <w:rPr>
          <w:b/>
        </w:rPr>
        <w:t>Four — both ends of the file are partial.</w:t>
      </w:r>
      <w:r>
        <w:t xml:space="preserve"> It starts 22 March 2020 and stops 15 March 2025. Flag that this matters more than it sounds and that you will come back to it — it is where our one significant error came from.</w:t>
      </w:r>
    </w:p>
    <w:p>
      <w:r>
        <w:rPr>
          <w:b/>
        </w:rPr>
        <w:t>Five — the dataset is synthetic.</w:t>
      </w:r>
      <w:r>
        <w:t xml:space="preserve"> Say this plainly; do not bury it. Five machine-checked signals:</w:t>
      </w:r>
    </w:p>
    <w:p>
      <w:pPr>
        <w:pStyle w:val="ListBullet"/>
      </w:pPr>
      <w:r>
        <w:t>Not one loss-making line in five years — no real retailer has that</w:t>
      </w:r>
    </w:p>
    <w:p>
      <w:pPr>
        <w:pStyle w:val="ListBullet"/>
      </w:pPr>
      <w:r>
        <w:t>22 of the 802 names end in credential suffixes like "MD" or "DDS", which is a Faker library artefact</w:t>
      </w:r>
    </w:p>
    <w:p>
      <w:pPr>
        <w:pStyle w:val="ListBullet"/>
      </w:pPr>
      <w:r>
        <w:t>US cities paired with UPI and EMI payment methods, which are Indian payment rails</w:t>
      </w:r>
    </w:p>
    <w:p>
      <w:pPr>
        <w:pStyle w:val="ListBullet"/>
      </w:pPr>
      <w:r>
        <w:t>The payment mix is near-uniform, 206 to 260 across every method</w:t>
      </w:r>
    </w:p>
    <w:p>
      <w:pPr>
        <w:pStyle w:val="ListBullet"/>
      </w:pPr>
      <w:r>
        <w:t>The Amount histogram is flat, not normal — real transaction values are right-skewed</w:t>
      </w:r>
    </w:p>
    <w:p>
      <w:r>
        <w:t xml:space="preserve">Then the point that matters: </w:t>
      </w:r>
      <w:r>
        <w:rPr>
          <w:b/>
        </w:rPr>
        <w:t>we did not fix any of it.</w:t>
      </w:r>
      <w:r>
        <w:t xml:space="preserve"> Fixing it would mean inventing numbers. We stated it, proved it, and carried the limitation into every conclusion. The method is unaffected — every query and every statistic in this project would run identically against a real export.</w:t>
      </w:r>
    </w:p>
    <w:p>
      <w:r>
        <w:rPr>
          <w:b/>
        </w:rPr>
        <w:t>Hand off with:</w:t>
      </w:r>
      <w:r>
        <w:t xml:space="preserve"> "With the defects documented, the next step was turning that flat file into a proper database."</w:t>
      </w:r>
    </w:p>
    <w:p>
      <w:pPr>
        <w:pStyle w:val="Heading2"/>
      </w:pPr>
      <w:r>
        <w:t>Clip B2 — The database</w:t>
      </w:r>
    </w:p>
    <w:p>
      <w:r>
        <w:rPr>
          <w:i/>
        </w:rPr>
        <w:t>Task 1.3 · about 2 minutes · on screen: the ERD, then `SHOW TABLES`</w:t>
      </w:r>
    </w:p>
    <w:p>
      <w:r>
        <w:rPr>
          <w:b/>
        </w:rPr>
        <w:t>Open with:</w:t>
      </w:r>
      <w:r>
        <w:t xml:space="preserve"> the shape, in one sentence.</w:t>
      </w:r>
    </w:p>
    <w:p>
      <w:r>
        <w:t>Beats:</w:t>
      </w:r>
    </w:p>
    <w:p>
      <w:pPr>
        <w:pStyle w:val="ListBullet"/>
      </w:pPr>
      <w:r>
        <w:t xml:space="preserve">We normalised the flat file into a </w:t>
      </w:r>
      <w:r>
        <w:rPr>
          <w:b/>
        </w:rPr>
        <w:t>star schema</w:t>
      </w:r>
      <w:r>
        <w:t xml:space="preserve">: one fact table surrounded by seven dimensions, </w:t>
      </w:r>
      <w:r>
        <w:rPr>
          <w:b/>
        </w:rPr>
        <w:t>eight tables</w:t>
      </w:r>
      <w:r>
        <w:t xml:space="preserve"> in total</w:t>
      </w:r>
    </w:p>
    <w:p>
      <w:pPr>
        <w:pStyle w:val="ListBullet"/>
      </w:pPr>
      <w:r>
        <w:rPr>
          <w:rFonts w:ascii="Consolas" w:hAnsi="Consolas"/>
          <w:color w:val="2F6F9F"/>
          <w:sz w:val="18"/>
        </w:rPr>
        <w:t>sales</w:t>
      </w:r>
      <w:r>
        <w:t xml:space="preserve"> is the fact table, one row per transaction line. Around it: </w:t>
      </w:r>
      <w:r>
        <w:rPr>
          <w:rFonts w:ascii="Consolas" w:hAnsi="Consolas"/>
          <w:color w:val="2F6F9F"/>
          <w:sz w:val="18"/>
        </w:rPr>
        <w:t>customers</w:t>
      </w:r>
      <w:r>
        <w:t xml:space="preserve">, </w:t>
      </w:r>
      <w:r>
        <w:rPr>
          <w:rFonts w:ascii="Consolas" w:hAnsi="Consolas"/>
          <w:color w:val="2F6F9F"/>
          <w:sz w:val="18"/>
        </w:rPr>
        <w:t>cities</w:t>
      </w:r>
      <w:r>
        <w:t xml:space="preserve">, </w:t>
      </w:r>
      <w:r>
        <w:rPr>
          <w:rFonts w:ascii="Consolas" w:hAnsi="Consolas"/>
          <w:color w:val="2F6F9F"/>
          <w:sz w:val="18"/>
        </w:rPr>
        <w:t>states</w:t>
      </w:r>
      <w:r>
        <w:t xml:space="preserve">, </w:t>
      </w:r>
      <w:r>
        <w:rPr>
          <w:rFonts w:ascii="Consolas" w:hAnsi="Consolas"/>
          <w:color w:val="2F6F9F"/>
          <w:sz w:val="18"/>
        </w:rPr>
        <w:t>categories</w:t>
      </w:r>
      <w:r>
        <w:t xml:space="preserve">, </w:t>
      </w:r>
      <w:r>
        <w:rPr>
          <w:rFonts w:ascii="Consolas" w:hAnsi="Consolas"/>
          <w:color w:val="2F6F9F"/>
          <w:sz w:val="18"/>
        </w:rPr>
        <w:t>sub_categories</w:t>
      </w:r>
      <w:r>
        <w:t xml:space="preserve">, </w:t>
      </w:r>
      <w:r>
        <w:rPr>
          <w:rFonts w:ascii="Consolas" w:hAnsi="Consolas"/>
          <w:color w:val="2F6F9F"/>
          <w:sz w:val="18"/>
        </w:rPr>
        <w:t>payment_modes</w:t>
      </w:r>
      <w:r>
        <w:t xml:space="preserve"> and </w:t>
      </w:r>
      <w:r>
        <w:rPr>
          <w:rFonts w:ascii="Consolas" w:hAnsi="Consolas"/>
          <w:color w:val="2F6F9F"/>
          <w:sz w:val="18"/>
        </w:rPr>
        <w:t>dates</w:t>
      </w:r>
    </w:p>
    <w:p>
      <w:pPr>
        <w:pStyle w:val="ListBullet"/>
      </w:pPr>
      <w:r>
        <w:t xml:space="preserve">Pose the question yourself — </w:t>
      </w:r>
      <w:r>
        <w:rPr>
          <w:i/>
        </w:rPr>
        <w:t>why a star, and not the one table we started with?</w:t>
      </w:r>
      <w:r>
        <w:t xml:space="preserve"> Three reasons:</w:t>
      </w:r>
    </w:p>
    <w:p>
      <w:r>
        <w:rPr>
          <w:b/>
        </w:rPr>
        <w:t>Consistency.</w:t>
      </w:r>
      <w:r>
        <w:t xml:space="preserve"> In the flat file a category name is repeated on every row that uses it, so a typo in one row creates a category that does not exist. In the star the name lives once in </w:t>
      </w:r>
      <w:r>
        <w:rPr>
          <w:rFonts w:ascii="Consolas" w:hAnsi="Consolas"/>
          <w:color w:val="2F6F9F"/>
          <w:sz w:val="18"/>
        </w:rPr>
        <w:t>categories</w:t>
      </w:r>
      <w:r>
        <w:t xml:space="preserve"> and the fact table carries an integer key. A typo becomes impossible rather than merely unlikely.</w:t>
      </w:r>
    </w:p>
    <w:p>
      <w:r>
        <w:rPr>
          <w:b/>
        </w:rPr>
        <w:t>The brief asks for it.</w:t>
      </w:r>
      <w:r>
        <w:t xml:space="preserve"> Task 1.3 requires at least two related tables with proper primary and foreign keys. We have </w:t>
      </w:r>
      <w:r>
        <w:rPr>
          <w:b/>
        </w:rPr>
        <w:t>eight tables, eight primary keys, seven foreign keys, six unique constraints and four check constraints</w:t>
      </w:r>
      <w:r>
        <w:t xml:space="preserve"> — and we tested that the constraints actually reject bad rows rather than assuming they would.</w:t>
      </w:r>
    </w:p>
    <w:p>
      <w:r>
        <w:rPr>
          <w:b/>
        </w:rPr>
        <w:t>The queries need it.</w:t>
      </w:r>
      <w:r>
        <w:t xml:space="preserve"> The category trend question needs category and date on the same row as the amount, and a star gives you that in one join.</w:t>
      </w:r>
    </w:p>
    <w:p>
      <w:r>
        <w:t xml:space="preserve">Then the </w:t>
      </w:r>
      <w:r>
        <w:rPr>
          <w:rFonts w:ascii="Consolas" w:hAnsi="Consolas"/>
          <w:color w:val="2F6F9F"/>
          <w:sz w:val="18"/>
        </w:rPr>
        <w:t>dates</w:t>
      </w:r>
      <w:r>
        <w:t xml:space="preserve"> table, which is the one that looks like overkill until you try to write the queries. Two reasons it earns its place:</w:t>
      </w:r>
    </w:p>
    <w:p>
      <w:pPr>
        <w:pStyle w:val="ListBullet"/>
      </w:pPr>
      <w:r>
        <w:rPr>
          <w:b/>
        </w:rPr>
        <w:t>Portability.</w:t>
      </w:r>
      <w:r>
        <w:t xml:space="preserve"> We never call </w:t>
      </w:r>
      <w:r>
        <w:rPr>
          <w:rFonts w:ascii="Consolas" w:hAnsi="Consolas"/>
          <w:color w:val="2F6F9F"/>
          <w:sz w:val="18"/>
        </w:rPr>
        <w:t>YEAR()</w:t>
      </w:r>
      <w:r>
        <w:t xml:space="preserve"> or </w:t>
      </w:r>
      <w:r>
        <w:rPr>
          <w:rFonts w:ascii="Consolas" w:hAnsi="Consolas"/>
          <w:color w:val="2F6F9F"/>
          <w:sz w:val="18"/>
        </w:rPr>
        <w:t>strftime()</w:t>
      </w:r>
      <w:r>
        <w:t>, so the same query file runs unchanged on MySQL and on SQLite, and we verified that</w:t>
      </w:r>
    </w:p>
    <w:p>
      <w:pPr>
        <w:pStyle w:val="ListBullet"/>
      </w:pPr>
      <w:r>
        <w:rPr>
          <w:b/>
        </w:rPr>
        <w:t>The completeness flags.</w:t>
      </w:r>
      <w:r>
        <w:t xml:space="preserve"> It carries </w:t>
      </w:r>
      <w:r>
        <w:rPr>
          <w:rFonts w:ascii="Consolas" w:hAnsi="Consolas"/>
          <w:color w:val="2F6F9F"/>
          <w:sz w:val="18"/>
        </w:rPr>
        <w:t>is_complete_month</w:t>
      </w:r>
      <w:r>
        <w:t xml:space="preserve"> and </w:t>
      </w:r>
      <w:r>
        <w:rPr>
          <w:rFonts w:ascii="Consolas" w:hAnsi="Consolas"/>
          <w:color w:val="2F6F9F"/>
          <w:sz w:val="18"/>
        </w:rPr>
        <w:t>is_complete_year</w:t>
      </w:r>
      <w:r>
        <w:t>, which the raw dates cannot. Those flags are the fix for problem four, and they are what stops anyone comparing a nine-month 2020 against a full 2021</w:t>
      </w:r>
    </w:p>
    <w:p>
      <w:r>
        <w:t xml:space="preserve">One trap worth telling them about, because it cost real time: </w:t>
      </w:r>
      <w:r>
        <w:rPr>
          <w:b/>
        </w:rPr>
        <w:t>`year_month` is a reserved word in MySQL.</w:t>
      </w:r>
      <w:r>
        <w:t xml:space="preserve"> </w:t>
      </w:r>
      <w:r>
        <w:rPr>
          <w:rFonts w:ascii="Consolas" w:hAnsi="Consolas"/>
          <w:color w:val="2F6F9F"/>
          <w:sz w:val="18"/>
        </w:rPr>
        <w:t>CREATE TABLE dates</w:t>
      </w:r>
      <w:r>
        <w:t xml:space="preserve"> failed outright with a syntax error until we backticked it — and we only found that because we installed a real MySQL server and ran the import rather than assuming the file was fine.</w:t>
      </w:r>
    </w:p>
    <w:p>
      <w:r>
        <w:t xml:space="preserve">Finish on the loader: the whole thing loads from </w:t>
      </w:r>
      <w:r>
        <w:rPr>
          <w:b/>
        </w:rPr>
        <w:t>one file</w:t>
      </w:r>
      <w:r>
        <w:t xml:space="preserve">, </w:t>
      </w:r>
      <w:r>
        <w:rPr>
          <w:rFonts w:ascii="Consolas" w:hAnsi="Consolas"/>
          <w:color w:val="2F6F9F"/>
          <w:sz w:val="18"/>
        </w:rPr>
        <w:t>02_mysql_full_import.sql</w:t>
      </w:r>
      <w:r>
        <w:t>, which creates the database, all eight tables and all the data, and ends with a verification block whose last row must read 1,194 rows, 6,182,639.00 in revenue, 547 order IDs and 57 complete months, with zero orphaned rows.</w:t>
      </w:r>
    </w:p>
    <w:p>
      <w:r>
        <w:rPr>
          <w:b/>
        </w:rPr>
        <w:t>Hand off with:</w:t>
      </w:r>
      <w:r>
        <w:t xml:space="preserve"> "With the database built, the questions could finally be asked — and Mardy wrote the queries."</w:t>
      </w:r>
    </w:p>
    <w:p>
      <w:pPr>
        <w:pStyle w:val="Heading2"/>
      </w:pPr>
      <w:r>
        <w:t>Clip B3 — The workbook</w:t>
      </w:r>
    </w:p>
    <w:p>
      <w:r>
        <w:rPr>
          <w:i/>
        </w:rPr>
        <w:t>Task 2.1 · about 1.5 minutes · on screen: the workbook, Cleaned Data then a PivotChart</w:t>
      </w:r>
    </w:p>
    <w:p>
      <w:r>
        <w:rPr>
          <w:b/>
        </w:rPr>
        <w:t>Open with:</w:t>
      </w:r>
      <w:r>
        <w:t xml:space="preserve"> what Checkpoint 2 is — the same dataset, which the brief requires, taken out of the database and into Excel.</w:t>
      </w:r>
    </w:p>
    <w:p>
      <w:r>
        <w:t>Beats:</w:t>
      </w:r>
    </w:p>
    <w:p>
      <w:pPr>
        <w:pStyle w:val="ListBullet"/>
      </w:pPr>
      <w:r>
        <w:t xml:space="preserve">The workbook has </w:t>
      </w:r>
      <w:r>
        <w:rPr>
          <w:b/>
        </w:rPr>
        <w:t>thirteen sheets</w:t>
      </w:r>
    </w:p>
    <w:p>
      <w:pPr>
        <w:pStyle w:val="ListBullet"/>
      </w:pPr>
      <w:r>
        <w:t xml:space="preserve">The one design decision to defend: </w:t>
      </w:r>
      <w:r>
        <w:rPr>
          <w:b/>
        </w:rPr>
        <w:t>everything is live formulas, not pasted values</w:t>
      </w:r>
      <w:r>
        <w:t xml:space="preserve"> — around </w:t>
      </w:r>
      <w:r>
        <w:rPr>
          <w:b/>
        </w:rPr>
        <w:t>1,724</w:t>
      </w:r>
      <w:r>
        <w:t xml:space="preserve"> of them. The cross-tabs are </w:t>
      </w:r>
      <w:r>
        <w:rPr>
          <w:rFonts w:ascii="Consolas" w:hAnsi="Consolas"/>
          <w:color w:val="2F6F9F"/>
          <w:sz w:val="18"/>
        </w:rPr>
        <w:t>SUMIFS</w:t>
      </w:r>
      <w:r>
        <w:t xml:space="preserve">, </w:t>
      </w:r>
      <w:r>
        <w:rPr>
          <w:rFonts w:ascii="Consolas" w:hAnsi="Consolas"/>
          <w:color w:val="2F6F9F"/>
          <w:sz w:val="18"/>
        </w:rPr>
        <w:t>COUNTIFS</w:t>
      </w:r>
      <w:r>
        <w:t xml:space="preserve"> and </w:t>
      </w:r>
      <w:r>
        <w:rPr>
          <w:rFonts w:ascii="Consolas" w:hAnsi="Consolas"/>
          <w:color w:val="2F6F9F"/>
          <w:sz w:val="18"/>
        </w:rPr>
        <w:t>AVERAGEIFS</w:t>
      </w:r>
      <w:r>
        <w:t xml:space="preserve"> against named ranges over the Cleaned Data sheet, so if a row changed, every statistic downstream would change with it. Pasted values would have looked identical and proved nothing</w:t>
      </w:r>
    </w:p>
    <w:p>
      <w:pPr>
        <w:pStyle w:val="ListBullet"/>
      </w:pPr>
      <w:r>
        <w:t xml:space="preserve">Beyond the brief's minimum we added </w:t>
      </w:r>
      <w:r>
        <w:rPr>
          <w:b/>
        </w:rPr>
        <w:t>three native PivotTables</w:t>
      </w:r>
      <w:r>
        <w:t>, each with a bound PivotChart, sharing one pivot cache. The brief asks for three pivot tables and three pivot charts, and the SUMIFS cross-tabs alone would have been arguable</w:t>
      </w:r>
    </w:p>
    <w:p>
      <w:pPr>
        <w:pStyle w:val="ListBullet"/>
      </w:pPr>
      <w:r>
        <w:rPr>
          <w:b/>
        </w:rPr>
        <w:t>Seven self-check formulas</w:t>
      </w:r>
      <w:r>
        <w:t xml:space="preserve"> on the Read Me sheet. Each recomputes a headline figure by an independent route and prints OK or MISMATCH — the row count, the revenue total and the regression slope are all checked that way. If someone edits a cell they should not have, the workbook says so</w:t>
      </w:r>
    </w:p>
    <w:p>
      <w:r>
        <w:rPr>
          <w:b/>
        </w:rPr>
        <w:t>Hand off with:</w:t>
      </w:r>
      <w:r>
        <w:t xml:space="preserve"> "The statistics built on top of that are Mardy's, starting with the descriptive figures."</w:t>
      </w:r>
    </w:p>
    <w:p>
      <w:pPr>
        <w:pStyle w:val="Heading2"/>
      </w:pPr>
      <w:r>
        <w:t>Clip B4 — The Checkpoint 1 correction</w:t>
      </w:r>
    </w:p>
    <w:p>
      <w:r>
        <w:rPr>
          <w:i/>
        </w:rPr>
        <w:t>About 1.25 minutes · on screen: the correction table from the Checkpoint 2 report</w:t>
      </w:r>
    </w:p>
    <w:p>
      <w:r>
        <w:t>This clip exists because volunteering your own error is worth more than having it found. Record it as its own clip and do not soften it.</w:t>
      </w:r>
    </w:p>
    <w:p>
      <w:r>
        <w:rPr>
          <w:b/>
        </w:rPr>
        <w:t>Open with:</w:t>
      </w:r>
      <w:r>
        <w:t xml:space="preserve"> "Before the conclusions, there is one thing we have to put on the record ourselves."</w:t>
      </w:r>
    </w:p>
    <w:p>
      <w:r>
        <w:t>Beats:</w:t>
      </w:r>
    </w:p>
    <w:p>
      <w:pPr>
        <w:pStyle w:val="ListBullet"/>
      </w:pPr>
      <w:r>
        <w:t xml:space="preserve">Building the Checkpoint 2 monthly series exposed an </w:t>
      </w:r>
      <w:r>
        <w:rPr>
          <w:b/>
        </w:rPr>
        <w:t>error in our own Checkpoint 1</w:t>
      </w:r>
    </w:p>
    <w:p>
      <w:pPr>
        <w:pStyle w:val="ListBullet"/>
      </w:pPr>
      <w:r>
        <w:t xml:space="preserve">We treated 2020 as a full year. The file starts 22 March, so 2020 holds only </w:t>
      </w:r>
      <w:r>
        <w:rPr>
          <w:b/>
        </w:rPr>
        <w:t>nine months</w:t>
      </w:r>
      <w:r>
        <w:t xml:space="preserve">. That overstated 2020-to-2022 growth as </w:t>
      </w:r>
      <w:r>
        <w:rPr>
          <w:b/>
        </w:rPr>
        <w:t>69.9%</w:t>
      </w:r>
      <w:r>
        <w:t xml:space="preserve"> when the like-for-like figure is </w:t>
      </w:r>
      <w:r>
        <w:rPr>
          <w:b/>
        </w:rPr>
        <w:t>30.9%</w:t>
      </w:r>
      <w:r>
        <w:t>. It also distorted March's seasonal index, from 1.025 down to 0.876</w:t>
      </w:r>
    </w:p>
    <w:p>
      <w:pPr>
        <w:pStyle w:val="ListBullet"/>
      </w:pPr>
      <w:r>
        <w:t>What it did and did not touch:</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Affected</w:t>
            </w:r>
          </w:p>
        </w:tc>
        <w:tc>
          <w:tcPr>
            <w:tcW w:type="dxa" w:w="4680"/>
          </w:tcPr>
          <w:p>
            <w:r>
              <w:rPr>
                <w:b/>
              </w:rPr>
            </w:r>
            <w:r>
              <w:rPr>
                <w:b/>
              </w:rPr>
              <w:t>Unaffected</w:t>
            </w:r>
          </w:p>
        </w:tc>
      </w:tr>
      <w:tr>
        <w:tc>
          <w:tcPr>
            <w:tcW w:type="dxa" w:w="4680"/>
          </w:tcPr>
          <w:p>
            <w:pPr>
              <w:spacing w:line="240" w:lineRule="auto"/>
            </w:pPr>
            <w:r>
              <w:rPr>
                <w:sz w:val="18"/>
              </w:rPr>
            </w:r>
            <w:r>
              <w:rPr>
                <w:sz w:val="18"/>
              </w:rPr>
              <w:t>The 2020→2022 growth figure</w:t>
            </w:r>
          </w:p>
        </w:tc>
        <w:tc>
          <w:tcPr>
            <w:tcW w:type="dxa" w:w="4680"/>
          </w:tcPr>
          <w:p>
            <w:pPr>
              <w:spacing w:line="240" w:lineRule="auto"/>
            </w:pPr>
            <w:r>
              <w:rPr>
                <w:sz w:val="18"/>
              </w:rPr>
            </w:r>
            <w:r>
              <w:rPr>
                <w:sz w:val="18"/>
              </w:rPr>
              <w:t>The −17.6% peak-to-2024 decline — both are full years</w:t>
            </w:r>
          </w:p>
        </w:tc>
      </w:tr>
      <w:tr>
        <w:tc>
          <w:tcPr>
            <w:tcW w:type="dxa" w:w="4680"/>
          </w:tcPr>
          <w:p>
            <w:pPr>
              <w:spacing w:line="240" w:lineRule="auto"/>
            </w:pPr>
            <w:r>
              <w:rPr>
                <w:sz w:val="18"/>
              </w:rPr>
            </w:r>
            <w:r>
              <w:rPr>
                <w:sz w:val="18"/>
              </w:rPr>
              <w:t>March's seasonal index</w:t>
            </w:r>
          </w:p>
        </w:tc>
        <w:tc>
          <w:tcPr>
            <w:tcW w:type="dxa" w:w="4680"/>
          </w:tcPr>
          <w:p>
            <w:pPr>
              <w:spacing w:line="240" w:lineRule="auto"/>
            </w:pPr>
            <w:r>
              <w:rPr>
                <w:sz w:val="18"/>
              </w:rPr>
            </w:r>
            <w:r>
              <w:rPr>
                <w:sz w:val="18"/>
              </w:rPr>
              <w:t>Printers −136,865; Electronics −40.8%</w:t>
            </w:r>
          </w:p>
        </w:tc>
      </w:tr>
      <w:tr>
        <w:tc>
          <w:tcPr>
            <w:tcW w:type="dxa" w:w="4680"/>
          </w:tcPr>
          <w:p>
            <w:pPr>
              <w:spacing w:line="240" w:lineRule="auto"/>
            </w:pPr>
            <w:r>
              <w:rPr>
                <w:sz w:val="18"/>
              </w:rPr>
            </w:r>
          </w:p>
        </w:tc>
        <w:tc>
          <w:tcPr>
            <w:tcW w:type="dxa" w:w="4680"/>
          </w:tcPr>
          <w:p>
            <w:pPr>
              <w:spacing w:line="240" w:lineRule="auto"/>
            </w:pPr>
            <w:r>
              <w:rPr>
                <w:sz w:val="18"/>
              </w:rPr>
            </w:r>
            <w:r>
              <w:rPr>
                <w:sz w:val="18"/>
              </w:rPr>
              <w:t>Category-specific seasonality; the geography finding</w:t>
            </w:r>
          </w:p>
        </w:tc>
      </w:tr>
    </w:tbl>
    <w:p>
      <w:pPr>
        <w:spacing w:after="200" w:line="240" w:lineRule="auto"/>
        <w:jc w:val="center"/>
      </w:pPr>
      <w:r>
        <w:rPr>
          <w:i/>
          <w:color w:val="7B8994"/>
          <w:sz w:val="20"/>
        </w:rPr>
        <w:t>Table 2. Clip B4 — The Checkpoint 1 correction</w:t>
      </w:r>
    </w:p>
    <w:p>
      <w:pPr>
        <w:pStyle w:val="ListBullet"/>
      </w:pPr>
      <w:r>
        <w:t>The central thesis is unchanged; one supporting number was overstated</w:t>
      </w:r>
    </w:p>
    <w:p>
      <w:pPr>
        <w:pStyle w:val="ListBullet"/>
      </w:pPr>
      <w:r>
        <w:t xml:space="preserve">We reissued Checkpoint 1 with an </w:t>
      </w:r>
      <w:r>
        <w:rPr>
          <w:rFonts w:ascii="Consolas" w:hAnsi="Consolas"/>
          <w:color w:val="2F6F9F"/>
          <w:sz w:val="18"/>
        </w:rPr>
        <w:t>is_complete_month</w:t>
      </w:r>
      <w:r>
        <w:t xml:space="preserve"> flag and a per-month column in Query 3, so the mistake cannot recur, and it is documented in the Checkpoint 2 report either way</w:t>
      </w:r>
    </w:p>
    <w:p>
      <w:r>
        <w:rPr>
          <w:b/>
        </w:rPr>
        <w:t>Hand off with:</w:t>
      </w:r>
      <w:r>
        <w:t xml:space="preserve"> "With that correction made, Alber takes what the analysis tells the business."</w:t>
      </w:r>
    </w:p>
    <w:p>
      <w:pPr>
        <w:pStyle w:val="Heading2"/>
      </w:pPr>
      <w:r>
        <w:t>Clip B5 — Q&amp;A answers</w:t>
      </w:r>
    </w:p>
    <w:p>
      <w:r>
        <w:rPr>
          <w:i/>
        </w:rPr>
        <w:t>About 50 seconds · first of the three Q&amp;A clips</w:t>
      </w:r>
    </w:p>
    <w:p>
      <w:r>
        <w:rPr>
          <w:b/>
        </w:rPr>
        <w:t>Open with:</w:t>
      </w:r>
      <w:r>
        <w:t xml:space="preserve"> "A few questions we would expect on the data side."</w:t>
      </w:r>
    </w:p>
    <w:p>
      <w:r>
        <w:t>Answer three, in your own words:</w:t>
      </w:r>
    </w:p>
    <w:p>
      <w:r>
        <w:rPr>
          <w:b/>
        </w:rPr>
        <w:t>"Your dataset looks fake — doesn't that invalidate the project?"</w:t>
      </w:r>
      <w:r>
        <w:t xml:space="preserve"> — It invalidates the </w:t>
      </w:r>
      <w:r>
        <w:rPr>
          <w:i/>
        </w:rPr>
        <w:t>figures</w:t>
      </w:r>
      <w:r>
        <w:t xml:space="preserve">, not the </w:t>
      </w:r>
      <w:r>
        <w:rPr>
          <w:i/>
        </w:rPr>
        <w:t>method</w:t>
      </w:r>
      <w:r>
        <w:t>. We proved it with five signals and did not fabricate corrections, which would have been worse. The schema, the queries and the analysis would run identically on real data.</w:t>
      </w:r>
    </w:p>
    <w:p>
      <w:r>
        <w:rPr>
          <w:b/>
        </w:rPr>
        <w:t>"Why didn't you use `Order ID` as the primary key?"</w:t>
      </w:r>
      <w:r>
        <w:t xml:space="preserve"> — 1,194 rows, 547 distinct IDs, and the repeats span different dates and different customers. It identifies neither a row nor an order.</w:t>
      </w:r>
    </w:p>
    <w:p>
      <w:r>
        <w:rPr>
          <w:b/>
        </w:rPr>
        <w:t>"Why exclude 2025 and show 2020 per month?"</w:t>
      </w:r>
      <w:r>
        <w:t xml:space="preserve"> — Both ends of the file are partial. Including them whole would show fake growth at one end and a fake collapse at the other. That is precisely the mistake we made and corrected.</w:t>
      </w:r>
    </w:p>
    <w:p>
      <w:r>
        <w:rPr>
          <w:b/>
        </w:rPr>
        <w:t>Hand off with:</w:t>
      </w:r>
      <w:r>
        <w:t xml:space="preserve"> "Mardy has the questions on the statistics."</w:t>
      </w:r>
    </w:p>
    <w:p>
      <w:r>
        <w:br w:type="page"/>
      </w:r>
    </w:p>
    <w:p>
      <w:pPr>
        <w:pStyle w:val="Heading2"/>
      </w:pPr>
      <w:r>
        <w:t>Rehearsal checklist</w:t>
      </w:r>
    </w:p>
    <w:p>
      <w:r>
        <w:t>Each of you, before you record:</w:t>
      </w:r>
    </w:p>
    <w:p>
      <w:pPr>
        <w:pStyle w:val="ListBullet"/>
      </w:pPr>
      <w:r>
        <w:t>Every number you say out loud, you can point to — a query, a figure, or a cell</w:t>
      </w:r>
    </w:p>
    <w:p>
      <w:pPr>
        <w:pStyle w:val="ListBullet"/>
      </w:pPr>
      <w:r>
        <w:t>You can say your clip's beats with the script closed</w:t>
      </w:r>
    </w:p>
    <w:p>
      <w:pPr>
        <w:pStyle w:val="ListBullet"/>
      </w:pPr>
      <w:r>
        <w:t>You can answer at least one question from someone else's area, because Section 1.4 does not care who recorded which clip</w:t>
      </w:r>
    </w:p>
    <w:p>
      <w:pPr>
        <w:pStyle w:val="ListBullet"/>
      </w:pPr>
      <w:r>
        <w:t>Your exhibits are open and on the right screen before you press record</w:t>
      </w:r>
    </w:p>
    <w:p>
      <w:pPr>
        <w:pStyle w:val="ListBullet"/>
      </w:pPr>
      <w:r>
        <w:t>You have said your handoff line, even though it feels strange alone in a room</w:t>
      </w:r>
    </w:p>
    <w:p>
      <w:r>
        <w:t>Alber, before you submit:</w:t>
      </w:r>
    </w:p>
    <w:p>
      <w:pPr>
        <w:pStyle w:val="ListBullet"/>
      </w:pPr>
      <w:r>
        <w:t>All fourteen clips present, in the assembly order above, no task missing</w:t>
      </w:r>
    </w:p>
    <w:p>
      <w:pPr>
        <w:pStyle w:val="ListBullet"/>
      </w:pPr>
      <w:r>
        <w:t>Audio levels normalised across all three speakers</w:t>
      </w:r>
    </w:p>
    <w:p>
      <w:pPr>
        <w:pStyle w:val="ListBullet"/>
      </w:pPr>
      <w:r>
        <w:t>Every speaker names themselves at least once</w:t>
      </w:r>
    </w:p>
    <w:p>
      <w:pPr>
        <w:pStyle w:val="ListBullet"/>
      </w:pPr>
      <w:r>
        <w:t>The synthetic data, the Checkpoint 1 correction and the forecast that lost are all audibly in the recording</w:t>
      </w:r>
    </w:p>
    <w:p>
      <w:pPr>
        <w:pStyle w:val="ListBullet"/>
      </w:pPr>
      <w:r>
        <w:t>Playback checked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