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 Capstone Project: Checkpoint 1</w:t>
      </w:r>
    </w:p>
    <w:p>
      <w:pPr>
        <w:pStyle w:val="Heading2"/>
      </w:pPr>
      <w:r>
        <w:t>Data Fundamentals &amp; SQL Querying</w:t>
      </w:r>
    </w:p>
    <w:p>
      <w:r>
        <w:rPr>
          <w:b/>
        </w:rPr>
        <w:t>Group Name:</w:t>
      </w:r>
      <w:r>
        <w:t xml:space="preserve"> _______________________ </w:t>
      </w:r>
      <w:r>
        <w:rPr>
          <w:b/>
        </w:rPr>
        <w:t>Course &amp; Section:</w:t>
      </w:r>
      <w:r>
        <w:t xml:space="preserve"> BED 108 — Business Analytics </w:t>
      </w:r>
      <w:r>
        <w:rPr>
          <w:b/>
        </w:rPr>
        <w:t>Date:</w:t>
      </w:r>
      <w:r>
        <w:t xml:space="preserve"> _______________________</w:t>
      </w:r>
    </w:p>
    <w:p>
      <w:r>
        <w:rPr>
          <w:b/>
        </w:rPr>
        <w:t>Team Members &amp; Roles:</w:t>
      </w:r>
    </w:p>
    <w:tbl>
      <w:tblPr>
        <w:tblStyle w:val="LightGrid-Accent1"/>
        <w:tblW w:type="auto" w:w="0"/>
        <w:jc w:val="center"/>
        <w:tblLayout w:type="autofit"/>
        <w:tblLook w:firstColumn="1" w:firstRow="1" w:lastColumn="0" w:lastRow="0" w:noHBand="0" w:noVBand="1" w:val="04A0"/>
      </w:tblPr>
      <w:tblGrid>
        <w:gridCol w:w="4896"/>
        <w:gridCol w:w="4896"/>
      </w:tblGrid>
      <w:tr>
        <w:tc>
          <w:tcPr>
            <w:tcW w:type="dxa" w:w="4896"/>
          </w:tcPr>
          <w:p>
            <w:r>
              <w:rPr>
                <w:b/>
              </w:rPr>
            </w:r>
            <w:r>
              <w:rPr>
                <w:b/>
              </w:rPr>
              <w:t>Member</w:t>
            </w:r>
          </w:p>
        </w:tc>
        <w:tc>
          <w:tcPr>
            <w:tcW w:type="dxa" w:w="4896"/>
          </w:tcPr>
          <w:p>
            <w:r>
              <w:rPr>
                <w:b/>
              </w:rPr>
            </w:r>
            <w:r>
              <w:rPr>
                <w:b/>
              </w:rPr>
              <w:t>Role</w:t>
            </w:r>
          </w:p>
        </w:tc>
      </w:tr>
      <w:tr>
        <w:tc>
          <w:tcPr>
            <w:tcW w:type="dxa" w:w="4896"/>
          </w:tcPr>
          <w:p>
            <w:r>
              <w:rPr>
                <w:sz w:val="18"/>
              </w:rPr>
            </w:r>
            <w:r>
              <w:t>_______________________</w:t>
            </w:r>
          </w:p>
        </w:tc>
        <w:tc>
          <w:tcPr>
            <w:tcW w:type="dxa" w:w="4896"/>
          </w:tcPr>
          <w:p>
            <w:r>
              <w:rPr>
                <w:sz w:val="18"/>
              </w:rPr>
            </w:r>
            <w:r>
              <w:t>Project Lead / Analyst</w:t>
            </w:r>
          </w:p>
        </w:tc>
      </w:tr>
      <w:tr>
        <w:tc>
          <w:tcPr>
            <w:tcW w:type="dxa" w:w="4896"/>
          </w:tcPr>
          <w:p>
            <w:r>
              <w:rPr>
                <w:sz w:val="18"/>
              </w:rPr>
            </w:r>
            <w:r>
              <w:t>_______________________</w:t>
            </w:r>
          </w:p>
        </w:tc>
        <w:tc>
          <w:tcPr>
            <w:tcW w:type="dxa" w:w="4896"/>
          </w:tcPr>
          <w:p>
            <w:r>
              <w:rPr>
                <w:sz w:val="18"/>
              </w:rPr>
            </w:r>
            <w:r>
              <w:t>Data Engineer</w:t>
            </w:r>
          </w:p>
        </w:tc>
      </w:tr>
      <w:tr>
        <w:tc>
          <w:tcPr>
            <w:tcW w:type="dxa" w:w="4896"/>
          </w:tcPr>
          <w:p>
            <w:r>
              <w:rPr>
                <w:sz w:val="18"/>
              </w:rPr>
            </w:r>
            <w:r>
              <w:t>_______________________</w:t>
            </w:r>
          </w:p>
        </w:tc>
        <w:tc>
          <w:tcPr>
            <w:tcW w:type="dxa" w:w="4896"/>
          </w:tcPr>
          <w:p>
            <w:r>
              <w:rPr>
                <w:sz w:val="18"/>
              </w:rPr>
            </w:r>
            <w:r>
              <w:t>Statistician / Modeler</w:t>
            </w:r>
          </w:p>
        </w:tc>
      </w:tr>
      <w:tr>
        <w:tc>
          <w:tcPr>
            <w:tcW w:type="dxa" w:w="4896"/>
          </w:tcPr>
          <w:p>
            <w:r>
              <w:rPr>
                <w:sz w:val="18"/>
              </w:rPr>
            </w:r>
            <w:r>
              <w:t>_______________________</w:t>
            </w:r>
          </w:p>
        </w:tc>
        <w:tc>
          <w:tcPr>
            <w:tcW w:type="dxa" w:w="4896"/>
          </w:tcPr>
          <w:p>
            <w:r>
              <w:rPr>
                <w:sz w:val="18"/>
              </w:rPr>
            </w:r>
            <w:r>
              <w:t>BI Developer / Visualizer</w:t>
            </w:r>
          </w:p>
        </w:tc>
      </w:tr>
    </w:tbl>
    <w:p/>
    <w:p>
      <w:r>
        <w:rPr>
          <w:b/>
        </w:rPr>
        <w:t>Project topic:</w:t>
      </w:r>
      <w:r>
        <w:t xml:space="preserve"> Sales trend analysis for a multi-category US retailer, 2020–2025.</w:t>
      </w:r>
    </w:p>
    <w:p>
      <w:r>
        <w:br w:type="page"/>
      </w:r>
    </w:p>
    <w:p>
      <w:pPr>
        <w:pStyle w:val="Heading1"/>
      </w:pPr>
      <w:r>
        <w:t>Task 1.1 — Business Problem Statement</w:t>
      </w:r>
    </w:p>
    <w:p>
      <w:pPr>
        <w:pStyle w:val="Heading2"/>
      </w:pPr>
      <w:r>
        <w:t>Business Domain &amp; Problem Investigation</w:t>
      </w:r>
    </w:p>
    <w:p>
      <w:r>
        <w:rPr>
          <w:b/>
        </w:rPr>
        <w:t>Industry:</w:t>
      </w:r>
      <w:r>
        <w:t xml:space="preserve"> Multi-category retail (consumer electronics, furniture and office supplies) operating across six US states — California, Florida, Illinois, New York, Ohio and Texas.</w:t>
      </w:r>
    </w:p>
    <w:p>
      <w:r>
        <w:rPr>
          <w:b/>
        </w:rPr>
        <w:t>Core business problem.</w:t>
      </w:r>
      <w:r>
        <w:t xml:space="preserve"> The company grew quickly out of 2020 and then stopped. Revenue rose 69.9% between 2020 and 2022, from 859,401 to 1,459,775, but has fallen in each of the two years since, ending 2024 at 1,202,478 — 17.6% below the 2022 peak. Overall margin has stayed flat in a narrow 23.97%–26.93% band throughout, so the problem is not that the company is selling at worse prices; it is that the </w:t>
      </w:r>
      <w:r>
        <w:rPr>
          <w:i/>
        </w:rPr>
        <w:t>volume and mix of what it sells</w:t>
      </w:r>
      <w:r>
        <w:t xml:space="preserve"> have shifted in a way management has not yet diagnosed.</w:t>
      </w:r>
    </w:p>
    <w:p>
      <w:r>
        <w:t>Because reporting to date has been a single company-wide revenue figure per year, nobody can say whether the plateau is a market-wide slowdown, a seasonal artefact, or a handful of specific product lines falling away. Those three explanations call for completely different responses, and the company currently cannot tell them apart.</w:t>
      </w:r>
    </w:p>
    <w:p>
      <w:r>
        <w:rPr>
          <w:b/>
        </w:rPr>
        <w:t>What this project does.</w:t>
      </w:r>
      <w:r>
        <w:t xml:space="preserve"> It rebuilds five years of transaction history into a queryable relational warehouse and decomposes the trend along three axes — time, product hierarchy, and geography — so that the plateau can be attributed to specific product lines and specific periods rather than described in aggregate.</w:t>
      </w:r>
    </w:p>
    <w:p>
      <w:pPr>
        <w:pStyle w:val="Heading2"/>
      </w:pPr>
      <w:r>
        <w:t>Business Impact &amp; Significance</w:t>
      </w:r>
    </w:p>
    <w:p>
      <w:pPr>
        <w:pStyle w:val="ListBullet"/>
      </w:pPr>
      <w:r>
        <w:rPr>
          <w:b/>
        </w:rPr>
        <w:t>Revenue.</w:t>
      </w:r>
      <w:r>
        <w:t xml:space="preserve"> The gap between the 2022 peak and 2024 actuals is 257,297 per year. Recovering even half of it is worth roughly 128,000 annually, which is material against a five-year total of 5.93 million.</w:t>
      </w:r>
    </w:p>
    <w:p>
      <w:pPr>
        <w:pStyle w:val="ListBullet"/>
      </w:pPr>
      <w:r>
        <w:rPr>
          <w:b/>
        </w:rPr>
        <w:t>Inventory efficiency.</w:t>
      </w:r>
      <w:r>
        <w:t xml:space="preserve"> Demand is heavily concentrated: October and December alone carry 21.7% of annual revenue, and Q4 as a whole carries 29.3%. Stocking to a flat monthly average guarantees both stockouts in the peak and dead capital in January, the weakest month at 4.72% of the year.</w:t>
      </w:r>
    </w:p>
    <w:p>
      <w:pPr>
        <w:pStyle w:val="ListBullet"/>
      </w:pPr>
      <w:r>
        <w:rPr>
          <w:b/>
        </w:rPr>
        <w:t>Purchasing decisions.</w:t>
      </w:r>
      <w:r>
        <w:t xml:space="preserve"> Category performance has diverged sharply. Knowing that Electronics fell 40.8% in 2024 while Office Supplies rose is the difference between an across-the-board purchasing cut and a targeted one.</w:t>
      </w:r>
    </w:p>
    <w:p>
      <w:pPr>
        <w:pStyle w:val="ListBullet"/>
      </w:pPr>
      <w:r>
        <w:rPr>
          <w:b/>
        </w:rPr>
        <w:t>Reporting credibility.</w:t>
      </w:r>
      <w:r>
        <w:t xml:space="preserve"> A documented, constraint-enforced schema replaces ad-hoc spreadsheet pivots, so every number in a management report can be traced back to a query and a source row.</w:t>
      </w:r>
    </w:p>
    <w:p>
      <w:pPr>
        <w:pStyle w:val="Heading2"/>
      </w:pPr>
      <w:r>
        <w:t>Key Business Questions</w:t>
      </w:r>
    </w:p>
    <w:p>
      <w:pPr>
        <w:pStyle w:val="ListNumber"/>
      </w:pPr>
      <w:r>
        <w:rPr>
          <w:b/>
        </w:rPr>
        <w:t>How have revenue and profit trended year over year from 2020 to 2024, and is the company still growing?</w:t>
      </w:r>
      <w:r>
        <w:t xml:space="preserve"> </w:t>
      </w:r>
      <w:r>
        <w:rPr>
          <w:i/>
        </w:rPr>
        <w:t>(Answered by Q3, Figure 1.)</w:t>
      </w:r>
    </w:p>
    <w:p>
      <w:pPr>
        <w:pStyle w:val="ListNumber"/>
      </w:pPr>
      <w:r>
        <w:rPr>
          <w:b/>
        </w:rPr>
        <w:t>Which product categories and sub-categories are driving the trend, and which ones reversed direction most recently?</w:t>
      </w:r>
      <w:r>
        <w:t xml:space="preserve"> </w:t>
      </w:r>
      <w:r>
        <w:rPr>
          <w:i/>
        </w:rPr>
        <w:t>(Answered by Q5, Q7, Figure 3.)</w:t>
      </w:r>
    </w:p>
    <w:p>
      <w:pPr>
        <w:pStyle w:val="ListNumber"/>
      </w:pPr>
      <w:r>
        <w:rPr>
          <w:b/>
        </w:rPr>
        <w:t>When during the year does demand concentrate, and is that seasonal pattern the same for every category?</w:t>
      </w:r>
      <w:r>
        <w:t xml:space="preserve"> </w:t>
      </w:r>
      <w:r>
        <w:rPr>
          <w:i/>
        </w:rPr>
        <w:t>(Answered by Q4, Q8, Figure 2.)</w:t>
      </w:r>
    </w:p>
    <w:p>
      <w:r>
        <w:t>Supporting questions: which cities return the most revenue per customer (Q6), and which bulk orders are being sold at the thinnest margins (Q2).</w:t>
      </w:r>
    </w:p>
    <w:p>
      <w:pPr>
        <w:pStyle w:val="Heading2"/>
      </w:pPr>
      <w:r>
        <w:t>Data Source Overview</w:t>
      </w:r>
    </w:p>
    <w:p>
      <w:r>
        <w:t>Historical point-of-sale transaction records — one row per product line on an order — obtained as a public CSV export in the Kaggle "Sales Dataset" format. The file covers 22 March 2020 to 15 March 2025 and carries order identifiers, dates, customer names, geography, a two-level product hierarchy, payment method, and the three measures: quantity, amount and profit.</w:t>
      </w:r>
    </w:p>
    <w:p>
      <w:r>
        <w:br w:type="page"/>
      </w:r>
    </w:p>
    <w:p>
      <w:pPr>
        <w:pStyle w:val="Heading1"/>
      </w:pPr>
      <w:r>
        <w:t>Task 1.2 — Dataset Documentation</w:t>
      </w:r>
    </w:p>
    <w:p>
      <w:pPr>
        <w:pStyle w:val="Heading2"/>
      </w:pPr>
      <w:r>
        <w:t>Data Source Report</w:t>
      </w:r>
    </w:p>
    <w:tbl>
      <w:tblPr>
        <w:tblStyle w:val="LightGrid-Accent1"/>
        <w:tblW w:type="auto" w:w="0"/>
        <w:jc w:val="center"/>
        <w:tblLayout w:type="autofit"/>
        <w:tblLook w:firstColumn="1" w:firstRow="1" w:lastColumn="0" w:lastRow="0" w:noHBand="0" w:noVBand="1" w:val="04A0"/>
      </w:tblPr>
      <w:tblGrid>
        <w:gridCol w:w="4896"/>
        <w:gridCol w:w="4896"/>
      </w:tblGrid>
      <w:tr>
        <w:tc>
          <w:tcPr>
            <w:tcW w:type="dxa" w:w="4896"/>
          </w:tcPr>
          <w:p>
            <w:r>
              <w:rPr>
                <w:b/>
              </w:rPr>
            </w:r>
            <w:r>
              <w:rPr>
                <w:b/>
              </w:rPr>
              <w:t>Attribute</w:t>
            </w:r>
          </w:p>
        </w:tc>
        <w:tc>
          <w:tcPr>
            <w:tcW w:type="dxa" w:w="4896"/>
          </w:tcPr>
          <w:p>
            <w:r>
              <w:rPr>
                <w:b/>
              </w:rPr>
            </w:r>
            <w:r>
              <w:rPr>
                <w:b/>
              </w:rPr>
              <w:t>Details</w:t>
            </w:r>
          </w:p>
        </w:tc>
      </w:tr>
      <w:tr>
        <w:tc>
          <w:tcPr>
            <w:tcW w:type="dxa" w:w="4896"/>
          </w:tcPr>
          <w:p>
            <w:r>
              <w:rPr>
                <w:sz w:val="18"/>
              </w:rPr>
            </w:r>
            <w:r>
              <w:t>Dataset Name</w:t>
            </w:r>
          </w:p>
        </w:tc>
        <w:tc>
          <w:tcPr>
            <w:tcW w:type="dxa" w:w="4896"/>
          </w:tcPr>
          <w:p>
            <w:r>
              <w:rPr>
                <w:sz w:val="18"/>
              </w:rPr>
            </w:r>
            <w:r>
              <w:t>Sales Dataset (multi-category US retail transactions)</w:t>
            </w:r>
          </w:p>
        </w:tc>
      </w:tr>
      <w:tr>
        <w:tc>
          <w:tcPr>
            <w:tcW w:type="dxa" w:w="4896"/>
          </w:tcPr>
          <w:p>
            <w:r>
              <w:rPr>
                <w:sz w:val="18"/>
              </w:rPr>
            </w:r>
            <w:r>
              <w:t>Source URL/File</w:t>
            </w:r>
          </w:p>
        </w:tc>
        <w:tc>
          <w:tcPr>
            <w:tcW w:type="dxa" w:w="4896"/>
          </w:tcPr>
          <w:p>
            <w:r>
              <w:rPr>
                <w:sz w:val="18"/>
              </w:rPr>
            </w:r>
            <w:r>
              <w:rPr>
                <w:rFonts w:ascii="Consolas" w:hAnsi="Consolas"/>
                <w:color w:val="2F6F9F"/>
                <w:sz w:val="18"/>
              </w:rPr>
              <w:t>archive.zip → Sales Dataset.csv</w:t>
            </w:r>
            <w:r>
              <w:t xml:space="preserve">, public Kaggle-format sales export. Stored in this repository as </w:t>
            </w:r>
            <w:r>
              <w:rPr>
                <w:rFonts w:ascii="Consolas" w:hAnsi="Consolas"/>
                <w:color w:val="2F6F9F"/>
                <w:sz w:val="18"/>
              </w:rPr>
              <w:t>data/raw/sales_dataset_raw.csv</w:t>
            </w:r>
          </w:p>
        </w:tc>
      </w:tr>
      <w:tr>
        <w:tc>
          <w:tcPr>
            <w:tcW w:type="dxa" w:w="4896"/>
          </w:tcPr>
          <w:p>
            <w:r>
              <w:rPr>
                <w:sz w:val="18"/>
              </w:rPr>
            </w:r>
            <w:r>
              <w:t>Date Accessed</w:t>
            </w:r>
          </w:p>
        </w:tc>
        <w:tc>
          <w:tcPr>
            <w:tcW w:type="dxa" w:w="4896"/>
          </w:tcPr>
          <w:p>
            <w:r>
              <w:rPr>
                <w:sz w:val="18"/>
              </w:rPr>
            </w:r>
            <w:r>
              <w:t>24 August 2026</w:t>
            </w:r>
          </w:p>
        </w:tc>
      </w:tr>
      <w:tr>
        <w:tc>
          <w:tcPr>
            <w:tcW w:type="dxa" w:w="4896"/>
          </w:tcPr>
          <w:p>
            <w:r>
              <w:rPr>
                <w:sz w:val="18"/>
              </w:rPr>
            </w:r>
            <w:r>
              <w:t>License Type</w:t>
            </w:r>
          </w:p>
        </w:tc>
        <w:tc>
          <w:tcPr>
            <w:tcW w:type="dxa" w:w="4896"/>
          </w:tcPr>
          <w:p>
            <w:r>
              <w:rPr>
                <w:sz w:val="18"/>
              </w:rPr>
            </w:r>
            <w:r>
              <w:t>Public/open dataset, used here for academic coursework only. _Confirm and record the exact licence shown on the source page before submission._</w:t>
            </w:r>
          </w:p>
        </w:tc>
      </w:tr>
      <w:tr>
        <w:tc>
          <w:tcPr>
            <w:tcW w:type="dxa" w:w="4896"/>
          </w:tcPr>
          <w:p>
            <w:r>
              <w:rPr>
                <w:sz w:val="18"/>
              </w:rPr>
            </w:r>
            <w:r>
              <w:t>File Size</w:t>
            </w:r>
          </w:p>
        </w:tc>
        <w:tc>
          <w:tcPr>
            <w:tcW w:type="dxa" w:w="4896"/>
          </w:tcPr>
          <w:p>
            <w:r>
              <w:rPr>
                <w:sz w:val="18"/>
              </w:rPr>
            </w:r>
            <w:r>
              <w:t>1,194 data rows × 12 columns</w:t>
            </w:r>
          </w:p>
        </w:tc>
      </w:tr>
      <w:tr>
        <w:tc>
          <w:tcPr>
            <w:tcW w:type="dxa" w:w="4896"/>
          </w:tcPr>
          <w:p>
            <w:r>
              <w:rPr>
                <w:sz w:val="18"/>
              </w:rPr>
            </w:r>
            <w:r>
              <w:t>Coverage</w:t>
            </w:r>
          </w:p>
        </w:tc>
        <w:tc>
          <w:tcPr>
            <w:tcW w:type="dxa" w:w="4896"/>
          </w:tcPr>
          <w:p>
            <w:r>
              <w:rPr>
                <w:sz w:val="18"/>
              </w:rPr>
            </w:r>
            <w:r>
              <w:t>22 March 2020 – 15 March 2025</w:t>
            </w:r>
          </w:p>
        </w:tc>
      </w:tr>
      <w:tr>
        <w:tc>
          <w:tcPr>
            <w:tcW w:type="dxa" w:w="4896"/>
          </w:tcPr>
          <w:p>
            <w:r>
              <w:rPr>
                <w:sz w:val="18"/>
              </w:rPr>
            </w:r>
            <w:r>
              <w:t>Currency</w:t>
            </w:r>
          </w:p>
        </w:tc>
        <w:tc>
          <w:tcPr>
            <w:tcW w:type="dxa" w:w="4896"/>
          </w:tcPr>
          <w:p>
            <w:r>
              <w:rPr>
                <w:sz w:val="18"/>
              </w:rPr>
            </w:r>
            <w:r>
              <w:rPr>
                <w:b/>
              </w:rPr>
              <w:t>Not stated in the source file.</w:t>
            </w:r>
            <w:r>
              <w:t xml:space="preserve"> </w:t>
            </w:r>
            <w:r>
              <w:rPr>
                <w:rFonts w:ascii="Consolas" w:hAnsi="Consolas"/>
                <w:color w:val="2F6F9F"/>
                <w:sz w:val="18"/>
              </w:rPr>
              <w:t>Amount</w:t>
            </w:r>
            <w:r>
              <w:t xml:space="preserve"> and </w:t>
            </w:r>
            <w:r>
              <w:rPr>
                <w:rFonts w:ascii="Consolas" w:hAnsi="Consolas"/>
                <w:color w:val="2F6F9F"/>
                <w:sz w:val="18"/>
              </w:rPr>
              <w:t>Profit</w:t>
            </w:r>
            <w:r>
              <w:t xml:space="preserve"> are unitless integers; all figures in this report are quoted as currency units.</w:t>
            </w:r>
          </w:p>
        </w:tc>
      </w:tr>
    </w:tbl>
    <w:p/>
    <w:p>
      <w:pPr>
        <w:pStyle w:val="Heading2"/>
      </w:pPr>
      <w:r>
        <w:t>Data Dictionary</w:t>
      </w:r>
    </w:p>
    <w:tbl>
      <w:tblPr>
        <w:tblStyle w:val="LightGrid-Accent1"/>
        <w:tblW w:type="auto" w:w="0"/>
        <w:jc w:val="center"/>
        <w:tblLayout w:type="autofit"/>
        <w:tblLook w:firstColumn="1" w:firstRow="1" w:lastColumn="0" w:lastRow="0" w:noHBand="0" w:noVBand="1" w:val="04A0"/>
      </w:tblPr>
      <w:tblGrid>
        <w:gridCol w:w="3264"/>
        <w:gridCol w:w="3264"/>
        <w:gridCol w:w="3264"/>
      </w:tblGrid>
      <w:tr>
        <w:tc>
          <w:tcPr>
            <w:tcW w:type="dxa" w:w="3264"/>
          </w:tcPr>
          <w:p>
            <w:r>
              <w:rPr>
                <w:b/>
              </w:rPr>
            </w:r>
            <w:r>
              <w:rPr>
                <w:b/>
              </w:rPr>
              <w:t>Column Name</w:t>
            </w:r>
          </w:p>
        </w:tc>
        <w:tc>
          <w:tcPr>
            <w:tcW w:type="dxa" w:w="3264"/>
          </w:tcPr>
          <w:p>
            <w:r>
              <w:rPr>
                <w:b/>
              </w:rPr>
            </w:r>
            <w:r>
              <w:rPr>
                <w:b/>
              </w:rPr>
              <w:t>Data Type</w:t>
            </w:r>
          </w:p>
        </w:tc>
        <w:tc>
          <w:tcPr>
            <w:tcW w:type="dxa" w:w="3264"/>
          </w:tcPr>
          <w:p>
            <w:r>
              <w:rPr>
                <w:b/>
              </w:rPr>
            </w:r>
            <w:r>
              <w:rPr>
                <w:b/>
              </w:rPr>
              <w:t>Description</w:t>
            </w:r>
          </w:p>
        </w:tc>
      </w:tr>
      <w:tr>
        <w:tc>
          <w:tcPr>
            <w:tcW w:type="dxa" w:w="3264"/>
          </w:tcPr>
          <w:p>
            <w:r>
              <w:rPr>
                <w:sz w:val="18"/>
              </w:rPr>
            </w:r>
            <w:r>
              <w:t>Order ID</w:t>
            </w:r>
          </w:p>
        </w:tc>
        <w:tc>
          <w:tcPr>
            <w:tcW w:type="dxa" w:w="3264"/>
          </w:tcPr>
          <w:p>
            <w:r>
              <w:rPr>
                <w:sz w:val="18"/>
              </w:rPr>
            </w:r>
            <w:r>
              <w:t>VARCHAR(20)</w:t>
            </w:r>
          </w:p>
        </w:tc>
        <w:tc>
          <w:tcPr>
            <w:tcW w:type="dxa" w:w="3264"/>
          </w:tcPr>
          <w:p>
            <w:r>
              <w:rPr>
                <w:sz w:val="18"/>
              </w:rPr>
            </w:r>
            <w:r>
              <w:t xml:space="preserve">Order reference label, e.g. </w:t>
            </w:r>
            <w:r>
              <w:rPr>
                <w:rFonts w:ascii="Consolas" w:hAnsi="Consolas"/>
                <w:color w:val="2F6F9F"/>
                <w:sz w:val="18"/>
              </w:rPr>
              <w:t>B-26776</w:t>
            </w:r>
            <w:r>
              <w:t xml:space="preserve">. </w:t>
            </w:r>
            <w:r>
              <w:rPr>
                <w:b/>
              </w:rPr>
              <w:t>Not unique</w:t>
            </w:r>
            <w:r>
              <w:t xml:space="preserve"> — see quality notes.</w:t>
            </w:r>
          </w:p>
        </w:tc>
      </w:tr>
      <w:tr>
        <w:tc>
          <w:tcPr>
            <w:tcW w:type="dxa" w:w="3264"/>
          </w:tcPr>
          <w:p>
            <w:r>
              <w:rPr>
                <w:sz w:val="18"/>
              </w:rPr>
            </w:r>
            <w:r>
              <w:t>Amount</w:t>
            </w:r>
          </w:p>
        </w:tc>
        <w:tc>
          <w:tcPr>
            <w:tcW w:type="dxa" w:w="3264"/>
          </w:tcPr>
          <w:p>
            <w:r>
              <w:rPr>
                <w:sz w:val="18"/>
              </w:rPr>
            </w:r>
            <w:r>
              <w:t>INTEGER → DECIMAL(12,2)</w:t>
            </w:r>
          </w:p>
        </w:tc>
        <w:tc>
          <w:tcPr>
            <w:tcW w:type="dxa" w:w="3264"/>
          </w:tcPr>
          <w:p>
            <w:r>
              <w:rPr>
                <w:sz w:val="18"/>
              </w:rPr>
            </w:r>
            <w:r>
              <w:t>Revenue for the transaction line. Range 508–9,992.</w:t>
            </w:r>
          </w:p>
        </w:tc>
      </w:tr>
      <w:tr>
        <w:tc>
          <w:tcPr>
            <w:tcW w:type="dxa" w:w="3264"/>
          </w:tcPr>
          <w:p>
            <w:r>
              <w:rPr>
                <w:sz w:val="18"/>
              </w:rPr>
            </w:r>
            <w:r>
              <w:t>Profit</w:t>
            </w:r>
          </w:p>
        </w:tc>
        <w:tc>
          <w:tcPr>
            <w:tcW w:type="dxa" w:w="3264"/>
          </w:tcPr>
          <w:p>
            <w:r>
              <w:rPr>
                <w:sz w:val="18"/>
              </w:rPr>
            </w:r>
            <w:r>
              <w:t>INTEGER → DECIMAL(12,2)</w:t>
            </w:r>
          </w:p>
        </w:tc>
        <w:tc>
          <w:tcPr>
            <w:tcW w:type="dxa" w:w="3264"/>
          </w:tcPr>
          <w:p>
            <w:r>
              <w:rPr>
                <w:sz w:val="18"/>
              </w:rPr>
            </w:r>
            <w:r>
              <w:t>Gross profit for the line. Range 50–4,930.</w:t>
            </w:r>
          </w:p>
        </w:tc>
      </w:tr>
      <w:tr>
        <w:tc>
          <w:tcPr>
            <w:tcW w:type="dxa" w:w="3264"/>
          </w:tcPr>
          <w:p>
            <w:r>
              <w:rPr>
                <w:sz w:val="18"/>
              </w:rPr>
            </w:r>
            <w:r>
              <w:t>Quantity</w:t>
            </w:r>
          </w:p>
        </w:tc>
        <w:tc>
          <w:tcPr>
            <w:tcW w:type="dxa" w:w="3264"/>
          </w:tcPr>
          <w:p>
            <w:r>
              <w:rPr>
                <w:sz w:val="18"/>
              </w:rPr>
            </w:r>
            <w:r>
              <w:t>INTEGER</w:t>
            </w:r>
          </w:p>
        </w:tc>
        <w:tc>
          <w:tcPr>
            <w:tcW w:type="dxa" w:w="3264"/>
          </w:tcPr>
          <w:p>
            <w:r>
              <w:rPr>
                <w:sz w:val="18"/>
              </w:rPr>
            </w:r>
            <w:r>
              <w:t>Units sold on the line. Range 1–20.</w:t>
            </w:r>
          </w:p>
        </w:tc>
      </w:tr>
      <w:tr>
        <w:tc>
          <w:tcPr>
            <w:tcW w:type="dxa" w:w="3264"/>
          </w:tcPr>
          <w:p>
            <w:r>
              <w:rPr>
                <w:sz w:val="18"/>
              </w:rPr>
            </w:r>
            <w:r>
              <w:t>Category</w:t>
            </w:r>
          </w:p>
        </w:tc>
        <w:tc>
          <w:tcPr>
            <w:tcW w:type="dxa" w:w="3264"/>
          </w:tcPr>
          <w:p>
            <w:r>
              <w:rPr>
                <w:sz w:val="18"/>
              </w:rPr>
            </w:r>
            <w:r>
              <w:t>VARCHAR(60)</w:t>
            </w:r>
          </w:p>
        </w:tc>
        <w:tc>
          <w:tcPr>
            <w:tcW w:type="dxa" w:w="3264"/>
          </w:tcPr>
          <w:p>
            <w:r>
              <w:rPr>
                <w:sz w:val="18"/>
              </w:rPr>
            </w:r>
            <w:r>
              <w:t>Top product level: Electronics, Furniture, Office Supplies.</w:t>
            </w:r>
          </w:p>
        </w:tc>
      </w:tr>
      <w:tr>
        <w:tc>
          <w:tcPr>
            <w:tcW w:type="dxa" w:w="3264"/>
          </w:tcPr>
          <w:p>
            <w:r>
              <w:rPr>
                <w:sz w:val="18"/>
              </w:rPr>
            </w:r>
            <w:r>
              <w:t>Sub-Category</w:t>
            </w:r>
          </w:p>
        </w:tc>
        <w:tc>
          <w:tcPr>
            <w:tcW w:type="dxa" w:w="3264"/>
          </w:tcPr>
          <w:p>
            <w:r>
              <w:rPr>
                <w:sz w:val="18"/>
              </w:rPr>
            </w:r>
            <w:r>
              <w:t>VARCHAR(60)</w:t>
            </w:r>
          </w:p>
        </w:tc>
        <w:tc>
          <w:tcPr>
            <w:tcW w:type="dxa" w:w="3264"/>
          </w:tcPr>
          <w:p>
            <w:r>
              <w:rPr>
                <w:sz w:val="18"/>
              </w:rPr>
            </w:r>
            <w:r>
              <w:t>Second product level, 12 values, e.g. Printers, Sofas, Paper.</w:t>
            </w:r>
          </w:p>
        </w:tc>
      </w:tr>
      <w:tr>
        <w:tc>
          <w:tcPr>
            <w:tcW w:type="dxa" w:w="3264"/>
          </w:tcPr>
          <w:p>
            <w:r>
              <w:rPr>
                <w:sz w:val="18"/>
              </w:rPr>
            </w:r>
            <w:r>
              <w:t>PaymentMode</w:t>
            </w:r>
          </w:p>
        </w:tc>
        <w:tc>
          <w:tcPr>
            <w:tcW w:type="dxa" w:w="3264"/>
          </w:tcPr>
          <w:p>
            <w:r>
              <w:rPr>
                <w:sz w:val="18"/>
              </w:rPr>
            </w:r>
            <w:r>
              <w:t>VARCHAR(40)</w:t>
            </w:r>
          </w:p>
        </w:tc>
        <w:tc>
          <w:tcPr>
            <w:tcW w:type="dxa" w:w="3264"/>
          </w:tcPr>
          <w:p>
            <w:r>
              <w:rPr>
                <w:sz w:val="18"/>
              </w:rPr>
            </w:r>
            <w:r>
              <w:t>COD, Credit Card, Debit Card, EMI, UPI.</w:t>
            </w:r>
          </w:p>
        </w:tc>
      </w:tr>
      <w:tr>
        <w:tc>
          <w:tcPr>
            <w:tcW w:type="dxa" w:w="3264"/>
          </w:tcPr>
          <w:p>
            <w:r>
              <w:rPr>
                <w:sz w:val="18"/>
              </w:rPr>
            </w:r>
            <w:r>
              <w:t>Order Date</w:t>
            </w:r>
          </w:p>
        </w:tc>
        <w:tc>
          <w:tcPr>
            <w:tcW w:type="dxa" w:w="3264"/>
          </w:tcPr>
          <w:p>
            <w:r>
              <w:rPr>
                <w:sz w:val="18"/>
              </w:rPr>
            </w:r>
            <w:r>
              <w:t>DATE</w:t>
            </w:r>
          </w:p>
        </w:tc>
        <w:tc>
          <w:tcPr>
            <w:tcW w:type="dxa" w:w="3264"/>
          </w:tcPr>
          <w:p>
            <w:r>
              <w:rPr>
                <w:sz w:val="18"/>
              </w:rPr>
            </w:r>
            <w:r>
              <w:t xml:space="preserve">Transaction date, ISO </w:t>
            </w:r>
            <w:r>
              <w:rPr>
                <w:rFonts w:ascii="Consolas" w:hAnsi="Consolas"/>
                <w:color w:val="2F6F9F"/>
                <w:sz w:val="18"/>
              </w:rPr>
              <w:t>YYYY-MM-DD</w:t>
            </w:r>
            <w:r>
              <w:t>. 648 distinct dates.</w:t>
            </w:r>
          </w:p>
        </w:tc>
      </w:tr>
      <w:tr>
        <w:tc>
          <w:tcPr>
            <w:tcW w:type="dxa" w:w="3264"/>
          </w:tcPr>
          <w:p>
            <w:r>
              <w:rPr>
                <w:sz w:val="18"/>
              </w:rPr>
            </w:r>
            <w:r>
              <w:t>CustomerName</w:t>
            </w:r>
          </w:p>
        </w:tc>
        <w:tc>
          <w:tcPr>
            <w:tcW w:type="dxa" w:w="3264"/>
          </w:tcPr>
          <w:p>
            <w:r>
              <w:rPr>
                <w:sz w:val="18"/>
              </w:rPr>
            </w:r>
            <w:r>
              <w:t>VARCHAR(120)</w:t>
            </w:r>
          </w:p>
        </w:tc>
        <w:tc>
          <w:tcPr>
            <w:tcW w:type="dxa" w:w="3264"/>
          </w:tcPr>
          <w:p>
            <w:r>
              <w:rPr>
                <w:sz w:val="18"/>
              </w:rPr>
            </w:r>
            <w:r>
              <w:t>Customer full name, 802 distinct values. Not a unique key.</w:t>
            </w:r>
          </w:p>
        </w:tc>
      </w:tr>
      <w:tr>
        <w:tc>
          <w:tcPr>
            <w:tcW w:type="dxa" w:w="3264"/>
          </w:tcPr>
          <w:p>
            <w:r>
              <w:rPr>
                <w:sz w:val="18"/>
              </w:rPr>
            </w:r>
            <w:r>
              <w:t>State</w:t>
            </w:r>
          </w:p>
        </w:tc>
        <w:tc>
          <w:tcPr>
            <w:tcW w:type="dxa" w:w="3264"/>
          </w:tcPr>
          <w:p>
            <w:r>
              <w:rPr>
                <w:sz w:val="18"/>
              </w:rPr>
            </w:r>
            <w:r>
              <w:t>VARCHAR(60)</w:t>
            </w:r>
          </w:p>
        </w:tc>
        <w:tc>
          <w:tcPr>
            <w:tcW w:type="dxa" w:w="3264"/>
          </w:tcPr>
          <w:p>
            <w:r>
              <w:rPr>
                <w:sz w:val="18"/>
              </w:rPr>
            </w:r>
            <w:r>
              <w:t>One of 6 US states.</w:t>
            </w:r>
          </w:p>
        </w:tc>
      </w:tr>
      <w:tr>
        <w:tc>
          <w:tcPr>
            <w:tcW w:type="dxa" w:w="3264"/>
          </w:tcPr>
          <w:p>
            <w:r>
              <w:rPr>
                <w:sz w:val="18"/>
              </w:rPr>
            </w:r>
            <w:r>
              <w:t>City</w:t>
            </w:r>
          </w:p>
        </w:tc>
        <w:tc>
          <w:tcPr>
            <w:tcW w:type="dxa" w:w="3264"/>
          </w:tcPr>
          <w:p>
            <w:r>
              <w:rPr>
                <w:sz w:val="18"/>
              </w:rPr>
            </w:r>
            <w:r>
              <w:t>VARCHAR(60)</w:t>
            </w:r>
          </w:p>
        </w:tc>
        <w:tc>
          <w:tcPr>
            <w:tcW w:type="dxa" w:w="3264"/>
          </w:tcPr>
          <w:p>
            <w:r>
              <w:rPr>
                <w:sz w:val="18"/>
              </w:rPr>
            </w:r>
            <w:r>
              <w:t>One of 18 cities, 3 per state.</w:t>
            </w:r>
          </w:p>
        </w:tc>
      </w:tr>
      <w:tr>
        <w:tc>
          <w:tcPr>
            <w:tcW w:type="dxa" w:w="3264"/>
          </w:tcPr>
          <w:p>
            <w:r>
              <w:rPr>
                <w:sz w:val="18"/>
              </w:rPr>
            </w:r>
            <w:r>
              <w:t>Year-Month</w:t>
            </w:r>
          </w:p>
        </w:tc>
        <w:tc>
          <w:tcPr>
            <w:tcW w:type="dxa" w:w="3264"/>
          </w:tcPr>
          <w:p>
            <w:r>
              <w:rPr>
                <w:sz w:val="18"/>
              </w:rPr>
            </w:r>
            <w:r>
              <w:t>CHAR(7)</w:t>
            </w:r>
          </w:p>
        </w:tc>
        <w:tc>
          <w:tcPr>
            <w:tcW w:type="dxa" w:w="3264"/>
          </w:tcPr>
          <w:p>
            <w:r>
              <w:rPr>
                <w:sz w:val="18"/>
              </w:rPr>
            </w:r>
            <w:r>
              <w:rPr>
                <w:rFonts w:ascii="Consolas" w:hAnsi="Consolas"/>
                <w:color w:val="2F6F9F"/>
                <w:sz w:val="18"/>
              </w:rPr>
              <w:t>YYYY-MM</w:t>
            </w:r>
            <w:r>
              <w:t>. Fully derivable from Order Date — dropped as redundant.</w:t>
            </w:r>
          </w:p>
        </w:tc>
      </w:tr>
    </w:tbl>
    <w:p/>
    <w:p>
      <w:pPr>
        <w:pStyle w:val="Heading2"/>
      </w:pPr>
      <w:r>
        <w:t>Preliminary Data Quality Assessment</w:t>
      </w:r>
    </w:p>
    <w:p>
      <w:r>
        <w:t xml:space="preserve">Full evidence, regenerated from the raw file on every build, is in </w:t>
      </w:r>
      <w:r>
        <w:rPr>
          <w:rFonts w:ascii="Consolas" w:hAnsi="Consolas"/>
          <w:color w:val="2F6F9F"/>
          <w:sz w:val="18"/>
        </w:rPr>
        <w:t>reports/data_quality_report.md</w:t>
      </w:r>
      <w:r>
        <w:t>.</w:t>
      </w:r>
    </w:p>
    <w:p>
      <w:r>
        <w:rPr>
          <w:b/>
        </w:rPr>
        <w:t>Missing Values.</w:t>
      </w:r>
      <w:r>
        <w:t xml:space="preserve"> None. All 12 columns are complete across all 1,194 rows, so no imputation or row-dropping was required.</w:t>
      </w:r>
    </w:p>
    <w:p>
      <w:r>
        <w:rPr>
          <w:b/>
        </w:rPr>
        <w:t>Duplicates.</w:t>
      </w:r>
    </w:p>
    <w:p>
      <w:pPr>
        <w:pStyle w:val="ListBullet"/>
      </w:pPr>
      <w:r>
        <w:t>Zero fully identical rows.</w:t>
      </w:r>
    </w:p>
    <w:p>
      <w:pPr>
        <w:pStyle w:val="ListBullet"/>
      </w:pPr>
      <w:r>
        <w:t xml:space="preserve">36 rows repeat the same (Order ID, Order Date, CustomerName, Sub-Category) combination. These were </w:t>
      </w:r>
      <w:r>
        <w:rPr>
          <w:b/>
        </w:rPr>
        <w:t>kept</w:t>
      </w:r>
      <w:r>
        <w:t>: one customer can legitimately buy two items from the same sub-category on one order, and the amounts differ between them.</w:t>
      </w:r>
    </w:p>
    <w:p>
      <w:pPr>
        <w:pStyle w:val="ListBullet"/>
      </w:pPr>
      <w:r>
        <w:rPr>
          <w:rFonts w:ascii="Consolas" w:hAnsi="Consolas"/>
          <w:color w:val="2F6F9F"/>
          <w:sz w:val="18"/>
        </w:rPr>
        <w:t>Order ID</w:t>
      </w:r>
      <w:r>
        <w:t xml:space="preserve"> is </w:t>
      </w:r>
      <w:r>
        <w:rPr>
          <w:b/>
        </w:rPr>
        <w:t>not unique</w:t>
      </w:r>
      <w:r>
        <w:t xml:space="preserve"> — 547 distinct values spread over 1,194 rows, and 194 of those values appear against more than one order date </w:t>
      </w:r>
      <w:r>
        <w:rPr>
          <w:i/>
        </w:rPr>
        <w:t>and</w:t>
      </w:r>
      <w:r>
        <w:t xml:space="preserve"> a different customer name. It cannot function as a primary key.</w:t>
      </w:r>
    </w:p>
    <w:p>
      <w:r>
        <w:rPr>
          <w:b/>
        </w:rPr>
        <w:t>Inconsistencies.</w:t>
      </w:r>
    </w:p>
    <w:p>
      <w:pPr>
        <w:pStyle w:val="ListBullet"/>
      </w:pPr>
      <w:r>
        <w:rPr>
          <w:rFonts w:ascii="Consolas" w:hAnsi="Consolas"/>
          <w:color w:val="2F6F9F"/>
          <w:sz w:val="18"/>
        </w:rPr>
        <w:t>Year-Month</w:t>
      </w:r>
      <w:r>
        <w:t xml:space="preserve"> duplicates information already in </w:t>
      </w:r>
      <w:r>
        <w:rPr>
          <w:rFonts w:ascii="Consolas" w:hAnsi="Consolas"/>
          <w:color w:val="2F6F9F"/>
          <w:sz w:val="18"/>
        </w:rPr>
        <w:t>Order Date</w:t>
      </w:r>
      <w:r>
        <w:t xml:space="preserve"> (0 mismatches across 1,194 rows) — redundant storage and a future update anomaly.</w:t>
      </w:r>
    </w:p>
    <w:p>
      <w:pPr>
        <w:pStyle w:val="ListBullet"/>
      </w:pPr>
      <w:r>
        <w:rPr>
          <w:rFonts w:ascii="Consolas" w:hAnsi="Consolas"/>
          <w:color w:val="2F6F9F"/>
          <w:sz w:val="18"/>
        </w:rPr>
        <w:t>CustomerName</w:t>
      </w:r>
      <w:r>
        <w:t xml:space="preserve"> is not a reliable identifier: 5 names appear in more than one city, so name alone cannot key a customer.</w:t>
      </w:r>
    </w:p>
    <w:p>
      <w:pPr>
        <w:pStyle w:val="ListBullet"/>
      </w:pPr>
      <w:r>
        <w:rPr>
          <w:b/>
        </w:rPr>
        <w:t>The 2025 window is incomplete.</w:t>
      </w:r>
      <w:r>
        <w:t xml:space="preserve"> Data stops on 15 March 2025, giving only 44 rows for that year. Read naively this looks like an 80% collapse in demand. It is a file cut-off, not a business event.</w:t>
      </w:r>
    </w:p>
    <w:p>
      <w:pPr>
        <w:pStyle w:val="ListBullet"/>
      </w:pPr>
      <w:r>
        <w:rPr>
          <w:b/>
        </w:rPr>
        <w:t>Limitation worth stating.</w:t>
      </w:r>
      <w:r>
        <w:t xml:space="preserve"> There are zero loss-making lines in five years, profit never exceeds amount, and the five payment methods are split almost evenly (206–260 lines each). Real retail data of this size would normally contain returns, discounts and loss-making orders. This dataset is very likely synthetic or pre-filtered, so the </w:t>
      </w:r>
      <w:r>
        <w:rPr>
          <w:i/>
        </w:rPr>
        <w:t>methodology</w:t>
      </w:r>
      <w:r>
        <w:t xml:space="preserve"> here is sound but the specific figures should not be presented as a real company's results.</w:t>
      </w:r>
    </w:p>
    <w:p>
      <w:r>
        <w:rPr>
          <w:b/>
        </w:rPr>
        <w:t>Cleaning Steps Applied.</w:t>
      </w:r>
    </w:p>
    <w:p>
      <w:pPr>
        <w:pStyle w:val="ListNumber"/>
      </w:pPr>
      <w:r>
        <w:t>Trimmed whitespace and normalised casing on all text labels (</w:t>
      </w:r>
      <w:r>
        <w:rPr>
          <w:rFonts w:ascii="Consolas" w:hAnsi="Consolas"/>
          <w:color w:val="2F6F9F"/>
          <w:sz w:val="18"/>
        </w:rPr>
        <w:t>State</w:t>
      </w:r>
      <w:r>
        <w:t xml:space="preserve">, </w:t>
      </w:r>
      <w:r>
        <w:rPr>
          <w:rFonts w:ascii="Consolas" w:hAnsi="Consolas"/>
          <w:color w:val="2F6F9F"/>
          <w:sz w:val="18"/>
        </w:rPr>
        <w:t>City</w:t>
      </w:r>
      <w:r>
        <w:t xml:space="preserve">, </w:t>
      </w:r>
      <w:r>
        <w:rPr>
          <w:rFonts w:ascii="Consolas" w:hAnsi="Consolas"/>
          <w:color w:val="2F6F9F"/>
          <w:sz w:val="18"/>
        </w:rPr>
        <w:t>Category</w:t>
      </w:r>
      <w:r>
        <w:t xml:space="preserve">, </w:t>
      </w:r>
      <w:r>
        <w:rPr>
          <w:rFonts w:ascii="Consolas" w:hAnsi="Consolas"/>
          <w:color w:val="2F6F9F"/>
          <w:sz w:val="18"/>
        </w:rPr>
        <w:t>Sub-Category</w:t>
      </w:r>
      <w:r>
        <w:t xml:space="preserve">, </w:t>
      </w:r>
      <w:r>
        <w:rPr>
          <w:rFonts w:ascii="Consolas" w:hAnsi="Consolas"/>
          <w:color w:val="2F6F9F"/>
          <w:sz w:val="18"/>
        </w:rPr>
        <w:t>CustomerName</w:t>
      </w:r>
      <w:r>
        <w:t>).</w:t>
      </w:r>
    </w:p>
    <w:p>
      <w:pPr>
        <w:pStyle w:val="ListNumber"/>
      </w:pPr>
      <w:r>
        <w:t xml:space="preserve">Cast </w:t>
      </w:r>
      <w:r>
        <w:rPr>
          <w:rFonts w:ascii="Consolas" w:hAnsi="Consolas"/>
          <w:color w:val="2F6F9F"/>
          <w:sz w:val="18"/>
        </w:rPr>
        <w:t>Amount</w:t>
      </w:r>
      <w:r>
        <w:t xml:space="preserve">, </w:t>
      </w:r>
      <w:r>
        <w:rPr>
          <w:rFonts w:ascii="Consolas" w:hAnsi="Consolas"/>
          <w:color w:val="2F6F9F"/>
          <w:sz w:val="18"/>
        </w:rPr>
        <w:t>Profit</w:t>
      </w:r>
      <w:r>
        <w:t xml:space="preserve">, </w:t>
      </w:r>
      <w:r>
        <w:rPr>
          <w:rFonts w:ascii="Consolas" w:hAnsi="Consolas"/>
          <w:color w:val="2F6F9F"/>
          <w:sz w:val="18"/>
        </w:rPr>
        <w:t>Quantity</w:t>
      </w:r>
      <w:r>
        <w:t xml:space="preserve"> to numeric types and </w:t>
      </w:r>
      <w:r>
        <w:rPr>
          <w:rFonts w:ascii="Consolas" w:hAnsi="Consolas"/>
          <w:color w:val="2F6F9F"/>
          <w:sz w:val="18"/>
        </w:rPr>
        <w:t>Order Date</w:t>
      </w:r>
      <w:r>
        <w:t xml:space="preserve"> to a true </w:t>
      </w:r>
      <w:r>
        <w:rPr>
          <w:rFonts w:ascii="Consolas" w:hAnsi="Consolas"/>
          <w:color w:val="2F6F9F"/>
          <w:sz w:val="18"/>
        </w:rPr>
        <w:t>DATE</w:t>
      </w:r>
      <w:r>
        <w:t>.</w:t>
      </w:r>
    </w:p>
    <w:p>
      <w:pPr>
        <w:pStyle w:val="ListNumber"/>
      </w:pPr>
      <w:r>
        <w:t xml:space="preserve">Dropped the redundant </w:t>
      </w:r>
      <w:r>
        <w:rPr>
          <w:rFonts w:ascii="Consolas" w:hAnsi="Consolas"/>
          <w:color w:val="2F6F9F"/>
          <w:sz w:val="18"/>
        </w:rPr>
        <w:t>Year-Month</w:t>
      </w:r>
      <w:r>
        <w:t xml:space="preserve"> column; rebuilt year, quarter, month and month name in </w:t>
      </w:r>
      <w:r>
        <w:rPr>
          <w:rFonts w:ascii="Consolas" w:hAnsi="Consolas"/>
          <w:color w:val="2F6F9F"/>
          <w:sz w:val="18"/>
        </w:rPr>
        <w:t>dim_date</w:t>
      </w:r>
      <w:r>
        <w:t>.</w:t>
      </w:r>
    </w:p>
    <w:p>
      <w:pPr>
        <w:pStyle w:val="ListNumber"/>
      </w:pPr>
      <w:r>
        <w:t xml:space="preserve">Replaced </w:t>
      </w:r>
      <w:r>
        <w:rPr>
          <w:rFonts w:ascii="Consolas" w:hAnsi="Consolas"/>
          <w:color w:val="2F6F9F"/>
          <w:sz w:val="18"/>
        </w:rPr>
        <w:t>Order ID</w:t>
      </w:r>
      <w:r>
        <w:t xml:space="preserve"> as a key with the surrogate primary key </w:t>
      </w:r>
      <w:r>
        <w:rPr>
          <w:rFonts w:ascii="Consolas" w:hAnsi="Consolas"/>
          <w:color w:val="2F6F9F"/>
          <w:sz w:val="18"/>
        </w:rPr>
        <w:t>sale_id</w:t>
      </w:r>
      <w:r>
        <w:t xml:space="preserve">, retaining the original value as the descriptive column </w:t>
      </w:r>
      <w:r>
        <w:rPr>
          <w:rFonts w:ascii="Consolas" w:hAnsi="Consolas"/>
          <w:color w:val="2F6F9F"/>
          <w:sz w:val="18"/>
        </w:rPr>
        <w:t>order_ref</w:t>
      </w:r>
      <w:r>
        <w:t>.</w:t>
      </w:r>
    </w:p>
    <w:p>
      <w:pPr>
        <w:pStyle w:val="ListNumber"/>
      </w:pPr>
      <w:r>
        <w:t>Keyed customers on (name, city) rather than name alone.</w:t>
      </w:r>
    </w:p>
    <w:p>
      <w:pPr>
        <w:pStyle w:val="ListNumber"/>
      </w:pPr>
      <w:r>
        <w:t xml:space="preserve">Added </w:t>
      </w:r>
      <w:r>
        <w:rPr>
          <w:rFonts w:ascii="Consolas" w:hAnsi="Consolas"/>
          <w:color w:val="2F6F9F"/>
          <w:sz w:val="18"/>
        </w:rPr>
        <w:t>dim_date.is_complete_year</w:t>
      </w:r>
      <w:r>
        <w:t xml:space="preserve"> so every trend query can exclude the partial 2025 window explicitly.</w:t>
      </w:r>
    </w:p>
    <w:p>
      <w:pPr>
        <w:pStyle w:val="ListNumber"/>
      </w:pPr>
      <w:r>
        <w:t>Split the flat file into six dimension tables and one fact table with enforced foreign keys; the build fails on any referential-integrity violation (</w:t>
      </w:r>
      <w:r>
        <w:rPr>
          <w:rFonts w:ascii="Consolas" w:hAnsi="Consolas"/>
          <w:color w:val="2F6F9F"/>
          <w:sz w:val="18"/>
        </w:rPr>
        <w:t>PRAGMA foreign_key_check</w:t>
      </w:r>
      <w:r>
        <w:t>).</w:t>
      </w:r>
    </w:p>
    <w:p>
      <w:r>
        <w:t xml:space="preserve">All steps are executable and repeatable: </w:t>
      </w:r>
      <w:r>
        <w:rPr>
          <w:rFonts w:ascii="Consolas" w:hAnsi="Consolas"/>
          <w:color w:val="2F6F9F"/>
          <w:sz w:val="18"/>
        </w:rPr>
        <w:t>python3 scripts/clean_and_load.py</w:t>
      </w:r>
      <w:r>
        <w:t>.</w:t>
      </w:r>
    </w:p>
    <w:p>
      <w:pPr>
        <w:pStyle w:val="Heading2"/>
      </w:pPr>
      <w:r>
        <w:t>Raw Dataset Preview — first 10 rows</w:t>
      </w:r>
    </w:p>
    <w:tbl>
      <w:tblPr>
        <w:tblStyle w:val="LightGrid-Accent1"/>
        <w:tblW w:type="auto" w:w="0"/>
        <w:jc w:val="center"/>
        <w:tblLayout w:type="autofit"/>
        <w:tblLook w:firstColumn="1" w:firstRow="1" w:lastColumn="0" w:lastRow="0" w:noHBand="0" w:noVBand="1" w:val="04A0"/>
      </w:tblPr>
      <w:tblGrid>
        <w:gridCol w:w="816"/>
        <w:gridCol w:w="816"/>
        <w:gridCol w:w="816"/>
        <w:gridCol w:w="816"/>
        <w:gridCol w:w="816"/>
        <w:gridCol w:w="816"/>
        <w:gridCol w:w="816"/>
        <w:gridCol w:w="816"/>
        <w:gridCol w:w="816"/>
        <w:gridCol w:w="816"/>
        <w:gridCol w:w="816"/>
        <w:gridCol w:w="816"/>
      </w:tblGrid>
      <w:tr>
        <w:tc>
          <w:tcPr>
            <w:tcW w:type="dxa" w:w="816"/>
          </w:tcPr>
          <w:p>
            <w:r>
              <w:rPr>
                <w:b/>
              </w:rPr>
            </w:r>
            <w:r>
              <w:rPr>
                <w:b/>
              </w:rPr>
              <w:t>Order ID</w:t>
            </w:r>
          </w:p>
        </w:tc>
        <w:tc>
          <w:tcPr>
            <w:tcW w:type="dxa" w:w="816"/>
          </w:tcPr>
          <w:p>
            <w:r>
              <w:rPr>
                <w:b/>
              </w:rPr>
            </w:r>
            <w:r>
              <w:rPr>
                <w:b/>
              </w:rPr>
              <w:t>Amount</w:t>
            </w:r>
          </w:p>
        </w:tc>
        <w:tc>
          <w:tcPr>
            <w:tcW w:type="dxa" w:w="816"/>
          </w:tcPr>
          <w:p>
            <w:r>
              <w:rPr>
                <w:b/>
              </w:rPr>
            </w:r>
            <w:r>
              <w:rPr>
                <w:b/>
              </w:rPr>
              <w:t>Profit</w:t>
            </w:r>
          </w:p>
        </w:tc>
        <w:tc>
          <w:tcPr>
            <w:tcW w:type="dxa" w:w="816"/>
          </w:tcPr>
          <w:p>
            <w:r>
              <w:rPr>
                <w:b/>
              </w:rPr>
            </w:r>
            <w:r>
              <w:rPr>
                <w:b/>
              </w:rPr>
              <w:t>Qty</w:t>
            </w:r>
          </w:p>
        </w:tc>
        <w:tc>
          <w:tcPr>
            <w:tcW w:type="dxa" w:w="816"/>
          </w:tcPr>
          <w:p>
            <w:r>
              <w:rPr>
                <w:b/>
              </w:rPr>
            </w:r>
            <w:r>
              <w:rPr>
                <w:b/>
              </w:rPr>
              <w:t>Category</w:t>
            </w:r>
          </w:p>
        </w:tc>
        <w:tc>
          <w:tcPr>
            <w:tcW w:type="dxa" w:w="816"/>
          </w:tcPr>
          <w:p>
            <w:r>
              <w:rPr>
                <w:b/>
              </w:rPr>
            </w:r>
            <w:r>
              <w:rPr>
                <w:b/>
              </w:rPr>
              <w:t>Sub-Category</w:t>
            </w:r>
          </w:p>
        </w:tc>
        <w:tc>
          <w:tcPr>
            <w:tcW w:type="dxa" w:w="816"/>
          </w:tcPr>
          <w:p>
            <w:r>
              <w:rPr>
                <w:b/>
              </w:rPr>
            </w:r>
            <w:r>
              <w:rPr>
                <w:b/>
              </w:rPr>
              <w:t>PaymentMode</w:t>
            </w:r>
          </w:p>
        </w:tc>
        <w:tc>
          <w:tcPr>
            <w:tcW w:type="dxa" w:w="816"/>
          </w:tcPr>
          <w:p>
            <w:r>
              <w:rPr>
                <w:b/>
              </w:rPr>
            </w:r>
            <w:r>
              <w:rPr>
                <w:b/>
              </w:rPr>
              <w:t>Order Date</w:t>
            </w:r>
          </w:p>
        </w:tc>
        <w:tc>
          <w:tcPr>
            <w:tcW w:type="dxa" w:w="816"/>
          </w:tcPr>
          <w:p>
            <w:r>
              <w:rPr>
                <w:b/>
              </w:rPr>
            </w:r>
            <w:r>
              <w:rPr>
                <w:b/>
              </w:rPr>
              <w:t>CustomerName</w:t>
            </w:r>
          </w:p>
        </w:tc>
        <w:tc>
          <w:tcPr>
            <w:tcW w:type="dxa" w:w="816"/>
          </w:tcPr>
          <w:p>
            <w:r>
              <w:rPr>
                <w:b/>
              </w:rPr>
            </w:r>
            <w:r>
              <w:rPr>
                <w:b/>
              </w:rPr>
              <w:t>State</w:t>
            </w:r>
          </w:p>
        </w:tc>
        <w:tc>
          <w:tcPr>
            <w:tcW w:type="dxa" w:w="816"/>
          </w:tcPr>
          <w:p>
            <w:r>
              <w:rPr>
                <w:b/>
              </w:rPr>
            </w:r>
            <w:r>
              <w:rPr>
                <w:b/>
              </w:rPr>
              <w:t>City</w:t>
            </w:r>
          </w:p>
        </w:tc>
        <w:tc>
          <w:tcPr>
            <w:tcW w:type="dxa" w:w="816"/>
          </w:tcPr>
          <w:p>
            <w:r>
              <w:rPr>
                <w:b/>
              </w:rPr>
            </w:r>
            <w:r>
              <w:rPr>
                <w:b/>
              </w:rPr>
              <w:t>Year-Month</w:t>
            </w:r>
          </w:p>
        </w:tc>
      </w:tr>
      <w:tr>
        <w:tc>
          <w:tcPr>
            <w:tcW w:type="dxa" w:w="816"/>
          </w:tcPr>
          <w:p>
            <w:r>
              <w:rPr>
                <w:sz w:val="18"/>
              </w:rPr>
            </w:r>
            <w:r>
              <w:t>B-26776</w:t>
            </w:r>
          </w:p>
        </w:tc>
        <w:tc>
          <w:tcPr>
            <w:tcW w:type="dxa" w:w="816"/>
          </w:tcPr>
          <w:p>
            <w:r>
              <w:rPr>
                <w:sz w:val="18"/>
              </w:rPr>
            </w:r>
            <w:r>
              <w:t>9726</w:t>
            </w:r>
          </w:p>
        </w:tc>
        <w:tc>
          <w:tcPr>
            <w:tcW w:type="dxa" w:w="816"/>
          </w:tcPr>
          <w:p>
            <w:r>
              <w:rPr>
                <w:sz w:val="18"/>
              </w:rPr>
            </w:r>
            <w:r>
              <w:t>1275</w:t>
            </w:r>
          </w:p>
        </w:tc>
        <w:tc>
          <w:tcPr>
            <w:tcW w:type="dxa" w:w="816"/>
          </w:tcPr>
          <w:p>
            <w:r>
              <w:rPr>
                <w:sz w:val="18"/>
              </w:rPr>
            </w:r>
            <w:r>
              <w:t>5</w:t>
            </w:r>
          </w:p>
        </w:tc>
        <w:tc>
          <w:tcPr>
            <w:tcW w:type="dxa" w:w="816"/>
          </w:tcPr>
          <w:p>
            <w:r>
              <w:rPr>
                <w:sz w:val="18"/>
              </w:rPr>
            </w:r>
            <w:r>
              <w:t>Electronics</w:t>
            </w:r>
          </w:p>
        </w:tc>
        <w:tc>
          <w:tcPr>
            <w:tcW w:type="dxa" w:w="816"/>
          </w:tcPr>
          <w:p>
            <w:r>
              <w:rPr>
                <w:sz w:val="18"/>
              </w:rPr>
            </w:r>
            <w:r>
              <w:t>Electronic Games</w:t>
            </w:r>
          </w:p>
        </w:tc>
        <w:tc>
          <w:tcPr>
            <w:tcW w:type="dxa" w:w="816"/>
          </w:tcPr>
          <w:p>
            <w:r>
              <w:rPr>
                <w:sz w:val="18"/>
              </w:rPr>
            </w:r>
            <w:r>
              <w:t>UPI</w:t>
            </w:r>
          </w:p>
        </w:tc>
        <w:tc>
          <w:tcPr>
            <w:tcW w:type="dxa" w:w="816"/>
          </w:tcPr>
          <w:p>
            <w:r>
              <w:rPr>
                <w:sz w:val="18"/>
              </w:rPr>
            </w:r>
            <w:r>
              <w:t>2023-06-27</w:t>
            </w:r>
          </w:p>
        </w:tc>
        <w:tc>
          <w:tcPr>
            <w:tcW w:type="dxa" w:w="816"/>
          </w:tcPr>
          <w:p>
            <w:r>
              <w:rPr>
                <w:sz w:val="18"/>
              </w:rPr>
            </w:r>
            <w:r>
              <w:t>David Padilla</w:t>
            </w:r>
          </w:p>
        </w:tc>
        <w:tc>
          <w:tcPr>
            <w:tcW w:type="dxa" w:w="816"/>
          </w:tcPr>
          <w:p>
            <w:r>
              <w:rPr>
                <w:sz w:val="18"/>
              </w:rPr>
            </w:r>
            <w:r>
              <w:t>Florida</w:t>
            </w:r>
          </w:p>
        </w:tc>
        <w:tc>
          <w:tcPr>
            <w:tcW w:type="dxa" w:w="816"/>
          </w:tcPr>
          <w:p>
            <w:r>
              <w:rPr>
                <w:sz w:val="18"/>
              </w:rPr>
            </w:r>
            <w:r>
              <w:t>Miami</w:t>
            </w:r>
          </w:p>
        </w:tc>
        <w:tc>
          <w:tcPr>
            <w:tcW w:type="dxa" w:w="816"/>
          </w:tcPr>
          <w:p>
            <w:r>
              <w:rPr>
                <w:sz w:val="18"/>
              </w:rPr>
            </w:r>
            <w:r>
              <w:t>2023-06</w:t>
            </w:r>
          </w:p>
        </w:tc>
      </w:tr>
      <w:tr>
        <w:tc>
          <w:tcPr>
            <w:tcW w:type="dxa" w:w="816"/>
          </w:tcPr>
          <w:p>
            <w:r>
              <w:rPr>
                <w:sz w:val="18"/>
              </w:rPr>
            </w:r>
            <w:r>
              <w:t>B-26776</w:t>
            </w:r>
          </w:p>
        </w:tc>
        <w:tc>
          <w:tcPr>
            <w:tcW w:type="dxa" w:w="816"/>
          </w:tcPr>
          <w:p>
            <w:r>
              <w:rPr>
                <w:sz w:val="18"/>
              </w:rPr>
            </w:r>
            <w:r>
              <w:t>9726</w:t>
            </w:r>
          </w:p>
        </w:tc>
        <w:tc>
          <w:tcPr>
            <w:tcW w:type="dxa" w:w="816"/>
          </w:tcPr>
          <w:p>
            <w:r>
              <w:rPr>
                <w:sz w:val="18"/>
              </w:rPr>
            </w:r>
            <w:r>
              <w:t>1275</w:t>
            </w:r>
          </w:p>
        </w:tc>
        <w:tc>
          <w:tcPr>
            <w:tcW w:type="dxa" w:w="816"/>
          </w:tcPr>
          <w:p>
            <w:r>
              <w:rPr>
                <w:sz w:val="18"/>
              </w:rPr>
            </w:r>
            <w:r>
              <w:t>5</w:t>
            </w:r>
          </w:p>
        </w:tc>
        <w:tc>
          <w:tcPr>
            <w:tcW w:type="dxa" w:w="816"/>
          </w:tcPr>
          <w:p>
            <w:r>
              <w:rPr>
                <w:sz w:val="18"/>
              </w:rPr>
            </w:r>
            <w:r>
              <w:t>Electronics</w:t>
            </w:r>
          </w:p>
        </w:tc>
        <w:tc>
          <w:tcPr>
            <w:tcW w:type="dxa" w:w="816"/>
          </w:tcPr>
          <w:p>
            <w:r>
              <w:rPr>
                <w:sz w:val="18"/>
              </w:rPr>
            </w:r>
            <w:r>
              <w:t>Electronic Games</w:t>
            </w:r>
          </w:p>
        </w:tc>
        <w:tc>
          <w:tcPr>
            <w:tcW w:type="dxa" w:w="816"/>
          </w:tcPr>
          <w:p>
            <w:r>
              <w:rPr>
                <w:sz w:val="18"/>
              </w:rPr>
            </w:r>
            <w:r>
              <w:t>UPI</w:t>
            </w:r>
          </w:p>
        </w:tc>
        <w:tc>
          <w:tcPr>
            <w:tcW w:type="dxa" w:w="816"/>
          </w:tcPr>
          <w:p>
            <w:r>
              <w:rPr>
                <w:sz w:val="18"/>
              </w:rPr>
            </w:r>
            <w:r>
              <w:t>2024-12-27</w:t>
            </w:r>
          </w:p>
        </w:tc>
        <w:tc>
          <w:tcPr>
            <w:tcW w:type="dxa" w:w="816"/>
          </w:tcPr>
          <w:p>
            <w:r>
              <w:rPr>
                <w:sz w:val="18"/>
              </w:rPr>
            </w:r>
            <w:r>
              <w:t>Connor Morgan</w:t>
            </w:r>
          </w:p>
        </w:tc>
        <w:tc>
          <w:tcPr>
            <w:tcW w:type="dxa" w:w="816"/>
          </w:tcPr>
          <w:p>
            <w:r>
              <w:rPr>
                <w:sz w:val="18"/>
              </w:rPr>
            </w:r>
            <w:r>
              <w:t>Illinois</w:t>
            </w:r>
          </w:p>
        </w:tc>
        <w:tc>
          <w:tcPr>
            <w:tcW w:type="dxa" w:w="816"/>
          </w:tcPr>
          <w:p>
            <w:r>
              <w:rPr>
                <w:sz w:val="18"/>
              </w:rPr>
            </w:r>
            <w:r>
              <w:t>Chicago</w:t>
            </w:r>
          </w:p>
        </w:tc>
        <w:tc>
          <w:tcPr>
            <w:tcW w:type="dxa" w:w="816"/>
          </w:tcPr>
          <w:p>
            <w:r>
              <w:rPr>
                <w:sz w:val="18"/>
              </w:rPr>
            </w:r>
            <w:r>
              <w:t>2024-12</w:t>
            </w:r>
          </w:p>
        </w:tc>
      </w:tr>
      <w:tr>
        <w:tc>
          <w:tcPr>
            <w:tcW w:type="dxa" w:w="816"/>
          </w:tcPr>
          <w:p>
            <w:r>
              <w:rPr>
                <w:sz w:val="18"/>
              </w:rPr>
            </w:r>
            <w:r>
              <w:t>B-26776</w:t>
            </w:r>
          </w:p>
        </w:tc>
        <w:tc>
          <w:tcPr>
            <w:tcW w:type="dxa" w:w="816"/>
          </w:tcPr>
          <w:p>
            <w:r>
              <w:rPr>
                <w:sz w:val="18"/>
              </w:rPr>
            </w:r>
            <w:r>
              <w:t>9726</w:t>
            </w:r>
          </w:p>
        </w:tc>
        <w:tc>
          <w:tcPr>
            <w:tcW w:type="dxa" w:w="816"/>
          </w:tcPr>
          <w:p>
            <w:r>
              <w:rPr>
                <w:sz w:val="18"/>
              </w:rPr>
            </w:r>
            <w:r>
              <w:t>1275</w:t>
            </w:r>
          </w:p>
        </w:tc>
        <w:tc>
          <w:tcPr>
            <w:tcW w:type="dxa" w:w="816"/>
          </w:tcPr>
          <w:p>
            <w:r>
              <w:rPr>
                <w:sz w:val="18"/>
              </w:rPr>
            </w:r>
            <w:r>
              <w:t>5</w:t>
            </w:r>
          </w:p>
        </w:tc>
        <w:tc>
          <w:tcPr>
            <w:tcW w:type="dxa" w:w="816"/>
          </w:tcPr>
          <w:p>
            <w:r>
              <w:rPr>
                <w:sz w:val="18"/>
              </w:rPr>
            </w:r>
            <w:r>
              <w:t>Electronics</w:t>
            </w:r>
          </w:p>
        </w:tc>
        <w:tc>
          <w:tcPr>
            <w:tcW w:type="dxa" w:w="816"/>
          </w:tcPr>
          <w:p>
            <w:r>
              <w:rPr>
                <w:sz w:val="18"/>
              </w:rPr>
            </w:r>
            <w:r>
              <w:t>Electronic Games</w:t>
            </w:r>
          </w:p>
        </w:tc>
        <w:tc>
          <w:tcPr>
            <w:tcW w:type="dxa" w:w="816"/>
          </w:tcPr>
          <w:p>
            <w:r>
              <w:rPr>
                <w:sz w:val="18"/>
              </w:rPr>
            </w:r>
            <w:r>
              <w:t>UPI</w:t>
            </w:r>
          </w:p>
        </w:tc>
        <w:tc>
          <w:tcPr>
            <w:tcW w:type="dxa" w:w="816"/>
          </w:tcPr>
          <w:p>
            <w:r>
              <w:rPr>
                <w:sz w:val="18"/>
              </w:rPr>
            </w:r>
            <w:r>
              <w:t>2021-07-25</w:t>
            </w:r>
          </w:p>
        </w:tc>
        <w:tc>
          <w:tcPr>
            <w:tcW w:type="dxa" w:w="816"/>
          </w:tcPr>
          <w:p>
            <w:r>
              <w:rPr>
                <w:sz w:val="18"/>
              </w:rPr>
            </w:r>
            <w:r>
              <w:t>Robert Stone</w:t>
            </w:r>
          </w:p>
        </w:tc>
        <w:tc>
          <w:tcPr>
            <w:tcW w:type="dxa" w:w="816"/>
          </w:tcPr>
          <w:p>
            <w:r>
              <w:rPr>
                <w:sz w:val="18"/>
              </w:rPr>
            </w:r>
            <w:r>
              <w:t>New York</w:t>
            </w:r>
          </w:p>
        </w:tc>
        <w:tc>
          <w:tcPr>
            <w:tcW w:type="dxa" w:w="816"/>
          </w:tcPr>
          <w:p>
            <w:r>
              <w:rPr>
                <w:sz w:val="18"/>
              </w:rPr>
            </w:r>
            <w:r>
              <w:t>Buffalo</w:t>
            </w:r>
          </w:p>
        </w:tc>
        <w:tc>
          <w:tcPr>
            <w:tcW w:type="dxa" w:w="816"/>
          </w:tcPr>
          <w:p>
            <w:r>
              <w:rPr>
                <w:sz w:val="18"/>
              </w:rPr>
            </w:r>
            <w:r>
              <w:t>2021-07</w:t>
            </w:r>
          </w:p>
        </w:tc>
      </w:tr>
      <w:tr>
        <w:tc>
          <w:tcPr>
            <w:tcW w:type="dxa" w:w="816"/>
          </w:tcPr>
          <w:p>
            <w:r>
              <w:rPr>
                <w:sz w:val="18"/>
              </w:rPr>
            </w:r>
            <w:r>
              <w:t>B-26776</w:t>
            </w:r>
          </w:p>
        </w:tc>
        <w:tc>
          <w:tcPr>
            <w:tcW w:type="dxa" w:w="816"/>
          </w:tcPr>
          <w:p>
            <w:r>
              <w:rPr>
                <w:sz w:val="18"/>
              </w:rPr>
            </w:r>
            <w:r>
              <w:t>4975</w:t>
            </w:r>
          </w:p>
        </w:tc>
        <w:tc>
          <w:tcPr>
            <w:tcW w:type="dxa" w:w="816"/>
          </w:tcPr>
          <w:p>
            <w:r>
              <w:rPr>
                <w:sz w:val="18"/>
              </w:rPr>
            </w:r>
            <w:r>
              <w:t>1330</w:t>
            </w:r>
          </w:p>
        </w:tc>
        <w:tc>
          <w:tcPr>
            <w:tcW w:type="dxa" w:w="816"/>
          </w:tcPr>
          <w:p>
            <w:r>
              <w:rPr>
                <w:sz w:val="18"/>
              </w:rPr>
            </w:r>
            <w:r>
              <w:t>14</w:t>
            </w:r>
          </w:p>
        </w:tc>
        <w:tc>
          <w:tcPr>
            <w:tcW w:type="dxa" w:w="816"/>
          </w:tcPr>
          <w:p>
            <w:r>
              <w:rPr>
                <w:sz w:val="18"/>
              </w:rPr>
            </w:r>
            <w:r>
              <w:t>Electronics</w:t>
            </w:r>
          </w:p>
        </w:tc>
        <w:tc>
          <w:tcPr>
            <w:tcW w:type="dxa" w:w="816"/>
          </w:tcPr>
          <w:p>
            <w:r>
              <w:rPr>
                <w:sz w:val="18"/>
              </w:rPr>
            </w:r>
            <w:r>
              <w:t>Printers</w:t>
            </w:r>
          </w:p>
        </w:tc>
        <w:tc>
          <w:tcPr>
            <w:tcW w:type="dxa" w:w="816"/>
          </w:tcPr>
          <w:p>
            <w:r>
              <w:rPr>
                <w:sz w:val="18"/>
              </w:rPr>
            </w:r>
            <w:r>
              <w:t>UPI</w:t>
            </w:r>
          </w:p>
        </w:tc>
        <w:tc>
          <w:tcPr>
            <w:tcW w:type="dxa" w:w="816"/>
          </w:tcPr>
          <w:p>
            <w:r>
              <w:rPr>
                <w:sz w:val="18"/>
              </w:rPr>
            </w:r>
            <w:r>
              <w:t>2023-06-27</w:t>
            </w:r>
          </w:p>
        </w:tc>
        <w:tc>
          <w:tcPr>
            <w:tcW w:type="dxa" w:w="816"/>
          </w:tcPr>
          <w:p>
            <w:r>
              <w:rPr>
                <w:sz w:val="18"/>
              </w:rPr>
            </w:r>
            <w:r>
              <w:t>David Padilla</w:t>
            </w:r>
          </w:p>
        </w:tc>
        <w:tc>
          <w:tcPr>
            <w:tcW w:type="dxa" w:w="816"/>
          </w:tcPr>
          <w:p>
            <w:r>
              <w:rPr>
                <w:sz w:val="18"/>
              </w:rPr>
            </w:r>
            <w:r>
              <w:t>Florida</w:t>
            </w:r>
          </w:p>
        </w:tc>
        <w:tc>
          <w:tcPr>
            <w:tcW w:type="dxa" w:w="816"/>
          </w:tcPr>
          <w:p>
            <w:r>
              <w:rPr>
                <w:sz w:val="18"/>
              </w:rPr>
            </w:r>
            <w:r>
              <w:t>Miami</w:t>
            </w:r>
          </w:p>
        </w:tc>
        <w:tc>
          <w:tcPr>
            <w:tcW w:type="dxa" w:w="816"/>
          </w:tcPr>
          <w:p>
            <w:r>
              <w:rPr>
                <w:sz w:val="18"/>
              </w:rPr>
            </w:r>
            <w:r>
              <w:t>2023-06</w:t>
            </w:r>
          </w:p>
        </w:tc>
      </w:tr>
    </w:tbl>
    <w:p/>
    <w:p>
      <w:r>
        <w:t xml:space="preserve">_(Rows 1–3 above are exactly the evidence for the duplicate-key problem: one </w:t>
      </w:r>
      <w:r>
        <w:rPr>
          <w:rFonts w:ascii="Consolas" w:hAnsi="Consolas"/>
          <w:color w:val="2F6F9F"/>
          <w:sz w:val="18"/>
        </w:rPr>
        <w:t>Order ID</w:t>
      </w:r>
      <w:r>
        <w:t>, three different dates, three different customers in three different states. Insert the full 10–20 row screenshot from your CSV viewer here.)_</w:t>
      </w:r>
    </w:p>
    <w:p>
      <w:r>
        <w:br w:type="page"/>
      </w:r>
    </w:p>
    <w:p>
      <w:pPr>
        <w:pStyle w:val="Heading1"/>
      </w:pPr>
      <w:r>
        <w:t>Task 1.3 — Relational Database Design</w:t>
      </w:r>
    </w:p>
    <w:p>
      <w:pPr>
        <w:pStyle w:val="Heading2"/>
      </w:pPr>
      <w:r>
        <w:t>Entity-Relationship Diagram (ERD)</w:t>
      </w:r>
    </w:p>
    <w:p>
      <w:r>
        <w:t xml:space="preserve">The full diagram, in Mermaid source that renders directly on GitHub, is in </w:t>
      </w:r>
      <w:r>
        <w:rPr>
          <w:rFonts w:ascii="Consolas" w:hAnsi="Consolas"/>
          <w:color w:val="2F6F9F"/>
          <w:sz w:val="18"/>
        </w:rPr>
        <w:t>docs/erd.md</w:t>
      </w:r>
      <w:r>
        <w:t>. Structure:</w:t>
      </w:r>
    </w:p>
    <w:p>
      <w:pPr>
        <w:spacing w:before="80" w:after="160"/>
        <w:ind w:left="360"/>
      </w:pPr>
      <w:r>
        <w:rPr>
          <w:rFonts w:ascii="Consolas" w:hAnsi="Consolas"/>
          <w:color w:val="333D47"/>
          <w:sz w:val="17"/>
        </w:rPr>
        <w:t>dim_state ──&lt; dim_city ──&lt; dim_customer ──┐</w:t>
        <w:br/>
        <w:t xml:space="preserve">                                          │</w:t>
        <w:br/>
        <w:t>dim_category ──&lt; dim_sub_category ────────┼──&lt; fact_sales</w:t>
        <w:br/>
        <w:t xml:space="preserve">                                          │</w:t>
        <w:br/>
        <w:t>dim_payment_mode ─────────────────────────┤</w:t>
        <w:br/>
        <w:t xml:space="preserve">                                          │</w:t>
        <w:br/>
        <w:t>dim_date ─────────────────────────────────┘</w:t>
      </w:r>
    </w:p>
    <w:p>
      <w:r>
        <w:rPr>
          <w:b/>
        </w:rPr>
        <w:t>Star schema, 7 tables.</w:t>
      </w:r>
      <w:r>
        <w:t xml:space="preserve"> </w:t>
      </w:r>
      <w:r>
        <w:rPr>
          <w:rFonts w:ascii="Consolas" w:hAnsi="Consolas"/>
          <w:color w:val="2F6F9F"/>
          <w:sz w:val="18"/>
        </w:rPr>
        <w:t>fact_sales</w:t>
      </w:r>
      <w:r>
        <w:t xml:space="preserve"> sits at the centre at a grain of one transaction line, with six dimensions hanging off it.</w:t>
      </w:r>
    </w:p>
    <w:tbl>
      <w:tblPr>
        <w:tblStyle w:val="LightGrid-Accent1"/>
        <w:tblW w:type="auto" w:w="0"/>
        <w:jc w:val="center"/>
        <w:tblLayout w:type="autofit"/>
        <w:tblLook w:firstColumn="1" w:firstRow="1" w:lastColumn="0" w:lastRow="0" w:noHBand="0" w:noVBand="1" w:val="04A0"/>
      </w:tblPr>
      <w:tblGrid>
        <w:gridCol w:w="3264"/>
        <w:gridCol w:w="3264"/>
        <w:gridCol w:w="3264"/>
      </w:tblGrid>
      <w:tr>
        <w:tc>
          <w:tcPr>
            <w:tcW w:type="dxa" w:w="3264"/>
          </w:tcPr>
          <w:p>
            <w:r>
              <w:rPr>
                <w:b/>
              </w:rPr>
            </w:r>
            <w:r>
              <w:rPr>
                <w:b/>
              </w:rPr>
              <w:t>Parent</w:t>
            </w:r>
          </w:p>
        </w:tc>
        <w:tc>
          <w:tcPr>
            <w:tcW w:type="dxa" w:w="3264"/>
          </w:tcPr>
          <w:p>
            <w:r>
              <w:rPr>
                <w:b/>
              </w:rPr>
            </w:r>
            <w:r>
              <w:rPr>
                <w:b/>
              </w:rPr>
              <w:t>Child</w:t>
            </w:r>
          </w:p>
        </w:tc>
        <w:tc>
          <w:tcPr>
            <w:tcW w:type="dxa" w:w="3264"/>
          </w:tcPr>
          <w:p>
            <w:r>
              <w:rPr>
                <w:b/>
              </w:rPr>
            </w:r>
            <w:r>
              <w:rPr>
                <w:b/>
              </w:rPr>
              <w:t>Cardinality</w:t>
            </w:r>
          </w:p>
        </w:tc>
      </w:tr>
      <w:tr>
        <w:tc>
          <w:tcPr>
            <w:tcW w:type="dxa" w:w="3264"/>
          </w:tcPr>
          <w:p>
            <w:r>
              <w:rPr>
                <w:sz w:val="18"/>
              </w:rPr>
            </w:r>
            <w:r>
              <w:rPr>
                <w:rFonts w:ascii="Consolas" w:hAnsi="Consolas"/>
                <w:color w:val="2F6F9F"/>
                <w:sz w:val="18"/>
              </w:rPr>
              <w:t>dim_state</w:t>
            </w:r>
          </w:p>
        </w:tc>
        <w:tc>
          <w:tcPr>
            <w:tcW w:type="dxa" w:w="3264"/>
          </w:tcPr>
          <w:p>
            <w:r>
              <w:rPr>
                <w:sz w:val="18"/>
              </w:rPr>
            </w:r>
            <w:r>
              <w:rPr>
                <w:rFonts w:ascii="Consolas" w:hAnsi="Consolas"/>
                <w:color w:val="2F6F9F"/>
                <w:sz w:val="18"/>
              </w:rPr>
              <w:t>dim_city</w:t>
            </w:r>
          </w:p>
        </w:tc>
        <w:tc>
          <w:tcPr>
            <w:tcW w:type="dxa" w:w="3264"/>
          </w:tcPr>
          <w:p>
            <w:r>
              <w:rPr>
                <w:sz w:val="18"/>
              </w:rPr>
            </w:r>
            <w:r>
              <w:t>1 : many</w:t>
            </w:r>
          </w:p>
        </w:tc>
      </w:tr>
      <w:tr>
        <w:tc>
          <w:tcPr>
            <w:tcW w:type="dxa" w:w="3264"/>
          </w:tcPr>
          <w:p>
            <w:r>
              <w:rPr>
                <w:sz w:val="18"/>
              </w:rPr>
            </w:r>
            <w:r>
              <w:rPr>
                <w:rFonts w:ascii="Consolas" w:hAnsi="Consolas"/>
                <w:color w:val="2F6F9F"/>
                <w:sz w:val="18"/>
              </w:rPr>
              <w:t>dim_city</w:t>
            </w:r>
          </w:p>
        </w:tc>
        <w:tc>
          <w:tcPr>
            <w:tcW w:type="dxa" w:w="3264"/>
          </w:tcPr>
          <w:p>
            <w:r>
              <w:rPr>
                <w:sz w:val="18"/>
              </w:rPr>
            </w:r>
            <w:r>
              <w:rPr>
                <w:rFonts w:ascii="Consolas" w:hAnsi="Consolas"/>
                <w:color w:val="2F6F9F"/>
                <w:sz w:val="18"/>
              </w:rPr>
              <w:t>dim_customer</w:t>
            </w:r>
          </w:p>
        </w:tc>
        <w:tc>
          <w:tcPr>
            <w:tcW w:type="dxa" w:w="3264"/>
          </w:tcPr>
          <w:p>
            <w:r>
              <w:rPr>
                <w:sz w:val="18"/>
              </w:rPr>
            </w:r>
            <w:r>
              <w:t>1 : many</w:t>
            </w:r>
          </w:p>
        </w:tc>
      </w:tr>
      <w:tr>
        <w:tc>
          <w:tcPr>
            <w:tcW w:type="dxa" w:w="3264"/>
          </w:tcPr>
          <w:p>
            <w:r>
              <w:rPr>
                <w:sz w:val="18"/>
              </w:rPr>
            </w:r>
            <w:r>
              <w:rPr>
                <w:rFonts w:ascii="Consolas" w:hAnsi="Consolas"/>
                <w:color w:val="2F6F9F"/>
                <w:sz w:val="18"/>
              </w:rPr>
              <w:t>dim_category</w:t>
            </w:r>
          </w:p>
        </w:tc>
        <w:tc>
          <w:tcPr>
            <w:tcW w:type="dxa" w:w="3264"/>
          </w:tcPr>
          <w:p>
            <w:r>
              <w:rPr>
                <w:sz w:val="18"/>
              </w:rPr>
            </w:r>
            <w:r>
              <w:rPr>
                <w:rFonts w:ascii="Consolas" w:hAnsi="Consolas"/>
                <w:color w:val="2F6F9F"/>
                <w:sz w:val="18"/>
              </w:rPr>
              <w:t>dim_sub_category</w:t>
            </w:r>
          </w:p>
        </w:tc>
        <w:tc>
          <w:tcPr>
            <w:tcW w:type="dxa" w:w="3264"/>
          </w:tcPr>
          <w:p>
            <w:r>
              <w:rPr>
                <w:sz w:val="18"/>
              </w:rPr>
            </w:r>
            <w:r>
              <w:t>1 : many</w:t>
            </w:r>
          </w:p>
        </w:tc>
      </w:tr>
      <w:tr>
        <w:tc>
          <w:tcPr>
            <w:tcW w:type="dxa" w:w="3264"/>
          </w:tcPr>
          <w:p>
            <w:r>
              <w:rPr>
                <w:sz w:val="18"/>
              </w:rPr>
            </w:r>
            <w:r>
              <w:rPr>
                <w:rFonts w:ascii="Consolas" w:hAnsi="Consolas"/>
                <w:color w:val="2F6F9F"/>
                <w:sz w:val="18"/>
              </w:rPr>
              <w:t>dim_customer</w:t>
            </w:r>
          </w:p>
        </w:tc>
        <w:tc>
          <w:tcPr>
            <w:tcW w:type="dxa" w:w="3264"/>
          </w:tcPr>
          <w:p>
            <w:r>
              <w:rPr>
                <w:sz w:val="18"/>
              </w:rPr>
            </w:r>
            <w:r>
              <w:rPr>
                <w:rFonts w:ascii="Consolas" w:hAnsi="Consolas"/>
                <w:color w:val="2F6F9F"/>
                <w:sz w:val="18"/>
              </w:rPr>
              <w:t>fact_sales</w:t>
            </w:r>
          </w:p>
        </w:tc>
        <w:tc>
          <w:tcPr>
            <w:tcW w:type="dxa" w:w="3264"/>
          </w:tcPr>
          <w:p>
            <w:r>
              <w:rPr>
                <w:sz w:val="18"/>
              </w:rPr>
            </w:r>
            <w:r>
              <w:t>1 : many</w:t>
            </w:r>
          </w:p>
        </w:tc>
      </w:tr>
      <w:tr>
        <w:tc>
          <w:tcPr>
            <w:tcW w:type="dxa" w:w="3264"/>
          </w:tcPr>
          <w:p>
            <w:r>
              <w:rPr>
                <w:sz w:val="18"/>
              </w:rPr>
            </w:r>
            <w:r>
              <w:rPr>
                <w:rFonts w:ascii="Consolas" w:hAnsi="Consolas"/>
                <w:color w:val="2F6F9F"/>
                <w:sz w:val="18"/>
              </w:rPr>
              <w:t>dim_sub_category</w:t>
            </w:r>
          </w:p>
        </w:tc>
        <w:tc>
          <w:tcPr>
            <w:tcW w:type="dxa" w:w="3264"/>
          </w:tcPr>
          <w:p>
            <w:r>
              <w:rPr>
                <w:sz w:val="18"/>
              </w:rPr>
            </w:r>
            <w:r>
              <w:rPr>
                <w:rFonts w:ascii="Consolas" w:hAnsi="Consolas"/>
                <w:color w:val="2F6F9F"/>
                <w:sz w:val="18"/>
              </w:rPr>
              <w:t>fact_sales</w:t>
            </w:r>
          </w:p>
        </w:tc>
        <w:tc>
          <w:tcPr>
            <w:tcW w:type="dxa" w:w="3264"/>
          </w:tcPr>
          <w:p>
            <w:r>
              <w:rPr>
                <w:sz w:val="18"/>
              </w:rPr>
            </w:r>
            <w:r>
              <w:t>1 : many</w:t>
            </w:r>
          </w:p>
        </w:tc>
      </w:tr>
      <w:tr>
        <w:tc>
          <w:tcPr>
            <w:tcW w:type="dxa" w:w="3264"/>
          </w:tcPr>
          <w:p>
            <w:r>
              <w:rPr>
                <w:sz w:val="18"/>
              </w:rPr>
            </w:r>
            <w:r>
              <w:rPr>
                <w:rFonts w:ascii="Consolas" w:hAnsi="Consolas"/>
                <w:color w:val="2F6F9F"/>
                <w:sz w:val="18"/>
              </w:rPr>
              <w:t>dim_payment_mode</w:t>
            </w:r>
          </w:p>
        </w:tc>
        <w:tc>
          <w:tcPr>
            <w:tcW w:type="dxa" w:w="3264"/>
          </w:tcPr>
          <w:p>
            <w:r>
              <w:rPr>
                <w:sz w:val="18"/>
              </w:rPr>
            </w:r>
            <w:r>
              <w:rPr>
                <w:rFonts w:ascii="Consolas" w:hAnsi="Consolas"/>
                <w:color w:val="2F6F9F"/>
                <w:sz w:val="18"/>
              </w:rPr>
              <w:t>fact_sales</w:t>
            </w:r>
          </w:p>
        </w:tc>
        <w:tc>
          <w:tcPr>
            <w:tcW w:type="dxa" w:w="3264"/>
          </w:tcPr>
          <w:p>
            <w:r>
              <w:rPr>
                <w:sz w:val="18"/>
              </w:rPr>
            </w:r>
            <w:r>
              <w:t>1 : many</w:t>
            </w:r>
          </w:p>
        </w:tc>
      </w:tr>
      <w:tr>
        <w:tc>
          <w:tcPr>
            <w:tcW w:type="dxa" w:w="3264"/>
          </w:tcPr>
          <w:p>
            <w:r>
              <w:rPr>
                <w:sz w:val="18"/>
              </w:rPr>
            </w:r>
            <w:r>
              <w:rPr>
                <w:rFonts w:ascii="Consolas" w:hAnsi="Consolas"/>
                <w:color w:val="2F6F9F"/>
                <w:sz w:val="18"/>
              </w:rPr>
              <w:t>dim_date</w:t>
            </w:r>
          </w:p>
        </w:tc>
        <w:tc>
          <w:tcPr>
            <w:tcW w:type="dxa" w:w="3264"/>
          </w:tcPr>
          <w:p>
            <w:r>
              <w:rPr>
                <w:sz w:val="18"/>
              </w:rPr>
            </w:r>
            <w:r>
              <w:rPr>
                <w:rFonts w:ascii="Consolas" w:hAnsi="Consolas"/>
                <w:color w:val="2F6F9F"/>
                <w:sz w:val="18"/>
              </w:rPr>
              <w:t>fact_sales</w:t>
            </w:r>
          </w:p>
        </w:tc>
        <w:tc>
          <w:tcPr>
            <w:tcW w:type="dxa" w:w="3264"/>
          </w:tcPr>
          <w:p>
            <w:r>
              <w:rPr>
                <w:sz w:val="18"/>
              </w:rPr>
            </w:r>
            <w:r>
              <w:t>1 : many</w:t>
            </w:r>
          </w:p>
        </w:tc>
      </w:tr>
    </w:tbl>
    <w:p/>
    <w:p>
      <w:r>
        <w:rPr>
          <w:b/>
        </w:rPr>
        <w:t>Why this design.</w:t>
      </w:r>
      <w:r>
        <w:t xml:space="preserve"> Every key business question in Task 1.1 has the form "a measure, sliced by a dimension, over time" — which a star schema answers in one join hop. Geography and product are kept snowflaked (</w:t>
      </w:r>
      <w:r>
        <w:rPr>
          <w:rFonts w:ascii="Consolas" w:hAnsi="Consolas"/>
          <w:color w:val="2F6F9F"/>
          <w:sz w:val="18"/>
        </w:rPr>
        <w:t>state → city → customer</w:t>
      </w:r>
      <w:r>
        <w:t xml:space="preserve">, </w:t>
      </w:r>
      <w:r>
        <w:rPr>
          <w:rFonts w:ascii="Consolas" w:hAnsi="Consolas"/>
          <w:color w:val="2F6F9F"/>
          <w:sz w:val="18"/>
        </w:rPr>
        <w:t>category → sub_category</w:t>
      </w:r>
      <w:r>
        <w:t>) rather than flattened, so a city or category label lives in exactly one place and Task 1.4 has genuine multi-table joins to demonstrate.</w:t>
      </w:r>
    </w:p>
    <w:p>
      <w:pPr>
        <w:pStyle w:val="Heading2"/>
      </w:pPr>
      <w:r>
        <w:t>Database Schema &amp; Population</w:t>
      </w:r>
    </w:p>
    <w:p>
      <w:r>
        <w:t xml:space="preserve">DDL: </w:t>
      </w:r>
      <w:r>
        <w:rPr>
          <w:rFonts w:ascii="Consolas" w:hAnsi="Consolas"/>
          <w:color w:val="2F6F9F"/>
          <w:sz w:val="18"/>
        </w:rPr>
        <w:t>sql/01_schema_mysql.sql</w:t>
      </w:r>
      <w:r>
        <w:t xml:space="preserve"> (MySQL 8, InnoDB, with </w:t>
      </w:r>
      <w:r>
        <w:rPr>
          <w:rFonts w:ascii="Consolas" w:hAnsi="Consolas"/>
          <w:color w:val="2F6F9F"/>
          <w:sz w:val="18"/>
        </w:rPr>
        <w:t>PRIMARY KEY</w:t>
      </w:r>
      <w:r>
        <w:t xml:space="preserve">, </w:t>
      </w:r>
      <w:r>
        <w:rPr>
          <w:rFonts w:ascii="Consolas" w:hAnsi="Consolas"/>
          <w:color w:val="2F6F9F"/>
          <w:sz w:val="18"/>
        </w:rPr>
        <w:t>FOREIGN KEY</w:t>
      </w:r>
      <w:r>
        <w:t xml:space="preserve">, </w:t>
      </w:r>
      <w:r>
        <w:rPr>
          <w:rFonts w:ascii="Consolas" w:hAnsi="Consolas"/>
          <w:color w:val="2F6F9F"/>
          <w:sz w:val="18"/>
        </w:rPr>
        <w:t>UNIQUE</w:t>
      </w:r>
      <w:r>
        <w:t xml:space="preserve"> and </w:t>
      </w:r>
      <w:r>
        <w:rPr>
          <w:rFonts w:ascii="Consolas" w:hAnsi="Consolas"/>
          <w:color w:val="2F6F9F"/>
          <w:sz w:val="18"/>
        </w:rPr>
        <w:t>CHECK</w:t>
      </w:r>
      <w:r>
        <w:t xml:space="preserve"> constraints plus four indexes on the columns the Task 1.4 queries filter and group by). Data: </w:t>
      </w:r>
      <w:r>
        <w:rPr>
          <w:rFonts w:ascii="Consolas" w:hAnsi="Consolas"/>
          <w:color w:val="2F6F9F"/>
          <w:sz w:val="18"/>
        </w:rPr>
        <w:t>sql/03_insert_data.sql</w:t>
      </w:r>
      <w:r>
        <w:t xml:space="preserve"> (generated, portable </w:t>
      </w:r>
      <w:r>
        <w:rPr>
          <w:rFonts w:ascii="Consolas" w:hAnsi="Consolas"/>
          <w:color w:val="2F6F9F"/>
          <w:sz w:val="18"/>
        </w:rPr>
        <w:t>INSERT</w:t>
      </w:r>
      <w:r>
        <w:t xml:space="preserve"> statements).</w:t>
      </w:r>
    </w:p>
    <w:p>
      <w:pPr>
        <w:spacing w:before="80" w:after="160"/>
        <w:ind w:left="360"/>
      </w:pPr>
      <w:r>
        <w:rPr>
          <w:rFonts w:ascii="Consolas" w:hAnsi="Consolas"/>
          <w:color w:val="333D47"/>
          <w:sz w:val="17"/>
        </w:rPr>
        <w:t>mysql -u root -p &lt; sql/01_schema_mysql.sql</w:t>
        <w:br/>
        <w:t>mysql -u root -p sales_trend &lt; sql/03_insert_data.sql</w:t>
        <w:br/>
        <w:t>mysql -u root -p sales_trend &lt; sql/04_queries.sql</w:t>
      </w:r>
    </w:p>
    <w:p>
      <w:r>
        <w:rPr>
          <w:b/>
        </w:rPr>
        <w:t>Populated row counts (verified after load):</w:t>
      </w:r>
    </w:p>
    <w:tbl>
      <w:tblPr>
        <w:tblStyle w:val="LightGrid-Accent1"/>
        <w:tblW w:type="auto" w:w="0"/>
        <w:jc w:val="center"/>
        <w:tblLayout w:type="autofit"/>
        <w:tblLook w:firstColumn="1" w:firstRow="1" w:lastColumn="0" w:lastRow="0" w:noHBand="0" w:noVBand="1" w:val="04A0"/>
      </w:tblPr>
      <w:tblGrid>
        <w:gridCol w:w="4896"/>
        <w:gridCol w:w="4896"/>
      </w:tblGrid>
      <w:tr>
        <w:tc>
          <w:tcPr>
            <w:tcW w:type="dxa" w:w="4896"/>
          </w:tcPr>
          <w:p>
            <w:r>
              <w:rPr>
                <w:b/>
              </w:rPr>
            </w:r>
            <w:r>
              <w:rPr>
                <w:b/>
              </w:rPr>
              <w:t>Table</w:t>
            </w:r>
          </w:p>
        </w:tc>
        <w:tc>
          <w:tcPr>
            <w:tcW w:type="dxa" w:w="4896"/>
          </w:tcPr>
          <w:p>
            <w:r>
              <w:rPr>
                <w:b/>
              </w:rPr>
            </w:r>
            <w:r>
              <w:rPr>
                <w:b/>
              </w:rPr>
              <w:t>Rows</w:t>
            </w:r>
          </w:p>
        </w:tc>
      </w:tr>
      <w:tr>
        <w:tc>
          <w:tcPr>
            <w:tcW w:type="dxa" w:w="4896"/>
          </w:tcPr>
          <w:p>
            <w:r>
              <w:rPr>
                <w:sz w:val="18"/>
              </w:rPr>
            </w:r>
            <w:r>
              <w:rPr>
                <w:rFonts w:ascii="Consolas" w:hAnsi="Consolas"/>
                <w:color w:val="2F6F9F"/>
                <w:sz w:val="18"/>
              </w:rPr>
              <w:t>dim_state</w:t>
            </w:r>
          </w:p>
        </w:tc>
        <w:tc>
          <w:tcPr>
            <w:tcW w:type="dxa" w:w="4896"/>
          </w:tcPr>
          <w:p>
            <w:r>
              <w:rPr>
                <w:sz w:val="18"/>
              </w:rPr>
            </w:r>
            <w:r>
              <w:t>6</w:t>
            </w:r>
          </w:p>
        </w:tc>
      </w:tr>
      <w:tr>
        <w:tc>
          <w:tcPr>
            <w:tcW w:type="dxa" w:w="4896"/>
          </w:tcPr>
          <w:p>
            <w:r>
              <w:rPr>
                <w:sz w:val="18"/>
              </w:rPr>
            </w:r>
            <w:r>
              <w:rPr>
                <w:rFonts w:ascii="Consolas" w:hAnsi="Consolas"/>
                <w:color w:val="2F6F9F"/>
                <w:sz w:val="18"/>
              </w:rPr>
              <w:t>dim_city</w:t>
            </w:r>
          </w:p>
        </w:tc>
        <w:tc>
          <w:tcPr>
            <w:tcW w:type="dxa" w:w="4896"/>
          </w:tcPr>
          <w:p>
            <w:r>
              <w:rPr>
                <w:sz w:val="18"/>
              </w:rPr>
            </w:r>
            <w:r>
              <w:t>18</w:t>
            </w:r>
          </w:p>
        </w:tc>
      </w:tr>
      <w:tr>
        <w:tc>
          <w:tcPr>
            <w:tcW w:type="dxa" w:w="4896"/>
          </w:tcPr>
          <w:p>
            <w:r>
              <w:rPr>
                <w:sz w:val="18"/>
              </w:rPr>
            </w:r>
            <w:r>
              <w:rPr>
                <w:rFonts w:ascii="Consolas" w:hAnsi="Consolas"/>
                <w:color w:val="2F6F9F"/>
                <w:sz w:val="18"/>
              </w:rPr>
              <w:t>dim_category</w:t>
            </w:r>
          </w:p>
        </w:tc>
        <w:tc>
          <w:tcPr>
            <w:tcW w:type="dxa" w:w="4896"/>
          </w:tcPr>
          <w:p>
            <w:r>
              <w:rPr>
                <w:sz w:val="18"/>
              </w:rPr>
            </w:r>
            <w:r>
              <w:t>3</w:t>
            </w:r>
          </w:p>
        </w:tc>
      </w:tr>
      <w:tr>
        <w:tc>
          <w:tcPr>
            <w:tcW w:type="dxa" w:w="4896"/>
          </w:tcPr>
          <w:p>
            <w:r>
              <w:rPr>
                <w:sz w:val="18"/>
              </w:rPr>
            </w:r>
            <w:r>
              <w:rPr>
                <w:rFonts w:ascii="Consolas" w:hAnsi="Consolas"/>
                <w:color w:val="2F6F9F"/>
                <w:sz w:val="18"/>
              </w:rPr>
              <w:t>dim_sub_category</w:t>
            </w:r>
          </w:p>
        </w:tc>
        <w:tc>
          <w:tcPr>
            <w:tcW w:type="dxa" w:w="4896"/>
          </w:tcPr>
          <w:p>
            <w:r>
              <w:rPr>
                <w:sz w:val="18"/>
              </w:rPr>
            </w:r>
            <w:r>
              <w:t>12</w:t>
            </w:r>
          </w:p>
        </w:tc>
      </w:tr>
      <w:tr>
        <w:tc>
          <w:tcPr>
            <w:tcW w:type="dxa" w:w="4896"/>
          </w:tcPr>
          <w:p>
            <w:r>
              <w:rPr>
                <w:sz w:val="18"/>
              </w:rPr>
            </w:r>
            <w:r>
              <w:rPr>
                <w:rFonts w:ascii="Consolas" w:hAnsi="Consolas"/>
                <w:color w:val="2F6F9F"/>
                <w:sz w:val="18"/>
              </w:rPr>
              <w:t>dim_payment_mode</w:t>
            </w:r>
          </w:p>
        </w:tc>
        <w:tc>
          <w:tcPr>
            <w:tcW w:type="dxa" w:w="4896"/>
          </w:tcPr>
          <w:p>
            <w:r>
              <w:rPr>
                <w:sz w:val="18"/>
              </w:rPr>
            </w:r>
            <w:r>
              <w:t>5</w:t>
            </w:r>
          </w:p>
        </w:tc>
      </w:tr>
      <w:tr>
        <w:tc>
          <w:tcPr>
            <w:tcW w:type="dxa" w:w="4896"/>
          </w:tcPr>
          <w:p>
            <w:r>
              <w:rPr>
                <w:sz w:val="18"/>
              </w:rPr>
            </w:r>
            <w:r>
              <w:rPr>
                <w:rFonts w:ascii="Consolas" w:hAnsi="Consolas"/>
                <w:color w:val="2F6F9F"/>
                <w:sz w:val="18"/>
              </w:rPr>
              <w:t>dim_customer</w:t>
            </w:r>
          </w:p>
        </w:tc>
        <w:tc>
          <w:tcPr>
            <w:tcW w:type="dxa" w:w="4896"/>
          </w:tcPr>
          <w:p>
            <w:r>
              <w:rPr>
                <w:sz w:val="18"/>
              </w:rPr>
            </w:r>
            <w:r>
              <w:t>807</w:t>
            </w:r>
          </w:p>
        </w:tc>
      </w:tr>
      <w:tr>
        <w:tc>
          <w:tcPr>
            <w:tcW w:type="dxa" w:w="4896"/>
          </w:tcPr>
          <w:p>
            <w:r>
              <w:rPr>
                <w:sz w:val="18"/>
              </w:rPr>
            </w:r>
            <w:r>
              <w:rPr>
                <w:rFonts w:ascii="Consolas" w:hAnsi="Consolas"/>
                <w:color w:val="2F6F9F"/>
                <w:sz w:val="18"/>
              </w:rPr>
              <w:t>dim_date</w:t>
            </w:r>
          </w:p>
        </w:tc>
        <w:tc>
          <w:tcPr>
            <w:tcW w:type="dxa" w:w="4896"/>
          </w:tcPr>
          <w:p>
            <w:r>
              <w:rPr>
                <w:sz w:val="18"/>
              </w:rPr>
            </w:r>
            <w:r>
              <w:t>648</w:t>
            </w:r>
          </w:p>
        </w:tc>
      </w:tr>
      <w:tr>
        <w:tc>
          <w:tcPr>
            <w:tcW w:type="dxa" w:w="4896"/>
          </w:tcPr>
          <w:p>
            <w:r>
              <w:rPr>
                <w:sz w:val="18"/>
              </w:rPr>
            </w:r>
            <w:r>
              <w:rPr>
                <w:rFonts w:ascii="Consolas" w:hAnsi="Consolas"/>
                <w:color w:val="2F6F9F"/>
                <w:sz w:val="18"/>
              </w:rPr>
              <w:t>fact_sales</w:t>
            </w:r>
          </w:p>
        </w:tc>
        <w:tc>
          <w:tcPr>
            <w:tcW w:type="dxa" w:w="4896"/>
          </w:tcPr>
          <w:p>
            <w:r>
              <w:rPr>
                <w:sz w:val="18"/>
              </w:rPr>
            </w:r>
            <w:r>
              <w:t>1,194</w:t>
            </w:r>
          </w:p>
        </w:tc>
      </w:tr>
    </w:tbl>
    <w:p/>
    <w:p>
      <w:r>
        <w:rPr>
          <w:rFonts w:ascii="Consolas" w:hAnsi="Consolas"/>
          <w:color w:val="2F6F9F"/>
          <w:sz w:val="18"/>
        </w:rPr>
        <w:t>fact_sales</w:t>
      </w:r>
      <w:r>
        <w:t xml:space="preserve"> holds exactly the 1,194 rows of the raw file — no transaction was lost or invented in normalisation. </w:t>
      </w:r>
      <w:r>
        <w:rPr>
          <w:rFonts w:ascii="Consolas" w:hAnsi="Consolas"/>
          <w:color w:val="2F6F9F"/>
          <w:sz w:val="18"/>
        </w:rPr>
        <w:t>dim_customer</w:t>
      </w:r>
      <w:r>
        <w:t xml:space="preserve"> has 807 rows against 802 distinct names, the 5 extra rows being the names that appear in more than one city.</w:t>
      </w:r>
    </w:p>
    <w:p>
      <w:r>
        <w:t xml:space="preserve">_(Insert your MySQL Workbench screenshots of </w:t>
      </w:r>
      <w:r>
        <w:rPr>
          <w:rFonts w:ascii="Consolas" w:hAnsi="Consolas"/>
          <w:color w:val="2F6F9F"/>
          <w:sz w:val="18"/>
        </w:rPr>
        <w:t>SHOW TABLES;</w:t>
      </w:r>
      <w:r>
        <w:t xml:space="preserve"> and </w:t>
      </w:r>
      <w:r>
        <w:rPr>
          <w:rFonts w:ascii="Consolas" w:hAnsi="Consolas"/>
          <w:color w:val="2F6F9F"/>
          <w:sz w:val="18"/>
        </w:rPr>
        <w:t>SELECT COUNT(*) FROM fact_sales;</w:t>
      </w:r>
      <w:r>
        <w:t xml:space="preserve"> here.)_</w:t>
      </w:r>
    </w:p>
    <w:p>
      <w:r>
        <w:br w:type="page"/>
      </w:r>
    </w:p>
    <w:p>
      <w:pPr>
        <w:pStyle w:val="Heading1"/>
      </w:pPr>
      <w:r>
        <w:t>Task 1.4 — SQL Query Report</w:t>
      </w:r>
    </w:p>
    <w:p>
      <w:r>
        <w:t xml:space="preserve">All eight queries are in </w:t>
      </w:r>
      <w:r>
        <w:rPr>
          <w:rFonts w:ascii="Consolas" w:hAnsi="Consolas"/>
          <w:color w:val="2F6F9F"/>
          <w:sz w:val="18"/>
        </w:rPr>
        <w:t>sql/04_queries.sql</w:t>
      </w:r>
      <w:r>
        <w:t xml:space="preserve">; every result table below is machine-generated output from </w:t>
      </w:r>
      <w:r>
        <w:rPr>
          <w:rFonts w:ascii="Consolas" w:hAnsi="Consolas"/>
          <w:color w:val="2F6F9F"/>
          <w:sz w:val="18"/>
        </w:rPr>
        <w:t>scripts/run_queries.py</w:t>
      </w:r>
      <w:r>
        <w:t xml:space="preserve">, reproduced in full in </w:t>
      </w:r>
      <w:r>
        <w:rPr>
          <w:rFonts w:ascii="Consolas" w:hAnsi="Consolas"/>
          <w:color w:val="2F6F9F"/>
          <w:sz w:val="18"/>
        </w:rPr>
        <w:t>reports/query_results.md</w:t>
      </w:r>
      <w:r>
        <w:t>. Queries are written in portable SQL and run unchanged on MySQL 8 and SQLite 3.</w:t>
      </w:r>
    </w:p>
    <w:p>
      <w:pPr>
        <w:pStyle w:val="Heading2"/>
      </w:pPr>
      <w:r>
        <w:t>1. Basic Data Retrieval</w:t>
      </w:r>
    </w:p>
    <w:p>
      <w:pPr>
        <w:pStyle w:val="Heading3"/>
      </w:pPr>
      <w:r>
        <w:t>Q1 — Largest transaction lines of the most recent complete year</w:t>
      </w:r>
    </w:p>
    <w:p>
      <w:r>
        <w:rPr>
          <w:rFonts w:ascii="Consolas" w:hAnsi="Consolas"/>
          <w:color w:val="2F6F9F"/>
          <w:sz w:val="18"/>
        </w:rPr>
        <w:t>SELECT</w:t>
      </w:r>
      <w:r>
        <w:t xml:space="preserve"> / </w:t>
      </w:r>
      <w:r>
        <w:rPr>
          <w:rFonts w:ascii="Consolas" w:hAnsi="Consolas"/>
          <w:color w:val="2F6F9F"/>
          <w:sz w:val="18"/>
        </w:rPr>
        <w:t>WHERE</w:t>
      </w:r>
      <w:r>
        <w:t xml:space="preserve"> / </w:t>
      </w:r>
      <w:r>
        <w:rPr>
          <w:rFonts w:ascii="Consolas" w:hAnsi="Consolas"/>
          <w:color w:val="2F6F9F"/>
          <w:sz w:val="18"/>
        </w:rPr>
        <w:t>ORDER BY</w:t>
      </w:r>
      <w:r>
        <w:t xml:space="preserve"> on </w:t>
      </w:r>
      <w:r>
        <w:rPr>
          <w:rFonts w:ascii="Consolas" w:hAnsi="Consolas"/>
          <w:color w:val="2F6F9F"/>
          <w:sz w:val="18"/>
        </w:rPr>
        <w:t>fact_sales</w:t>
      </w:r>
      <w:r>
        <w:t>.</w:t>
      </w:r>
    </w:p>
    <w:p>
      <w:r>
        <w:rPr>
          <w:b/>
        </w:rPr>
        <w:t>Business Interpretation.</w:t>
      </w:r>
      <w:r>
        <w:t xml:space="preserve"> The 15 biggest lines of 2024 sit in a tight band from 9,380 to 9,914, against a dataset-wide maximum of 9,992 — so there is a hard ceiling near 10,000 rather than a long tail of outliers. This is a business of many mid-sized orders, not a few whales, which means no single lost account can explain the revenue decline.</w:t>
      </w:r>
    </w:p>
    <w:p>
      <w:r>
        <w:t>Profit on those lines varies enormously, from 414 to 4,339 on near-identical revenue: sale 1008 returned 414 on 9,380 (4.4% margin) while sale 1092 returned 4,339 on 9,609 (45.2%). Order size alone is therefore a poor proxy for value, and any "top customer" report ranked on revenue would point management at exactly the wrong accounts.</w:t>
      </w:r>
    </w:p>
    <w:p>
      <w:pPr>
        <w:pStyle w:val="Heading3"/>
      </w:pPr>
      <w:r>
        <w:t>Q2 — Bulk orders sold at thin margins</w:t>
      </w:r>
    </w:p>
    <w:p>
      <w:r>
        <w:rPr>
          <w:rFonts w:ascii="Consolas" w:hAnsi="Consolas"/>
          <w:color w:val="2F6F9F"/>
          <w:sz w:val="18"/>
        </w:rPr>
        <w:t>SELECT</w:t>
      </w:r>
      <w:r>
        <w:t xml:space="preserve"> / </w:t>
      </w:r>
      <w:r>
        <w:rPr>
          <w:rFonts w:ascii="Consolas" w:hAnsi="Consolas"/>
          <w:color w:val="2F6F9F"/>
          <w:sz w:val="18"/>
        </w:rPr>
        <w:t>WHERE</w:t>
      </w:r>
      <w:r>
        <w:t xml:space="preserve"> / </w:t>
      </w:r>
      <w:r>
        <w:rPr>
          <w:rFonts w:ascii="Consolas" w:hAnsi="Consolas"/>
          <w:color w:val="2F6F9F"/>
          <w:sz w:val="18"/>
        </w:rPr>
        <w:t>ORDER BY</w:t>
      </w:r>
      <w:r>
        <w:t xml:space="preserve"> with a computed margin column.</w:t>
      </w:r>
    </w:p>
    <w:p>
      <w:r>
        <w:rPr>
          <w:b/>
        </w:rPr>
        <w:t>Business Interpretation.</w:t>
      </w:r>
      <w:r>
        <w:t xml:space="preserve"> These are lines of 15+ units returning under 15% margin — the company moving maximum stock for minimum return. The worst, sale 8, shipped 19 units for 7,702 in revenue and just 60 in profit, a 0.78% margin; all 15 lines shown return under 3.7%. They are the first candidates for a price-floor or volume-discount review, since a recovery of even two percentage points on high-quantity lines compounds quickly across the order book.</w:t>
      </w:r>
    </w:p>
    <w:p>
      <w:r>
        <w:t>Note that these thin-margin bulk lines appear in every year from 2020 to 2024, not only the declining years, so they are a standing pricing issue rather than a cause of the trend break identified in Q3.</w:t>
      </w:r>
    </w:p>
    <w:p>
      <w:pPr>
        <w:pStyle w:val="Heading2"/>
      </w:pPr>
      <w:r>
        <w:t>2. Aggregate Analysis</w:t>
      </w:r>
    </w:p>
    <w:p>
      <w:pPr>
        <w:pStyle w:val="Heading3"/>
      </w:pPr>
      <w:r>
        <w:t>Q3 — Annual sales trend, 2020–2024</w:t>
      </w:r>
    </w:p>
    <w:p>
      <w:r>
        <w:rPr>
          <w:rFonts w:ascii="Consolas" w:hAnsi="Consolas"/>
          <w:color w:val="2F6F9F"/>
          <w:sz w:val="18"/>
        </w:rPr>
        <w:t>GROUP BY</w:t>
      </w:r>
      <w:r>
        <w:t xml:space="preserve"> with </w:t>
      </w:r>
      <w:r>
        <w:rPr>
          <w:rFonts w:ascii="Consolas" w:hAnsi="Consolas"/>
          <w:color w:val="2F6F9F"/>
          <w:sz w:val="18"/>
        </w:rPr>
        <w:t>COUNT</w:t>
      </w:r>
      <w:r>
        <w:t xml:space="preserve">, </w:t>
      </w:r>
      <w:r>
        <w:rPr>
          <w:rFonts w:ascii="Consolas" w:hAnsi="Consolas"/>
          <w:color w:val="2F6F9F"/>
          <w:sz w:val="18"/>
        </w:rPr>
        <w:t>SUM</w:t>
      </w:r>
      <w:r>
        <w:t xml:space="preserve"> and </w:t>
      </w:r>
      <w:r>
        <w:rPr>
          <w:rFonts w:ascii="Consolas" w:hAnsi="Consolas"/>
          <w:color w:val="2F6F9F"/>
          <w:sz w:val="18"/>
        </w:rPr>
        <w:t>AVG</w:t>
      </w:r>
      <w:r>
        <w:t>.</w:t>
      </w:r>
    </w:p>
    <w:tbl>
      <w:tblPr>
        <w:tblStyle w:val="LightGrid-Accent1"/>
        <w:tblW w:type="auto" w:w="0"/>
        <w:jc w:val="center"/>
        <w:tblLayout w:type="autofit"/>
        <w:tblLook w:firstColumn="1" w:firstRow="1" w:lastColumn="0" w:lastRow="0" w:noHBand="0" w:noVBand="1" w:val="04A0"/>
      </w:tblPr>
      <w:tblGrid>
        <w:gridCol w:w="1399"/>
        <w:gridCol w:w="1399"/>
        <w:gridCol w:w="1399"/>
        <w:gridCol w:w="1399"/>
        <w:gridCol w:w="1399"/>
        <w:gridCol w:w="1399"/>
        <w:gridCol w:w="1399"/>
      </w:tblGrid>
      <w:tr>
        <w:tc>
          <w:tcPr>
            <w:tcW w:type="dxa" w:w="1399"/>
          </w:tcPr>
          <w:p>
            <w:r>
              <w:rPr>
                <w:b/>
              </w:rPr>
            </w:r>
            <w:r>
              <w:rPr>
                <w:b/>
              </w:rPr>
              <w:t>year</w:t>
            </w:r>
          </w:p>
        </w:tc>
        <w:tc>
          <w:tcPr>
            <w:tcW w:type="dxa" w:w="1399"/>
          </w:tcPr>
          <w:p>
            <w:r>
              <w:rPr>
                <w:b/>
              </w:rPr>
            </w:r>
            <w:r>
              <w:rPr>
                <w:b/>
              </w:rPr>
              <w:t>lines</w:t>
            </w:r>
          </w:p>
        </w:tc>
        <w:tc>
          <w:tcPr>
            <w:tcW w:type="dxa" w:w="1399"/>
          </w:tcPr>
          <w:p>
            <w:r>
              <w:rPr>
                <w:b/>
              </w:rPr>
            </w:r>
            <w:r>
              <w:rPr>
                <w:b/>
              </w:rPr>
              <w:t>units</w:t>
            </w:r>
          </w:p>
        </w:tc>
        <w:tc>
          <w:tcPr>
            <w:tcW w:type="dxa" w:w="1399"/>
          </w:tcPr>
          <w:p>
            <w:r>
              <w:rPr>
                <w:b/>
              </w:rPr>
            </w:r>
            <w:r>
              <w:rPr>
                <w:b/>
              </w:rPr>
              <w:t>revenue</w:t>
            </w:r>
          </w:p>
        </w:tc>
        <w:tc>
          <w:tcPr>
            <w:tcW w:type="dxa" w:w="1399"/>
          </w:tcPr>
          <w:p>
            <w:r>
              <w:rPr>
                <w:b/>
              </w:rPr>
            </w:r>
            <w:r>
              <w:rPr>
                <w:b/>
              </w:rPr>
              <w:t>profit</w:t>
            </w:r>
          </w:p>
        </w:tc>
        <w:tc>
          <w:tcPr>
            <w:tcW w:type="dxa" w:w="1399"/>
          </w:tcPr>
          <w:p>
            <w:r>
              <w:rPr>
                <w:b/>
              </w:rPr>
            </w:r>
            <w:r>
              <w:rPr>
                <w:b/>
              </w:rPr>
              <w:t>avg_line_value</w:t>
            </w:r>
          </w:p>
        </w:tc>
        <w:tc>
          <w:tcPr>
            <w:tcW w:type="dxa" w:w="1399"/>
          </w:tcPr>
          <w:p>
            <w:r>
              <w:rPr>
                <w:b/>
              </w:rPr>
            </w:r>
            <w:r>
              <w:rPr>
                <w:b/>
              </w:rPr>
              <w:t>margin_pct</w:t>
            </w:r>
          </w:p>
        </w:tc>
      </w:tr>
      <w:tr>
        <w:tc>
          <w:tcPr>
            <w:tcW w:type="dxa" w:w="1399"/>
          </w:tcPr>
          <w:p>
            <w:r>
              <w:rPr>
                <w:sz w:val="18"/>
              </w:rPr>
            </w:r>
            <w:r>
              <w:t>2020</w:t>
            </w:r>
          </w:p>
        </w:tc>
        <w:tc>
          <w:tcPr>
            <w:tcW w:type="dxa" w:w="1399"/>
          </w:tcPr>
          <w:p>
            <w:r>
              <w:rPr>
                <w:sz w:val="18"/>
              </w:rPr>
            </w:r>
            <w:r>
              <w:t>171</w:t>
            </w:r>
          </w:p>
        </w:tc>
        <w:tc>
          <w:tcPr>
            <w:tcW w:type="dxa" w:w="1399"/>
          </w:tcPr>
          <w:p>
            <w:r>
              <w:rPr>
                <w:sz w:val="18"/>
              </w:rPr>
            </w:r>
            <w:r>
              <w:t>1,695</w:t>
            </w:r>
          </w:p>
        </w:tc>
        <w:tc>
          <w:tcPr>
            <w:tcW w:type="dxa" w:w="1399"/>
          </w:tcPr>
          <w:p>
            <w:r>
              <w:rPr>
                <w:sz w:val="18"/>
              </w:rPr>
            </w:r>
            <w:r>
              <w:t>859,401</w:t>
            </w:r>
          </w:p>
        </w:tc>
        <w:tc>
          <w:tcPr>
            <w:tcW w:type="dxa" w:w="1399"/>
          </w:tcPr>
          <w:p>
            <w:r>
              <w:rPr>
                <w:sz w:val="18"/>
              </w:rPr>
            </w:r>
            <w:r>
              <w:t>224,103</w:t>
            </w:r>
          </w:p>
        </w:tc>
        <w:tc>
          <w:tcPr>
            <w:tcW w:type="dxa" w:w="1399"/>
          </w:tcPr>
          <w:p>
            <w:r>
              <w:rPr>
                <w:sz w:val="18"/>
              </w:rPr>
            </w:r>
            <w:r>
              <w:t>5,025.74</w:t>
            </w:r>
          </w:p>
        </w:tc>
        <w:tc>
          <w:tcPr>
            <w:tcW w:type="dxa" w:w="1399"/>
          </w:tcPr>
          <w:p>
            <w:r>
              <w:rPr>
                <w:sz w:val="18"/>
              </w:rPr>
            </w:r>
            <w:r>
              <w:t>26.08</w:t>
            </w:r>
          </w:p>
        </w:tc>
      </w:tr>
      <w:tr>
        <w:tc>
          <w:tcPr>
            <w:tcW w:type="dxa" w:w="1399"/>
          </w:tcPr>
          <w:p>
            <w:r>
              <w:rPr>
                <w:sz w:val="18"/>
              </w:rPr>
            </w:r>
            <w:r>
              <w:t>2021</w:t>
            </w:r>
          </w:p>
        </w:tc>
        <w:tc>
          <w:tcPr>
            <w:tcW w:type="dxa" w:w="1399"/>
          </w:tcPr>
          <w:p>
            <w:r>
              <w:rPr>
                <w:sz w:val="18"/>
              </w:rPr>
            </w:r>
            <w:r>
              <w:t>217</w:t>
            </w:r>
          </w:p>
        </w:tc>
        <w:tc>
          <w:tcPr>
            <w:tcW w:type="dxa" w:w="1399"/>
          </w:tcPr>
          <w:p>
            <w:r>
              <w:rPr>
                <w:sz w:val="18"/>
              </w:rPr>
            </w:r>
            <w:r>
              <w:t>2,358</w:t>
            </w:r>
          </w:p>
        </w:tc>
        <w:tc>
          <w:tcPr>
            <w:tcW w:type="dxa" w:w="1399"/>
          </w:tcPr>
          <w:p>
            <w:r>
              <w:rPr>
                <w:sz w:val="18"/>
              </w:rPr>
            </w:r>
            <w:r>
              <w:t>1,181,446</w:t>
            </w:r>
          </w:p>
        </w:tc>
        <w:tc>
          <w:tcPr>
            <w:tcW w:type="dxa" w:w="1399"/>
          </w:tcPr>
          <w:p>
            <w:r>
              <w:rPr>
                <w:sz w:val="18"/>
              </w:rPr>
            </w:r>
            <w:r>
              <w:t>283,231</w:t>
            </w:r>
          </w:p>
        </w:tc>
        <w:tc>
          <w:tcPr>
            <w:tcW w:type="dxa" w:w="1399"/>
          </w:tcPr>
          <w:p>
            <w:r>
              <w:rPr>
                <w:sz w:val="18"/>
              </w:rPr>
            </w:r>
            <w:r>
              <w:t>5,444.45</w:t>
            </w:r>
          </w:p>
        </w:tc>
        <w:tc>
          <w:tcPr>
            <w:tcW w:type="dxa" w:w="1399"/>
          </w:tcPr>
          <w:p>
            <w:r>
              <w:rPr>
                <w:sz w:val="18"/>
              </w:rPr>
            </w:r>
            <w:r>
              <w:t>23.97</w:t>
            </w:r>
          </w:p>
        </w:tc>
      </w:tr>
      <w:tr>
        <w:tc>
          <w:tcPr>
            <w:tcW w:type="dxa" w:w="1399"/>
          </w:tcPr>
          <w:p>
            <w:r>
              <w:rPr>
                <w:sz w:val="18"/>
              </w:rPr>
            </w:r>
            <w:r>
              <w:t>2022</w:t>
            </w:r>
          </w:p>
        </w:tc>
        <w:tc>
          <w:tcPr>
            <w:tcW w:type="dxa" w:w="1399"/>
          </w:tcPr>
          <w:p>
            <w:r>
              <w:rPr>
                <w:sz w:val="18"/>
              </w:rPr>
            </w:r>
            <w:r>
              <w:t>288</w:t>
            </w:r>
          </w:p>
        </w:tc>
        <w:tc>
          <w:tcPr>
            <w:tcW w:type="dxa" w:w="1399"/>
          </w:tcPr>
          <w:p>
            <w:r>
              <w:rPr>
                <w:sz w:val="18"/>
              </w:rPr>
            </w:r>
            <w:r>
              <w:t>3,234</w:t>
            </w:r>
          </w:p>
        </w:tc>
        <w:tc>
          <w:tcPr>
            <w:tcW w:type="dxa" w:w="1399"/>
          </w:tcPr>
          <w:p>
            <w:r>
              <w:rPr>
                <w:sz w:val="18"/>
              </w:rPr>
            </w:r>
            <w:r>
              <w:t>1,459,775</w:t>
            </w:r>
          </w:p>
        </w:tc>
        <w:tc>
          <w:tcPr>
            <w:tcW w:type="dxa" w:w="1399"/>
          </w:tcPr>
          <w:p>
            <w:r>
              <w:rPr>
                <w:sz w:val="18"/>
              </w:rPr>
            </w:r>
            <w:r>
              <w:t>393,113</w:t>
            </w:r>
          </w:p>
        </w:tc>
        <w:tc>
          <w:tcPr>
            <w:tcW w:type="dxa" w:w="1399"/>
          </w:tcPr>
          <w:p>
            <w:r>
              <w:rPr>
                <w:sz w:val="18"/>
              </w:rPr>
            </w:r>
            <w:r>
              <w:t>5,068.66</w:t>
            </w:r>
          </w:p>
        </w:tc>
        <w:tc>
          <w:tcPr>
            <w:tcW w:type="dxa" w:w="1399"/>
          </w:tcPr>
          <w:p>
            <w:r>
              <w:rPr>
                <w:sz w:val="18"/>
              </w:rPr>
            </w:r>
            <w:r>
              <w:t>26.93</w:t>
            </w:r>
          </w:p>
        </w:tc>
      </w:tr>
      <w:tr>
        <w:tc>
          <w:tcPr>
            <w:tcW w:type="dxa" w:w="1399"/>
          </w:tcPr>
          <w:p>
            <w:r>
              <w:rPr>
                <w:sz w:val="18"/>
              </w:rPr>
            </w:r>
            <w:r>
              <w:t>2023</w:t>
            </w:r>
          </w:p>
        </w:tc>
        <w:tc>
          <w:tcPr>
            <w:tcW w:type="dxa" w:w="1399"/>
          </w:tcPr>
          <w:p>
            <w:r>
              <w:rPr>
                <w:sz w:val="18"/>
              </w:rPr>
            </w:r>
            <w:r>
              <w:t>234</w:t>
            </w:r>
          </w:p>
        </w:tc>
        <w:tc>
          <w:tcPr>
            <w:tcW w:type="dxa" w:w="1399"/>
          </w:tcPr>
          <w:p>
            <w:r>
              <w:rPr>
                <w:sz w:val="18"/>
              </w:rPr>
            </w:r>
            <w:r>
              <w:t>2,497</w:t>
            </w:r>
          </w:p>
        </w:tc>
        <w:tc>
          <w:tcPr>
            <w:tcW w:type="dxa" w:w="1399"/>
          </w:tcPr>
          <w:p>
            <w:r>
              <w:rPr>
                <w:sz w:val="18"/>
              </w:rPr>
            </w:r>
            <w:r>
              <w:t>1,229,723</w:t>
            </w:r>
          </w:p>
        </w:tc>
        <w:tc>
          <w:tcPr>
            <w:tcW w:type="dxa" w:w="1399"/>
          </w:tcPr>
          <w:p>
            <w:r>
              <w:rPr>
                <w:sz w:val="18"/>
              </w:rPr>
            </w:r>
            <w:r>
              <w:t>321,671</w:t>
            </w:r>
          </w:p>
        </w:tc>
        <w:tc>
          <w:tcPr>
            <w:tcW w:type="dxa" w:w="1399"/>
          </w:tcPr>
          <w:p>
            <w:r>
              <w:rPr>
                <w:sz w:val="18"/>
              </w:rPr>
            </w:r>
            <w:r>
              <w:t>5,255.23</w:t>
            </w:r>
          </w:p>
        </w:tc>
        <w:tc>
          <w:tcPr>
            <w:tcW w:type="dxa" w:w="1399"/>
          </w:tcPr>
          <w:p>
            <w:r>
              <w:rPr>
                <w:sz w:val="18"/>
              </w:rPr>
            </w:r>
            <w:r>
              <w:t>26.16</w:t>
            </w:r>
          </w:p>
        </w:tc>
      </w:tr>
      <w:tr>
        <w:tc>
          <w:tcPr>
            <w:tcW w:type="dxa" w:w="1399"/>
          </w:tcPr>
          <w:p>
            <w:r>
              <w:rPr>
                <w:sz w:val="18"/>
              </w:rPr>
            </w:r>
            <w:r>
              <w:t>2024</w:t>
            </w:r>
          </w:p>
        </w:tc>
        <w:tc>
          <w:tcPr>
            <w:tcW w:type="dxa" w:w="1399"/>
          </w:tcPr>
          <w:p>
            <w:r>
              <w:rPr>
                <w:sz w:val="18"/>
              </w:rPr>
            </w:r>
            <w:r>
              <w:t>240</w:t>
            </w:r>
          </w:p>
        </w:tc>
        <w:tc>
          <w:tcPr>
            <w:tcW w:type="dxa" w:w="1399"/>
          </w:tcPr>
          <w:p>
            <w:r>
              <w:rPr>
                <w:sz w:val="18"/>
              </w:rPr>
            </w:r>
            <w:r>
              <w:t>2,523</w:t>
            </w:r>
          </w:p>
        </w:tc>
        <w:tc>
          <w:tcPr>
            <w:tcW w:type="dxa" w:w="1399"/>
          </w:tcPr>
          <w:p>
            <w:r>
              <w:rPr>
                <w:sz w:val="18"/>
              </w:rPr>
            </w:r>
            <w:r>
              <w:t>1,202,478</w:t>
            </w:r>
          </w:p>
        </w:tc>
        <w:tc>
          <w:tcPr>
            <w:tcW w:type="dxa" w:w="1399"/>
          </w:tcPr>
          <w:p>
            <w:r>
              <w:rPr>
                <w:sz w:val="18"/>
              </w:rPr>
            </w:r>
            <w:r>
              <w:t>308,336</w:t>
            </w:r>
          </w:p>
        </w:tc>
        <w:tc>
          <w:tcPr>
            <w:tcW w:type="dxa" w:w="1399"/>
          </w:tcPr>
          <w:p>
            <w:r>
              <w:rPr>
                <w:sz w:val="18"/>
              </w:rPr>
            </w:r>
            <w:r>
              <w:t>5,010.32</w:t>
            </w:r>
          </w:p>
        </w:tc>
        <w:tc>
          <w:tcPr>
            <w:tcW w:type="dxa" w:w="1399"/>
          </w:tcPr>
          <w:p>
            <w:r>
              <w:rPr>
                <w:sz w:val="18"/>
              </w:rPr>
            </w:r>
            <w:r>
              <w:t>25.64</w:t>
            </w:r>
          </w:p>
        </w:tc>
      </w:tr>
    </w:tbl>
    <w:p/>
    <w:p>
      <w:r>
        <w:rPr>
          <w:b/>
        </w:rPr>
        <w:t>Business Interpretation — answers Business Question 1.</w:t>
      </w:r>
      <w:r>
        <w:t xml:space="preserve"> Growth stopped in 2022. Revenue climbed 69.9% over 2020–2022, then fell 15.8% in 2023 and a further 2.2% in 2024, finishing 17.6% below the peak. The decisive detail is that </w:t>
      </w:r>
      <w:r>
        <w:rPr>
          <w:b/>
        </w:rPr>
        <w:t>average line value barely moved</w:t>
      </w:r>
      <w:r>
        <w:t xml:space="preserve"> across all five years (5,010–5,444, a 9% spread) while </w:t>
      </w:r>
      <w:r>
        <w:rPr>
          <w:b/>
        </w:rPr>
        <w:t>transaction count moved a lot</w:t>
      </w:r>
      <w:r>
        <w:t xml:space="preserve"> (171 → 288 → 240). The company is not being forced into smaller or cheaper orders; it is simply writing fewer of them. That points the investigation at demand and product availability, not at pricing. Margin held between 23.97% and 26.93% throughout, confirming that profitability per sale was never the issue.</w:t>
      </w:r>
    </w:p>
    <w:p>
      <w:pPr>
        <w:jc w:val="center"/>
      </w:pPr>
      <w:r>
        <w:drawing>
          <wp:inline xmlns:a="http://schemas.openxmlformats.org/drawingml/2006/main" xmlns:pic="http://schemas.openxmlformats.org/drawingml/2006/picture">
            <wp:extent cx="5486400" cy="3028738"/>
            <wp:docPr id="1" name="Picture 1"/>
            <wp:cNvGraphicFramePr>
              <a:graphicFrameLocks noChangeAspect="1"/>
            </wp:cNvGraphicFramePr>
            <a:graphic>
              <a:graphicData uri="http://schemas.openxmlformats.org/drawingml/2006/picture">
                <pic:pic>
                  <pic:nvPicPr>
                    <pic:cNvPr id="0" name="fig1_annual_trend.png"/>
                    <pic:cNvPicPr/>
                  </pic:nvPicPr>
                  <pic:blipFill>
                    <a:blip r:embed="rId9"/>
                    <a:stretch>
                      <a:fillRect/>
                    </a:stretch>
                  </pic:blipFill>
                  <pic:spPr>
                    <a:xfrm>
                      <a:off x="0" y="0"/>
                      <a:ext cx="5486400" cy="3028738"/>
                    </a:xfrm>
                    <a:prstGeom prst="rect"/>
                  </pic:spPr>
                </pic:pic>
              </a:graphicData>
            </a:graphic>
          </wp:inline>
        </w:drawing>
      </w:r>
    </w:p>
    <w:p>
      <w:pPr>
        <w:jc w:val="center"/>
      </w:pPr>
      <w:r>
        <w:rPr>
          <w:i/>
          <w:color w:val="7B8994"/>
          <w:sz w:val="18"/>
        </w:rPr>
        <w:t>Figure 1 — annual revenue and profit</w:t>
      </w:r>
    </w:p>
    <w:p>
      <w:pPr>
        <w:pStyle w:val="Heading3"/>
      </w:pPr>
      <w:r>
        <w:t>Q4 — Monthly seasonality, 2020–2024 pooled</w:t>
      </w:r>
    </w:p>
    <w:p>
      <w:r>
        <w:rPr>
          <w:rFonts w:ascii="Consolas" w:hAnsi="Consolas"/>
          <w:color w:val="2F6F9F"/>
          <w:sz w:val="18"/>
        </w:rPr>
        <w:t>GROUP BY</w:t>
      </w:r>
      <w:r>
        <w:t xml:space="preserve"> month with a share-of-total subquery.</w:t>
      </w:r>
    </w:p>
    <w:p>
      <w:r>
        <w:rPr>
          <w:b/>
        </w:rPr>
        <w:t>Business Interpretation — answers Business Question 3 (part 1).</w:t>
      </w:r>
      <w:r>
        <w:t xml:space="preserve"> Demand is strongly seasonal and the peak is late. December (11.05% of annual revenue) and October (10.66%) are the two strongest months; Q4 as a whole carries 29.3% of the year against the 25% a flat distribution would give. January is the trough at 4.72% — barely 43% of a December. Notably the peak is driven by </w:t>
      </w:r>
      <w:r>
        <w:rPr>
          <w:b/>
        </w:rPr>
        <w:t>order count, not basket size</w:t>
      </w:r>
      <w:r>
        <w:t xml:space="preserve">: December records the most transaction lines of any month (133) on an average line value of 4,928 — </w:t>
      </w:r>
      <w:r>
        <w:rPr>
          <w:i/>
        </w:rPr>
        <w:t>below</w:t>
      </w:r>
      <w:r>
        <w:t xml:space="preserve"> the 5,010–5,444 range of the annual averages in Q3. October is the same story, 120 lines at 5,271. The operational implication is that Q4 pressure is a throughput and fulfilment problem — more orders to pick, pack and ship — not a high-value-order problem, so the right response is staffing and warehouse capacity rather than premium stock.</w:t>
      </w:r>
    </w:p>
    <w:p>
      <w:pPr>
        <w:jc w:val="center"/>
      </w:pPr>
      <w:r>
        <w:drawing>
          <wp:inline xmlns:a="http://schemas.openxmlformats.org/drawingml/2006/main" xmlns:pic="http://schemas.openxmlformats.org/drawingml/2006/picture">
            <wp:extent cx="5486400" cy="3083180"/>
            <wp:docPr id="2" name="Picture 2"/>
            <wp:cNvGraphicFramePr>
              <a:graphicFrameLocks noChangeAspect="1"/>
            </wp:cNvGraphicFramePr>
            <a:graphic>
              <a:graphicData uri="http://schemas.openxmlformats.org/drawingml/2006/picture">
                <pic:pic>
                  <pic:nvPicPr>
                    <pic:cNvPr id="0" name="fig2_monthly_seasonality.png"/>
                    <pic:cNvPicPr/>
                  </pic:nvPicPr>
                  <pic:blipFill>
                    <a:blip r:embed="rId10"/>
                    <a:stretch>
                      <a:fillRect/>
                    </a:stretch>
                  </pic:blipFill>
                  <pic:spPr>
                    <a:xfrm>
                      <a:off x="0" y="0"/>
                      <a:ext cx="5486400" cy="3083180"/>
                    </a:xfrm>
                    <a:prstGeom prst="rect"/>
                  </pic:spPr>
                </pic:pic>
              </a:graphicData>
            </a:graphic>
          </wp:inline>
        </w:drawing>
      </w:r>
    </w:p>
    <w:p>
      <w:pPr>
        <w:jc w:val="center"/>
      </w:pPr>
      <w:r>
        <w:rPr>
          <w:i/>
          <w:color w:val="7B8994"/>
          <w:sz w:val="18"/>
        </w:rPr>
        <w:t>Figure 2 — monthly seasonality</w:t>
      </w:r>
    </w:p>
    <w:p>
      <w:pPr>
        <w:pStyle w:val="Heading2"/>
      </w:pPr>
      <w:r>
        <w:t>3. Multi-Table Joins</w:t>
      </w:r>
    </w:p>
    <w:p>
      <w:pPr>
        <w:pStyle w:val="Heading3"/>
      </w:pPr>
      <w:r>
        <w:t>Q5 — Revenue by category per year</w:t>
      </w:r>
    </w:p>
    <w:p>
      <w:r>
        <w:t xml:space="preserve">Joins 4 tables: </w:t>
      </w:r>
      <w:r>
        <w:rPr>
          <w:rFonts w:ascii="Consolas" w:hAnsi="Consolas"/>
          <w:color w:val="2F6F9F"/>
          <w:sz w:val="18"/>
        </w:rPr>
        <w:t>fact_sales → dim_date</w:t>
      </w:r>
      <w:r>
        <w:t xml:space="preserve">, </w:t>
      </w:r>
      <w:r>
        <w:rPr>
          <w:rFonts w:ascii="Consolas" w:hAnsi="Consolas"/>
          <w:color w:val="2F6F9F"/>
          <w:sz w:val="18"/>
        </w:rPr>
        <w:t>dim_sub_category → dim_category</w:t>
      </w:r>
      <w:r>
        <w:t>.</w:t>
      </w:r>
    </w:p>
    <w:tbl>
      <w:tblPr>
        <w:tblStyle w:val="LightGrid-Accent1"/>
        <w:tblW w:type="auto" w:w="0"/>
        <w:jc w:val="center"/>
        <w:tblLayout w:type="autofit"/>
        <w:tblLook w:firstColumn="1" w:firstRow="1" w:lastColumn="0" w:lastRow="0" w:noHBand="0" w:noVBand="1" w:val="04A0"/>
      </w:tblPr>
      <w:tblGrid>
        <w:gridCol w:w="1632"/>
        <w:gridCol w:w="1632"/>
        <w:gridCol w:w="1632"/>
        <w:gridCol w:w="1632"/>
        <w:gridCol w:w="1632"/>
        <w:gridCol w:w="1632"/>
      </w:tblGrid>
      <w:tr>
        <w:tc>
          <w:tcPr>
            <w:tcW w:type="dxa" w:w="1632"/>
          </w:tcPr>
          <w:p>
            <w:r>
              <w:rPr>
                <w:b/>
              </w:rPr>
            </w:r>
            <w:r>
              <w:rPr>
                <w:b/>
              </w:rPr>
              <w:t>category</w:t>
            </w:r>
          </w:p>
        </w:tc>
        <w:tc>
          <w:tcPr>
            <w:tcW w:type="dxa" w:w="1632"/>
          </w:tcPr>
          <w:p>
            <w:r>
              <w:rPr>
                <w:b/>
              </w:rPr>
            </w:r>
            <w:r>
              <w:rPr>
                <w:b/>
              </w:rPr>
              <w:t>2020</w:t>
            </w:r>
          </w:p>
        </w:tc>
        <w:tc>
          <w:tcPr>
            <w:tcW w:type="dxa" w:w="1632"/>
          </w:tcPr>
          <w:p>
            <w:r>
              <w:rPr>
                <w:b/>
              </w:rPr>
            </w:r>
            <w:r>
              <w:rPr>
                <w:b/>
              </w:rPr>
              <w:t>2021</w:t>
            </w:r>
          </w:p>
        </w:tc>
        <w:tc>
          <w:tcPr>
            <w:tcW w:type="dxa" w:w="1632"/>
          </w:tcPr>
          <w:p>
            <w:r>
              <w:rPr>
                <w:b/>
              </w:rPr>
            </w:r>
            <w:r>
              <w:rPr>
                <w:b/>
              </w:rPr>
              <w:t>2022</w:t>
            </w:r>
          </w:p>
        </w:tc>
        <w:tc>
          <w:tcPr>
            <w:tcW w:type="dxa" w:w="1632"/>
          </w:tcPr>
          <w:p>
            <w:r>
              <w:rPr>
                <w:b/>
              </w:rPr>
            </w:r>
            <w:r>
              <w:rPr>
                <w:b/>
              </w:rPr>
              <w:t>2023</w:t>
            </w:r>
          </w:p>
        </w:tc>
        <w:tc>
          <w:tcPr>
            <w:tcW w:type="dxa" w:w="1632"/>
          </w:tcPr>
          <w:p>
            <w:r>
              <w:rPr>
                <w:b/>
              </w:rPr>
            </w:r>
            <w:r>
              <w:rPr>
                <w:b/>
              </w:rPr>
              <w:t>2024</w:t>
            </w:r>
          </w:p>
        </w:tc>
      </w:tr>
      <w:tr>
        <w:tc>
          <w:tcPr>
            <w:tcW w:type="dxa" w:w="1632"/>
          </w:tcPr>
          <w:p>
            <w:r>
              <w:rPr>
                <w:sz w:val="18"/>
              </w:rPr>
            </w:r>
            <w:r>
              <w:t>Electronics</w:t>
            </w:r>
          </w:p>
        </w:tc>
        <w:tc>
          <w:tcPr>
            <w:tcW w:type="dxa" w:w="1632"/>
          </w:tcPr>
          <w:p>
            <w:r>
              <w:rPr>
                <w:sz w:val="18"/>
              </w:rPr>
            </w:r>
            <w:r>
              <w:t>233,178</w:t>
            </w:r>
          </w:p>
        </w:tc>
        <w:tc>
          <w:tcPr>
            <w:tcW w:type="dxa" w:w="1632"/>
          </w:tcPr>
          <w:p>
            <w:r>
              <w:rPr>
                <w:sz w:val="18"/>
              </w:rPr>
            </w:r>
            <w:r>
              <w:t>387,757</w:t>
            </w:r>
          </w:p>
        </w:tc>
        <w:tc>
          <w:tcPr>
            <w:tcW w:type="dxa" w:w="1632"/>
          </w:tcPr>
          <w:p>
            <w:r>
              <w:rPr>
                <w:sz w:val="18"/>
              </w:rPr>
            </w:r>
            <w:r>
              <w:t>478,451</w:t>
            </w:r>
          </w:p>
        </w:tc>
        <w:tc>
          <w:tcPr>
            <w:tcW w:type="dxa" w:w="1632"/>
          </w:tcPr>
          <w:p>
            <w:r>
              <w:rPr>
                <w:sz w:val="18"/>
              </w:rPr>
            </w:r>
            <w:r>
              <w:t>538,319</w:t>
            </w:r>
          </w:p>
        </w:tc>
        <w:tc>
          <w:tcPr>
            <w:tcW w:type="dxa" w:w="1632"/>
          </w:tcPr>
          <w:p>
            <w:r>
              <w:rPr>
                <w:sz w:val="18"/>
              </w:rPr>
            </w:r>
            <w:r>
              <w:rPr>
                <w:b/>
              </w:rPr>
              <w:t>318,630</w:t>
            </w:r>
          </w:p>
        </w:tc>
      </w:tr>
      <w:tr>
        <w:tc>
          <w:tcPr>
            <w:tcW w:type="dxa" w:w="1632"/>
          </w:tcPr>
          <w:p>
            <w:r>
              <w:rPr>
                <w:sz w:val="18"/>
              </w:rPr>
            </w:r>
            <w:r>
              <w:t>Furniture</w:t>
            </w:r>
          </w:p>
        </w:tc>
        <w:tc>
          <w:tcPr>
            <w:tcW w:type="dxa" w:w="1632"/>
          </w:tcPr>
          <w:p>
            <w:r>
              <w:rPr>
                <w:sz w:val="18"/>
              </w:rPr>
            </w:r>
            <w:r>
              <w:t>299,708</w:t>
            </w:r>
          </w:p>
        </w:tc>
        <w:tc>
          <w:tcPr>
            <w:tcW w:type="dxa" w:w="1632"/>
          </w:tcPr>
          <w:p>
            <w:r>
              <w:rPr>
                <w:sz w:val="18"/>
              </w:rPr>
            </w:r>
            <w:r>
              <w:t>391,342</w:t>
            </w:r>
          </w:p>
        </w:tc>
        <w:tc>
          <w:tcPr>
            <w:tcW w:type="dxa" w:w="1632"/>
          </w:tcPr>
          <w:p>
            <w:r>
              <w:rPr>
                <w:sz w:val="18"/>
              </w:rPr>
            </w:r>
            <w:r>
              <w:t>496,353</w:t>
            </w:r>
          </w:p>
        </w:tc>
        <w:tc>
          <w:tcPr>
            <w:tcW w:type="dxa" w:w="1632"/>
          </w:tcPr>
          <w:p>
            <w:r>
              <w:rPr>
                <w:sz w:val="18"/>
              </w:rPr>
            </w:r>
            <w:r>
              <w:t>385,893</w:t>
            </w:r>
          </w:p>
        </w:tc>
        <w:tc>
          <w:tcPr>
            <w:tcW w:type="dxa" w:w="1632"/>
          </w:tcPr>
          <w:p>
            <w:r>
              <w:rPr>
                <w:sz w:val="18"/>
              </w:rPr>
            </w:r>
            <w:r>
              <w:t>415,878</w:t>
            </w:r>
          </w:p>
        </w:tc>
      </w:tr>
      <w:tr>
        <w:tc>
          <w:tcPr>
            <w:tcW w:type="dxa" w:w="1632"/>
          </w:tcPr>
          <w:p>
            <w:r>
              <w:rPr>
                <w:sz w:val="18"/>
              </w:rPr>
            </w:r>
            <w:r>
              <w:t>Office Supplies</w:t>
            </w:r>
          </w:p>
        </w:tc>
        <w:tc>
          <w:tcPr>
            <w:tcW w:type="dxa" w:w="1632"/>
          </w:tcPr>
          <w:p>
            <w:r>
              <w:rPr>
                <w:sz w:val="18"/>
              </w:rPr>
            </w:r>
            <w:r>
              <w:t>326,515</w:t>
            </w:r>
          </w:p>
        </w:tc>
        <w:tc>
          <w:tcPr>
            <w:tcW w:type="dxa" w:w="1632"/>
          </w:tcPr>
          <w:p>
            <w:r>
              <w:rPr>
                <w:sz w:val="18"/>
              </w:rPr>
            </w:r>
            <w:r>
              <w:t>402,347</w:t>
            </w:r>
          </w:p>
        </w:tc>
        <w:tc>
          <w:tcPr>
            <w:tcW w:type="dxa" w:w="1632"/>
          </w:tcPr>
          <w:p>
            <w:r>
              <w:rPr>
                <w:sz w:val="18"/>
              </w:rPr>
            </w:r>
            <w:r>
              <w:t>484,971</w:t>
            </w:r>
          </w:p>
        </w:tc>
        <w:tc>
          <w:tcPr>
            <w:tcW w:type="dxa" w:w="1632"/>
          </w:tcPr>
          <w:p>
            <w:r>
              <w:rPr>
                <w:sz w:val="18"/>
              </w:rPr>
            </w:r>
            <w:r>
              <w:t>305,511</w:t>
            </w:r>
          </w:p>
        </w:tc>
        <w:tc>
          <w:tcPr>
            <w:tcW w:type="dxa" w:w="1632"/>
          </w:tcPr>
          <w:p>
            <w:r>
              <w:rPr>
                <w:sz w:val="18"/>
              </w:rPr>
            </w:r>
            <w:r>
              <w:t>467,970</w:t>
            </w:r>
          </w:p>
        </w:tc>
      </w:tr>
    </w:tbl>
    <w:p/>
    <w:p>
      <w:r>
        <w:rPr>
          <w:b/>
        </w:rPr>
        <w:t>Business Interpretation — answers Business Question 2 (part 1).</w:t>
      </w:r>
      <w:r>
        <w:t xml:space="preserve"> The flat company-level total hides three different stories. Electronics kept growing a year longer than the others, peaking in 2023 at 538,319, then fell 40.8% to 318,630 in 2024 — the single largest movement anywhere in the dataset. Office Supplies did the opposite: it dropped to 305,511 in 2023 and rebounded 53% to 467,970 in 2024. Furniture is the stable one, recovering modestly after 2023. So the 2024 "plateau" is really </w:t>
      </w:r>
      <w:r>
        <w:rPr>
          <w:b/>
        </w:rPr>
        <w:t>an Electronics collapse very nearly offset by an Office Supplies recovery</w:t>
      </w:r>
      <w:r>
        <w:t>. Managing to the aggregate number would have missed both.</w:t>
      </w:r>
    </w:p>
    <w:p>
      <w:pPr>
        <w:jc w:val="center"/>
      </w:pPr>
      <w:r>
        <w:drawing>
          <wp:inline xmlns:a="http://schemas.openxmlformats.org/drawingml/2006/main" xmlns:pic="http://schemas.openxmlformats.org/drawingml/2006/picture">
            <wp:extent cx="5486400" cy="3083180"/>
            <wp:docPr id="3" name="Picture 3"/>
            <wp:cNvGraphicFramePr>
              <a:graphicFrameLocks noChangeAspect="1"/>
            </wp:cNvGraphicFramePr>
            <a:graphic>
              <a:graphicData uri="http://schemas.openxmlformats.org/drawingml/2006/picture">
                <pic:pic>
                  <pic:nvPicPr>
                    <pic:cNvPr id="0" name="fig3_category_trend.png"/>
                    <pic:cNvPicPr/>
                  </pic:nvPicPr>
                  <pic:blipFill>
                    <a:blip r:embed="rId11"/>
                    <a:stretch>
                      <a:fillRect/>
                    </a:stretch>
                  </pic:blipFill>
                  <pic:spPr>
                    <a:xfrm>
                      <a:off x="0" y="0"/>
                      <a:ext cx="5486400" cy="3083180"/>
                    </a:xfrm>
                    <a:prstGeom prst="rect"/>
                  </pic:spPr>
                </pic:pic>
              </a:graphicData>
            </a:graphic>
          </wp:inline>
        </w:drawing>
      </w:r>
    </w:p>
    <w:p>
      <w:pPr>
        <w:jc w:val="center"/>
      </w:pPr>
      <w:r>
        <w:rPr>
          <w:i/>
          <w:color w:val="7B8994"/>
          <w:sz w:val="18"/>
        </w:rPr>
        <w:t>Figure 3 — category trend</w:t>
      </w:r>
    </w:p>
    <w:p>
      <w:pPr>
        <w:pStyle w:val="Heading3"/>
      </w:pPr>
      <w:r>
        <w:t>Q6 — Top cities by revenue and revenue per customer</w:t>
      </w:r>
    </w:p>
    <w:p>
      <w:r>
        <w:t xml:space="preserve">Joins 4 tables: </w:t>
      </w:r>
      <w:r>
        <w:rPr>
          <w:rFonts w:ascii="Consolas" w:hAnsi="Consolas"/>
          <w:color w:val="2F6F9F"/>
          <w:sz w:val="18"/>
        </w:rPr>
        <w:t>fact_sales → dim_customer → dim_city → dim_state</w:t>
      </w:r>
      <w:r>
        <w:t>.</w:t>
      </w:r>
    </w:p>
    <w:tbl>
      <w:tblPr>
        <w:tblStyle w:val="LightGrid-Accent1"/>
        <w:tblW w:type="auto" w:w="0"/>
        <w:jc w:val="center"/>
        <w:tblLayout w:type="autofit"/>
        <w:tblLook w:firstColumn="1" w:firstRow="1" w:lastColumn="0" w:lastRow="0" w:noHBand="0" w:noVBand="1" w:val="04A0"/>
      </w:tblPr>
      <w:tblGrid>
        <w:gridCol w:w="1632"/>
        <w:gridCol w:w="1632"/>
        <w:gridCol w:w="1632"/>
        <w:gridCol w:w="1632"/>
        <w:gridCol w:w="1632"/>
        <w:gridCol w:w="1632"/>
      </w:tblGrid>
      <w:tr>
        <w:tc>
          <w:tcPr>
            <w:tcW w:type="dxa" w:w="1632"/>
          </w:tcPr>
          <w:p>
            <w:r>
              <w:rPr>
                <w:b/>
              </w:rPr>
            </w:r>
            <w:r>
              <w:rPr>
                <w:b/>
              </w:rPr>
              <w:t>state</w:t>
            </w:r>
          </w:p>
        </w:tc>
        <w:tc>
          <w:tcPr>
            <w:tcW w:type="dxa" w:w="1632"/>
          </w:tcPr>
          <w:p>
            <w:r>
              <w:rPr>
                <w:b/>
              </w:rPr>
            </w:r>
            <w:r>
              <w:rPr>
                <w:b/>
              </w:rPr>
              <w:t>city</w:t>
            </w:r>
          </w:p>
        </w:tc>
        <w:tc>
          <w:tcPr>
            <w:tcW w:type="dxa" w:w="1632"/>
          </w:tcPr>
          <w:p>
            <w:r>
              <w:rPr>
                <w:b/>
              </w:rPr>
            </w:r>
            <w:r>
              <w:rPr>
                <w:b/>
              </w:rPr>
              <w:t>customers</w:t>
            </w:r>
          </w:p>
        </w:tc>
        <w:tc>
          <w:tcPr>
            <w:tcW w:type="dxa" w:w="1632"/>
          </w:tcPr>
          <w:p>
            <w:r>
              <w:rPr>
                <w:b/>
              </w:rPr>
            </w:r>
            <w:r>
              <w:rPr>
                <w:b/>
              </w:rPr>
              <w:t>revenue</w:t>
            </w:r>
          </w:p>
        </w:tc>
        <w:tc>
          <w:tcPr>
            <w:tcW w:type="dxa" w:w="1632"/>
          </w:tcPr>
          <w:p>
            <w:r>
              <w:rPr>
                <w:b/>
              </w:rPr>
            </w:r>
            <w:r>
              <w:rPr>
                <w:b/>
              </w:rPr>
              <w:t>revenue_per_customer</w:t>
            </w:r>
          </w:p>
        </w:tc>
        <w:tc>
          <w:tcPr>
            <w:tcW w:type="dxa" w:w="1632"/>
          </w:tcPr>
          <w:p>
            <w:r>
              <w:rPr>
                <w:b/>
              </w:rPr>
            </w:r>
            <w:r>
              <w:rPr>
                <w:b/>
              </w:rPr>
              <w:t>margin_pct</w:t>
            </w:r>
          </w:p>
        </w:tc>
      </w:tr>
      <w:tr>
        <w:tc>
          <w:tcPr>
            <w:tcW w:type="dxa" w:w="1632"/>
          </w:tcPr>
          <w:p>
            <w:r>
              <w:rPr>
                <w:sz w:val="18"/>
              </w:rPr>
            </w:r>
            <w:r>
              <w:t>Florida</w:t>
            </w:r>
          </w:p>
        </w:tc>
        <w:tc>
          <w:tcPr>
            <w:tcW w:type="dxa" w:w="1632"/>
          </w:tcPr>
          <w:p>
            <w:r>
              <w:rPr>
                <w:sz w:val="18"/>
              </w:rPr>
            </w:r>
            <w:r>
              <w:t>Orlando</w:t>
            </w:r>
          </w:p>
        </w:tc>
        <w:tc>
          <w:tcPr>
            <w:tcW w:type="dxa" w:w="1632"/>
          </w:tcPr>
          <w:p>
            <w:r>
              <w:rPr>
                <w:sz w:val="18"/>
              </w:rPr>
            </w:r>
            <w:r>
              <w:t>46</w:t>
            </w:r>
          </w:p>
        </w:tc>
        <w:tc>
          <w:tcPr>
            <w:tcW w:type="dxa" w:w="1632"/>
          </w:tcPr>
          <w:p>
            <w:r>
              <w:rPr>
                <w:sz w:val="18"/>
              </w:rPr>
            </w:r>
            <w:r>
              <w:t>452,158</w:t>
            </w:r>
          </w:p>
        </w:tc>
        <w:tc>
          <w:tcPr>
            <w:tcW w:type="dxa" w:w="1632"/>
          </w:tcPr>
          <w:p>
            <w:r>
              <w:rPr>
                <w:sz w:val="18"/>
              </w:rPr>
            </w:r>
            <w:r>
              <w:t>9,829.52</w:t>
            </w:r>
          </w:p>
        </w:tc>
        <w:tc>
          <w:tcPr>
            <w:tcW w:type="dxa" w:w="1632"/>
          </w:tcPr>
          <w:p>
            <w:r>
              <w:rPr>
                <w:sz w:val="18"/>
              </w:rPr>
            </w:r>
            <w:r>
              <w:t>28.34</w:t>
            </w:r>
          </w:p>
        </w:tc>
      </w:tr>
      <w:tr>
        <w:tc>
          <w:tcPr>
            <w:tcW w:type="dxa" w:w="1632"/>
          </w:tcPr>
          <w:p>
            <w:r>
              <w:rPr>
                <w:sz w:val="18"/>
              </w:rPr>
            </w:r>
            <w:r>
              <w:t>California</w:t>
            </w:r>
          </w:p>
        </w:tc>
        <w:tc>
          <w:tcPr>
            <w:tcW w:type="dxa" w:w="1632"/>
          </w:tcPr>
          <w:p>
            <w:r>
              <w:rPr>
                <w:sz w:val="18"/>
              </w:rPr>
            </w:r>
            <w:r>
              <w:t>San Francisco</w:t>
            </w:r>
          </w:p>
        </w:tc>
        <w:tc>
          <w:tcPr>
            <w:tcW w:type="dxa" w:w="1632"/>
          </w:tcPr>
          <w:p>
            <w:r>
              <w:rPr>
                <w:sz w:val="18"/>
              </w:rPr>
            </w:r>
            <w:r>
              <w:t>53</w:t>
            </w:r>
          </w:p>
        </w:tc>
        <w:tc>
          <w:tcPr>
            <w:tcW w:type="dxa" w:w="1632"/>
          </w:tcPr>
          <w:p>
            <w:r>
              <w:rPr>
                <w:sz w:val="18"/>
              </w:rPr>
            </w:r>
            <w:r>
              <w:t>440,000</w:t>
            </w:r>
          </w:p>
        </w:tc>
        <w:tc>
          <w:tcPr>
            <w:tcW w:type="dxa" w:w="1632"/>
          </w:tcPr>
          <w:p>
            <w:r>
              <w:rPr>
                <w:sz w:val="18"/>
              </w:rPr>
            </w:r>
            <w:r>
              <w:t>8,301.89</w:t>
            </w:r>
          </w:p>
        </w:tc>
        <w:tc>
          <w:tcPr>
            <w:tcW w:type="dxa" w:w="1632"/>
          </w:tcPr>
          <w:p>
            <w:r>
              <w:rPr>
                <w:sz w:val="18"/>
              </w:rPr>
            </w:r>
            <w:r>
              <w:t>24.57</w:t>
            </w:r>
          </w:p>
        </w:tc>
      </w:tr>
      <w:tr>
        <w:tc>
          <w:tcPr>
            <w:tcW w:type="dxa" w:w="1632"/>
          </w:tcPr>
          <w:p>
            <w:r>
              <w:rPr>
                <w:sz w:val="18"/>
              </w:rPr>
            </w:r>
            <w:r>
              <w:t>New York</w:t>
            </w:r>
          </w:p>
        </w:tc>
        <w:tc>
          <w:tcPr>
            <w:tcW w:type="dxa" w:w="1632"/>
          </w:tcPr>
          <w:p>
            <w:r>
              <w:rPr>
                <w:sz w:val="18"/>
              </w:rPr>
            </w:r>
            <w:r>
              <w:t>Buffalo</w:t>
            </w:r>
          </w:p>
        </w:tc>
        <w:tc>
          <w:tcPr>
            <w:tcW w:type="dxa" w:w="1632"/>
          </w:tcPr>
          <w:p>
            <w:r>
              <w:rPr>
                <w:sz w:val="18"/>
              </w:rPr>
            </w:r>
            <w:r>
              <w:t>58</w:t>
            </w:r>
          </w:p>
        </w:tc>
        <w:tc>
          <w:tcPr>
            <w:tcW w:type="dxa" w:w="1632"/>
          </w:tcPr>
          <w:p>
            <w:r>
              <w:rPr>
                <w:sz w:val="18"/>
              </w:rPr>
            </w:r>
            <w:r>
              <w:t>418,514</w:t>
            </w:r>
          </w:p>
        </w:tc>
        <w:tc>
          <w:tcPr>
            <w:tcW w:type="dxa" w:w="1632"/>
          </w:tcPr>
          <w:p>
            <w:r>
              <w:rPr>
                <w:sz w:val="18"/>
              </w:rPr>
            </w:r>
            <w:r>
              <w:t>7,215.76</w:t>
            </w:r>
          </w:p>
        </w:tc>
        <w:tc>
          <w:tcPr>
            <w:tcW w:type="dxa" w:w="1632"/>
          </w:tcPr>
          <w:p>
            <w:r>
              <w:rPr>
                <w:sz w:val="18"/>
              </w:rPr>
            </w:r>
            <w:r>
              <w:t>26.72</w:t>
            </w:r>
          </w:p>
        </w:tc>
      </w:tr>
      <w:tr>
        <w:tc>
          <w:tcPr>
            <w:tcW w:type="dxa" w:w="1632"/>
          </w:tcPr>
          <w:p>
            <w:r>
              <w:rPr>
                <w:sz w:val="18"/>
              </w:rPr>
            </w:r>
            <w:r>
              <w:t>New York</w:t>
            </w:r>
          </w:p>
        </w:tc>
        <w:tc>
          <w:tcPr>
            <w:tcW w:type="dxa" w:w="1632"/>
          </w:tcPr>
          <w:p>
            <w:r>
              <w:rPr>
                <w:sz w:val="18"/>
              </w:rPr>
            </w:r>
            <w:r>
              <w:t>Rochester</w:t>
            </w:r>
          </w:p>
        </w:tc>
        <w:tc>
          <w:tcPr>
            <w:tcW w:type="dxa" w:w="1632"/>
          </w:tcPr>
          <w:p>
            <w:r>
              <w:rPr>
                <w:sz w:val="18"/>
              </w:rPr>
            </w:r>
            <w:r>
              <w:t>46</w:t>
            </w:r>
          </w:p>
        </w:tc>
        <w:tc>
          <w:tcPr>
            <w:tcW w:type="dxa" w:w="1632"/>
          </w:tcPr>
          <w:p>
            <w:r>
              <w:rPr>
                <w:sz w:val="18"/>
              </w:rPr>
            </w:r>
            <w:r>
              <w:t>407,291</w:t>
            </w:r>
          </w:p>
        </w:tc>
        <w:tc>
          <w:tcPr>
            <w:tcW w:type="dxa" w:w="1632"/>
          </w:tcPr>
          <w:p>
            <w:r>
              <w:rPr>
                <w:sz w:val="18"/>
              </w:rPr>
            </w:r>
            <w:r>
              <w:t>8,854.15</w:t>
            </w:r>
          </w:p>
        </w:tc>
        <w:tc>
          <w:tcPr>
            <w:tcW w:type="dxa" w:w="1632"/>
          </w:tcPr>
          <w:p>
            <w:r>
              <w:rPr>
                <w:sz w:val="18"/>
              </w:rPr>
            </w:r>
            <w:r>
              <w:t>26.94</w:t>
            </w:r>
          </w:p>
        </w:tc>
      </w:tr>
      <w:tr>
        <w:tc>
          <w:tcPr>
            <w:tcW w:type="dxa" w:w="1632"/>
          </w:tcPr>
          <w:p>
            <w:r>
              <w:rPr>
                <w:sz w:val="18"/>
              </w:rPr>
            </w:r>
            <w:r>
              <w:t>Texas</w:t>
            </w:r>
          </w:p>
        </w:tc>
        <w:tc>
          <w:tcPr>
            <w:tcW w:type="dxa" w:w="1632"/>
          </w:tcPr>
          <w:p>
            <w:r>
              <w:rPr>
                <w:sz w:val="18"/>
              </w:rPr>
            </w:r>
            <w:r>
              <w:t>Dallas</w:t>
            </w:r>
          </w:p>
        </w:tc>
        <w:tc>
          <w:tcPr>
            <w:tcW w:type="dxa" w:w="1632"/>
          </w:tcPr>
          <w:p>
            <w:r>
              <w:rPr>
                <w:sz w:val="18"/>
              </w:rPr>
            </w:r>
            <w:r>
              <w:t>50</w:t>
            </w:r>
          </w:p>
        </w:tc>
        <w:tc>
          <w:tcPr>
            <w:tcW w:type="dxa" w:w="1632"/>
          </w:tcPr>
          <w:p>
            <w:r>
              <w:rPr>
                <w:sz w:val="18"/>
              </w:rPr>
            </w:r>
            <w:r>
              <w:t>390,144</w:t>
            </w:r>
          </w:p>
        </w:tc>
        <w:tc>
          <w:tcPr>
            <w:tcW w:type="dxa" w:w="1632"/>
          </w:tcPr>
          <w:p>
            <w:r>
              <w:rPr>
                <w:sz w:val="18"/>
              </w:rPr>
            </w:r>
            <w:r>
              <w:t>7,802.88</w:t>
            </w:r>
          </w:p>
        </w:tc>
        <w:tc>
          <w:tcPr>
            <w:tcW w:type="dxa" w:w="1632"/>
          </w:tcPr>
          <w:p>
            <w:r>
              <w:rPr>
                <w:sz w:val="18"/>
              </w:rPr>
            </w:r>
            <w:r>
              <w:t>26.27</w:t>
            </w:r>
          </w:p>
        </w:tc>
      </w:tr>
    </w:tbl>
    <w:p/>
    <w:p>
      <w:r>
        <w:rPr>
          <w:b/>
        </w:rPr>
        <w:t>Business Interpretation.</w:t>
      </w:r>
      <w:r>
        <w:t xml:space="preserve"> Geography is </w:t>
      </w:r>
      <w:r>
        <w:rPr>
          <w:b/>
        </w:rPr>
        <w:t>not</w:t>
      </w:r>
      <w:r>
        <w:t xml:space="preserve"> where the problem lies. Total revenue across the six states spans only 884,768 (Ohio) to 1,130,048 (New York) — a 28% spread over five years, which is remarkably even. The more useful signal is per-customer value: Orlando returns 9,829 per customer at a 28.34% margin, while Buffalo generates comparable total revenue from 26% more customers at 7,216 each. Buffalo's revenue is bought with more customer relationships to service, so acquisition spend is better aimed at Orlando-like markets. This confirms the trend problem is national and product-driven, not regional — which is what makes Q7 the decisive query.</w:t>
      </w:r>
    </w:p>
    <w:p>
      <w:pPr>
        <w:pStyle w:val="Heading2"/>
      </w:pPr>
      <w:r>
        <w:t>4. Business-Relevant Insights</w:t>
      </w:r>
    </w:p>
    <w:p>
      <w:pPr>
        <w:pStyle w:val="Heading3"/>
      </w:pPr>
      <w:r>
        <w:t>Q7 — Which sub-categories turned growth into a plateau? (Business Question 2)</w:t>
      </w:r>
    </w:p>
    <w:p>
      <w:r>
        <w:t>Conditional aggregation comparing 2023 with 2024 across all 12 sub-categories.</w:t>
      </w:r>
    </w:p>
    <w:tbl>
      <w:tblPr>
        <w:tblStyle w:val="LightGrid-Accent1"/>
        <w:tblW w:type="auto" w:w="0"/>
        <w:jc w:val="center"/>
        <w:tblLayout w:type="autofit"/>
        <w:tblLook w:firstColumn="1" w:firstRow="1" w:lastColumn="0" w:lastRow="0" w:noHBand="0" w:noVBand="1" w:val="04A0"/>
      </w:tblPr>
      <w:tblGrid>
        <w:gridCol w:w="1632"/>
        <w:gridCol w:w="1632"/>
        <w:gridCol w:w="1632"/>
        <w:gridCol w:w="1632"/>
        <w:gridCol w:w="1632"/>
        <w:gridCol w:w="1632"/>
      </w:tblGrid>
      <w:tr>
        <w:tc>
          <w:tcPr>
            <w:tcW w:type="dxa" w:w="1632"/>
          </w:tcPr>
          <w:p>
            <w:r>
              <w:rPr>
                <w:b/>
              </w:rPr>
            </w:r>
            <w:r>
              <w:rPr>
                <w:b/>
              </w:rPr>
              <w:t>category</w:t>
            </w:r>
          </w:p>
        </w:tc>
        <w:tc>
          <w:tcPr>
            <w:tcW w:type="dxa" w:w="1632"/>
          </w:tcPr>
          <w:p>
            <w:r>
              <w:rPr>
                <w:b/>
              </w:rPr>
            </w:r>
            <w:r>
              <w:rPr>
                <w:b/>
              </w:rPr>
              <w:t>sub_category</w:t>
            </w:r>
          </w:p>
        </w:tc>
        <w:tc>
          <w:tcPr>
            <w:tcW w:type="dxa" w:w="1632"/>
          </w:tcPr>
          <w:p>
            <w:r>
              <w:rPr>
                <w:b/>
              </w:rPr>
            </w:r>
            <w:r>
              <w:rPr>
                <w:b/>
              </w:rPr>
              <w:t>revenue_2023</w:t>
            </w:r>
          </w:p>
        </w:tc>
        <w:tc>
          <w:tcPr>
            <w:tcW w:type="dxa" w:w="1632"/>
          </w:tcPr>
          <w:p>
            <w:r>
              <w:rPr>
                <w:b/>
              </w:rPr>
            </w:r>
            <w:r>
              <w:rPr>
                <w:b/>
              </w:rPr>
              <w:t>revenue_2024</w:t>
            </w:r>
          </w:p>
        </w:tc>
        <w:tc>
          <w:tcPr>
            <w:tcW w:type="dxa" w:w="1632"/>
          </w:tcPr>
          <w:p>
            <w:r>
              <w:rPr>
                <w:b/>
              </w:rPr>
            </w:r>
            <w:r>
              <w:rPr>
                <w:b/>
              </w:rPr>
              <w:t>change_abs</w:t>
            </w:r>
          </w:p>
        </w:tc>
        <w:tc>
          <w:tcPr>
            <w:tcW w:type="dxa" w:w="1632"/>
          </w:tcPr>
          <w:p>
            <w:r>
              <w:rPr>
                <w:b/>
              </w:rPr>
            </w:r>
            <w:r>
              <w:rPr>
                <w:b/>
              </w:rPr>
              <w:t>change_pct</w:t>
            </w:r>
          </w:p>
        </w:tc>
      </w:tr>
      <w:tr>
        <w:tc>
          <w:tcPr>
            <w:tcW w:type="dxa" w:w="1632"/>
          </w:tcPr>
          <w:p>
            <w:r>
              <w:rPr>
                <w:sz w:val="18"/>
              </w:rPr>
            </w:r>
            <w:r>
              <w:t>Electronics</w:t>
            </w:r>
          </w:p>
        </w:tc>
        <w:tc>
          <w:tcPr>
            <w:tcW w:type="dxa" w:w="1632"/>
          </w:tcPr>
          <w:p>
            <w:r>
              <w:rPr>
                <w:sz w:val="18"/>
              </w:rPr>
            </w:r>
            <w:r>
              <w:t>Printers</w:t>
            </w:r>
          </w:p>
        </w:tc>
        <w:tc>
          <w:tcPr>
            <w:tcW w:type="dxa" w:w="1632"/>
          </w:tcPr>
          <w:p>
            <w:r>
              <w:rPr>
                <w:sz w:val="18"/>
              </w:rPr>
            </w:r>
            <w:r>
              <w:t>192,817</w:t>
            </w:r>
          </w:p>
        </w:tc>
        <w:tc>
          <w:tcPr>
            <w:tcW w:type="dxa" w:w="1632"/>
          </w:tcPr>
          <w:p>
            <w:r>
              <w:rPr>
                <w:sz w:val="18"/>
              </w:rPr>
            </w:r>
            <w:r>
              <w:t>55,952</w:t>
            </w:r>
          </w:p>
        </w:tc>
        <w:tc>
          <w:tcPr>
            <w:tcW w:type="dxa" w:w="1632"/>
          </w:tcPr>
          <w:p>
            <w:r>
              <w:rPr>
                <w:sz w:val="18"/>
              </w:rPr>
            </w:r>
            <w:r>
              <w:rPr>
                <w:b/>
              </w:rPr>
              <w:t>−136,865</w:t>
            </w:r>
          </w:p>
        </w:tc>
        <w:tc>
          <w:tcPr>
            <w:tcW w:type="dxa" w:w="1632"/>
          </w:tcPr>
          <w:p>
            <w:r>
              <w:rPr>
                <w:sz w:val="18"/>
              </w:rPr>
            </w:r>
            <w:r>
              <w:rPr>
                <w:b/>
              </w:rPr>
              <w:t>−71.0</w:t>
            </w:r>
          </w:p>
        </w:tc>
      </w:tr>
      <w:tr>
        <w:tc>
          <w:tcPr>
            <w:tcW w:type="dxa" w:w="1632"/>
          </w:tcPr>
          <w:p>
            <w:r>
              <w:rPr>
                <w:sz w:val="18"/>
              </w:rPr>
            </w:r>
            <w:r>
              <w:t>Electronics</w:t>
            </w:r>
          </w:p>
        </w:tc>
        <w:tc>
          <w:tcPr>
            <w:tcW w:type="dxa" w:w="1632"/>
          </w:tcPr>
          <w:p>
            <w:r>
              <w:rPr>
                <w:sz w:val="18"/>
              </w:rPr>
            </w:r>
            <w:r>
              <w:t>Electronic Games</w:t>
            </w:r>
          </w:p>
        </w:tc>
        <w:tc>
          <w:tcPr>
            <w:tcW w:type="dxa" w:w="1632"/>
          </w:tcPr>
          <w:p>
            <w:r>
              <w:rPr>
                <w:sz w:val="18"/>
              </w:rPr>
            </w:r>
            <w:r>
              <w:t>144,484</w:t>
            </w:r>
          </w:p>
        </w:tc>
        <w:tc>
          <w:tcPr>
            <w:tcW w:type="dxa" w:w="1632"/>
          </w:tcPr>
          <w:p>
            <w:r>
              <w:rPr>
                <w:sz w:val="18"/>
              </w:rPr>
            </w:r>
            <w:r>
              <w:t>88,017</w:t>
            </w:r>
          </w:p>
        </w:tc>
        <w:tc>
          <w:tcPr>
            <w:tcW w:type="dxa" w:w="1632"/>
          </w:tcPr>
          <w:p>
            <w:r>
              <w:rPr>
                <w:sz w:val="18"/>
              </w:rPr>
            </w:r>
            <w:r>
              <w:t>−56,467</w:t>
            </w:r>
          </w:p>
        </w:tc>
        <w:tc>
          <w:tcPr>
            <w:tcW w:type="dxa" w:w="1632"/>
          </w:tcPr>
          <w:p>
            <w:r>
              <w:rPr>
                <w:sz w:val="18"/>
              </w:rPr>
            </w:r>
            <w:r>
              <w:t>−39.1</w:t>
            </w:r>
          </w:p>
        </w:tc>
      </w:tr>
      <w:tr>
        <w:tc>
          <w:tcPr>
            <w:tcW w:type="dxa" w:w="1632"/>
          </w:tcPr>
          <w:p>
            <w:r>
              <w:rPr>
                <w:sz w:val="18"/>
              </w:rPr>
            </w:r>
            <w:r>
              <w:t>Electronics</w:t>
            </w:r>
          </w:p>
        </w:tc>
        <w:tc>
          <w:tcPr>
            <w:tcW w:type="dxa" w:w="1632"/>
          </w:tcPr>
          <w:p>
            <w:r>
              <w:rPr>
                <w:sz w:val="18"/>
              </w:rPr>
            </w:r>
            <w:r>
              <w:t>Phones</w:t>
            </w:r>
          </w:p>
        </w:tc>
        <w:tc>
          <w:tcPr>
            <w:tcW w:type="dxa" w:w="1632"/>
          </w:tcPr>
          <w:p>
            <w:r>
              <w:rPr>
                <w:sz w:val="18"/>
              </w:rPr>
            </w:r>
            <w:r>
              <w:t>115,909</w:t>
            </w:r>
          </w:p>
        </w:tc>
        <w:tc>
          <w:tcPr>
            <w:tcW w:type="dxa" w:w="1632"/>
          </w:tcPr>
          <w:p>
            <w:r>
              <w:rPr>
                <w:sz w:val="18"/>
              </w:rPr>
            </w:r>
            <w:r>
              <w:t>99,526</w:t>
            </w:r>
          </w:p>
        </w:tc>
        <w:tc>
          <w:tcPr>
            <w:tcW w:type="dxa" w:w="1632"/>
          </w:tcPr>
          <w:p>
            <w:r>
              <w:rPr>
                <w:sz w:val="18"/>
              </w:rPr>
            </w:r>
            <w:r>
              <w:t>−16,383</w:t>
            </w:r>
          </w:p>
        </w:tc>
        <w:tc>
          <w:tcPr>
            <w:tcW w:type="dxa" w:w="1632"/>
          </w:tcPr>
          <w:p>
            <w:r>
              <w:rPr>
                <w:sz w:val="18"/>
              </w:rPr>
            </w:r>
            <w:r>
              <w:t>−14.1</w:t>
            </w:r>
          </w:p>
        </w:tc>
      </w:tr>
      <w:tr>
        <w:tc>
          <w:tcPr>
            <w:tcW w:type="dxa" w:w="1632"/>
          </w:tcPr>
          <w:p>
            <w:r>
              <w:rPr>
                <w:sz w:val="18"/>
              </w:rPr>
            </w:r>
            <w:r>
              <w:t>Furniture</w:t>
            </w:r>
          </w:p>
        </w:tc>
        <w:tc>
          <w:tcPr>
            <w:tcW w:type="dxa" w:w="1632"/>
          </w:tcPr>
          <w:p>
            <w:r>
              <w:rPr>
                <w:sz w:val="18"/>
              </w:rPr>
            </w:r>
            <w:r>
              <w:t>Bookcases</w:t>
            </w:r>
          </w:p>
        </w:tc>
        <w:tc>
          <w:tcPr>
            <w:tcW w:type="dxa" w:w="1632"/>
          </w:tcPr>
          <w:p>
            <w:r>
              <w:rPr>
                <w:sz w:val="18"/>
              </w:rPr>
            </w:r>
            <w:r>
              <w:t>86,730</w:t>
            </w:r>
          </w:p>
        </w:tc>
        <w:tc>
          <w:tcPr>
            <w:tcW w:type="dxa" w:w="1632"/>
          </w:tcPr>
          <w:p>
            <w:r>
              <w:rPr>
                <w:sz w:val="18"/>
              </w:rPr>
            </w:r>
            <w:r>
              <w:t>74,875</w:t>
            </w:r>
          </w:p>
        </w:tc>
        <w:tc>
          <w:tcPr>
            <w:tcW w:type="dxa" w:w="1632"/>
          </w:tcPr>
          <w:p>
            <w:r>
              <w:rPr>
                <w:sz w:val="18"/>
              </w:rPr>
            </w:r>
            <w:r>
              <w:t>−11,855</w:t>
            </w:r>
          </w:p>
        </w:tc>
        <w:tc>
          <w:tcPr>
            <w:tcW w:type="dxa" w:w="1632"/>
          </w:tcPr>
          <w:p>
            <w:r>
              <w:rPr>
                <w:sz w:val="18"/>
              </w:rPr>
            </w:r>
            <w:r>
              <w:t>−13.7</w:t>
            </w:r>
          </w:p>
        </w:tc>
      </w:tr>
      <w:tr>
        <w:tc>
          <w:tcPr>
            <w:tcW w:type="dxa" w:w="1632"/>
          </w:tcPr>
          <w:p>
            <w:r>
              <w:rPr>
                <w:sz w:val="18"/>
              </w:rPr>
            </w:r>
            <w:r>
              <w:t>Electronics</w:t>
            </w:r>
          </w:p>
        </w:tc>
        <w:tc>
          <w:tcPr>
            <w:tcW w:type="dxa" w:w="1632"/>
          </w:tcPr>
          <w:p>
            <w:r>
              <w:rPr>
                <w:sz w:val="18"/>
              </w:rPr>
            </w:r>
            <w:r>
              <w:t>Laptops</w:t>
            </w:r>
          </w:p>
        </w:tc>
        <w:tc>
          <w:tcPr>
            <w:tcW w:type="dxa" w:w="1632"/>
          </w:tcPr>
          <w:p>
            <w:r>
              <w:rPr>
                <w:sz w:val="18"/>
              </w:rPr>
            </w:r>
            <w:r>
              <w:t>85,109</w:t>
            </w:r>
          </w:p>
        </w:tc>
        <w:tc>
          <w:tcPr>
            <w:tcW w:type="dxa" w:w="1632"/>
          </w:tcPr>
          <w:p>
            <w:r>
              <w:rPr>
                <w:sz w:val="18"/>
              </w:rPr>
            </w:r>
            <w:r>
              <w:t>75,135</w:t>
            </w:r>
          </w:p>
        </w:tc>
        <w:tc>
          <w:tcPr>
            <w:tcW w:type="dxa" w:w="1632"/>
          </w:tcPr>
          <w:p>
            <w:r>
              <w:rPr>
                <w:sz w:val="18"/>
              </w:rPr>
            </w:r>
            <w:r>
              <w:t>−9,974</w:t>
            </w:r>
          </w:p>
        </w:tc>
        <w:tc>
          <w:tcPr>
            <w:tcW w:type="dxa" w:w="1632"/>
          </w:tcPr>
          <w:p>
            <w:r>
              <w:rPr>
                <w:sz w:val="18"/>
              </w:rPr>
            </w:r>
            <w:r>
              <w:t>−11.7</w:t>
            </w:r>
          </w:p>
        </w:tc>
      </w:tr>
      <w:tr>
        <w:tc>
          <w:tcPr>
            <w:tcW w:type="dxa" w:w="1632"/>
          </w:tcPr>
          <w:p>
            <w:r>
              <w:rPr>
                <w:sz w:val="18"/>
              </w:rPr>
            </w:r>
            <w:r>
              <w:t>Furniture</w:t>
            </w:r>
          </w:p>
        </w:tc>
        <w:tc>
          <w:tcPr>
            <w:tcW w:type="dxa" w:w="1632"/>
          </w:tcPr>
          <w:p>
            <w:r>
              <w:rPr>
                <w:sz w:val="18"/>
              </w:rPr>
            </w:r>
            <w:r>
              <w:t>Chairs</w:t>
            </w:r>
          </w:p>
        </w:tc>
        <w:tc>
          <w:tcPr>
            <w:tcW w:type="dxa" w:w="1632"/>
          </w:tcPr>
          <w:p>
            <w:r>
              <w:rPr>
                <w:sz w:val="18"/>
              </w:rPr>
            </w:r>
            <w:r>
              <w:t>87,711</w:t>
            </w:r>
          </w:p>
        </w:tc>
        <w:tc>
          <w:tcPr>
            <w:tcW w:type="dxa" w:w="1632"/>
          </w:tcPr>
          <w:p>
            <w:r>
              <w:rPr>
                <w:sz w:val="18"/>
              </w:rPr>
            </w:r>
            <w:r>
              <w:t>86,185</w:t>
            </w:r>
          </w:p>
        </w:tc>
        <w:tc>
          <w:tcPr>
            <w:tcW w:type="dxa" w:w="1632"/>
          </w:tcPr>
          <w:p>
            <w:r>
              <w:rPr>
                <w:sz w:val="18"/>
              </w:rPr>
            </w:r>
            <w:r>
              <w:t>−1,526</w:t>
            </w:r>
          </w:p>
        </w:tc>
        <w:tc>
          <w:tcPr>
            <w:tcW w:type="dxa" w:w="1632"/>
          </w:tcPr>
          <w:p>
            <w:r>
              <w:rPr>
                <w:sz w:val="18"/>
              </w:rPr>
            </w:r>
            <w:r>
              <w:t>−1.7</w:t>
            </w:r>
          </w:p>
        </w:tc>
      </w:tr>
      <w:tr>
        <w:tc>
          <w:tcPr>
            <w:tcW w:type="dxa" w:w="1632"/>
          </w:tcPr>
          <w:p>
            <w:r>
              <w:rPr>
                <w:sz w:val="18"/>
              </w:rPr>
            </w:r>
            <w:r>
              <w:t>Furniture</w:t>
            </w:r>
          </w:p>
        </w:tc>
        <w:tc>
          <w:tcPr>
            <w:tcW w:type="dxa" w:w="1632"/>
          </w:tcPr>
          <w:p>
            <w:r>
              <w:rPr>
                <w:sz w:val="18"/>
              </w:rPr>
            </w:r>
            <w:r>
              <w:t>Sofas</w:t>
            </w:r>
          </w:p>
        </w:tc>
        <w:tc>
          <w:tcPr>
            <w:tcW w:type="dxa" w:w="1632"/>
          </w:tcPr>
          <w:p>
            <w:r>
              <w:rPr>
                <w:sz w:val="18"/>
              </w:rPr>
            </w:r>
            <w:r>
              <w:t>92,052</w:t>
            </w:r>
          </w:p>
        </w:tc>
        <w:tc>
          <w:tcPr>
            <w:tcW w:type="dxa" w:w="1632"/>
          </w:tcPr>
          <w:p>
            <w:r>
              <w:rPr>
                <w:sz w:val="18"/>
              </w:rPr>
            </w:r>
            <w:r>
              <w:t>98,984</w:t>
            </w:r>
          </w:p>
        </w:tc>
        <w:tc>
          <w:tcPr>
            <w:tcW w:type="dxa" w:w="1632"/>
          </w:tcPr>
          <w:p>
            <w:r>
              <w:rPr>
                <w:sz w:val="18"/>
              </w:rPr>
            </w:r>
            <w:r>
              <w:t>+6,932</w:t>
            </w:r>
          </w:p>
        </w:tc>
        <w:tc>
          <w:tcPr>
            <w:tcW w:type="dxa" w:w="1632"/>
          </w:tcPr>
          <w:p>
            <w:r>
              <w:rPr>
                <w:sz w:val="18"/>
              </w:rPr>
            </w:r>
            <w:r>
              <w:t>+7.5</w:t>
            </w:r>
          </w:p>
        </w:tc>
      </w:tr>
      <w:tr>
        <w:tc>
          <w:tcPr>
            <w:tcW w:type="dxa" w:w="1632"/>
          </w:tcPr>
          <w:p>
            <w:r>
              <w:rPr>
                <w:sz w:val="18"/>
              </w:rPr>
            </w:r>
            <w:r>
              <w:t>Office Supplies</w:t>
            </w:r>
          </w:p>
        </w:tc>
        <w:tc>
          <w:tcPr>
            <w:tcW w:type="dxa" w:w="1632"/>
          </w:tcPr>
          <w:p>
            <w:r>
              <w:rPr>
                <w:sz w:val="18"/>
              </w:rPr>
            </w:r>
            <w:r>
              <w:t>Markers</w:t>
            </w:r>
          </w:p>
        </w:tc>
        <w:tc>
          <w:tcPr>
            <w:tcW w:type="dxa" w:w="1632"/>
          </w:tcPr>
          <w:p>
            <w:r>
              <w:rPr>
                <w:sz w:val="18"/>
              </w:rPr>
            </w:r>
            <w:r>
              <w:t>100,742</w:t>
            </w:r>
          </w:p>
        </w:tc>
        <w:tc>
          <w:tcPr>
            <w:tcW w:type="dxa" w:w="1632"/>
          </w:tcPr>
          <w:p>
            <w:r>
              <w:rPr>
                <w:sz w:val="18"/>
              </w:rPr>
            </w:r>
            <w:r>
              <w:t>120,002</w:t>
            </w:r>
          </w:p>
        </w:tc>
        <w:tc>
          <w:tcPr>
            <w:tcW w:type="dxa" w:w="1632"/>
          </w:tcPr>
          <w:p>
            <w:r>
              <w:rPr>
                <w:sz w:val="18"/>
              </w:rPr>
            </w:r>
            <w:r>
              <w:t>+19,260</w:t>
            </w:r>
          </w:p>
        </w:tc>
        <w:tc>
          <w:tcPr>
            <w:tcW w:type="dxa" w:w="1632"/>
          </w:tcPr>
          <w:p>
            <w:r>
              <w:rPr>
                <w:sz w:val="18"/>
              </w:rPr>
            </w:r>
            <w:r>
              <w:t>+19.1</w:t>
            </w:r>
          </w:p>
        </w:tc>
      </w:tr>
      <w:tr>
        <w:tc>
          <w:tcPr>
            <w:tcW w:type="dxa" w:w="1632"/>
          </w:tcPr>
          <w:p>
            <w:r>
              <w:rPr>
                <w:sz w:val="18"/>
              </w:rPr>
            </w:r>
            <w:r>
              <w:t>Office Supplies</w:t>
            </w:r>
          </w:p>
        </w:tc>
        <w:tc>
          <w:tcPr>
            <w:tcW w:type="dxa" w:w="1632"/>
          </w:tcPr>
          <w:p>
            <w:r>
              <w:rPr>
                <w:sz w:val="18"/>
              </w:rPr>
            </w:r>
            <w:r>
              <w:t>Binders</w:t>
            </w:r>
          </w:p>
        </w:tc>
        <w:tc>
          <w:tcPr>
            <w:tcW w:type="dxa" w:w="1632"/>
          </w:tcPr>
          <w:p>
            <w:r>
              <w:rPr>
                <w:sz w:val="18"/>
              </w:rPr>
            </w:r>
            <w:r>
              <w:t>64,442</w:t>
            </w:r>
          </w:p>
        </w:tc>
        <w:tc>
          <w:tcPr>
            <w:tcW w:type="dxa" w:w="1632"/>
          </w:tcPr>
          <w:p>
            <w:r>
              <w:rPr>
                <w:sz w:val="18"/>
              </w:rPr>
            </w:r>
            <w:r>
              <w:t>88,011</w:t>
            </w:r>
          </w:p>
        </w:tc>
        <w:tc>
          <w:tcPr>
            <w:tcW w:type="dxa" w:w="1632"/>
          </w:tcPr>
          <w:p>
            <w:r>
              <w:rPr>
                <w:sz w:val="18"/>
              </w:rPr>
            </w:r>
            <w:r>
              <w:t>+23,569</w:t>
            </w:r>
          </w:p>
        </w:tc>
        <w:tc>
          <w:tcPr>
            <w:tcW w:type="dxa" w:w="1632"/>
          </w:tcPr>
          <w:p>
            <w:r>
              <w:rPr>
                <w:sz w:val="18"/>
              </w:rPr>
            </w:r>
            <w:r>
              <w:t>+36.6</w:t>
            </w:r>
          </w:p>
        </w:tc>
      </w:tr>
      <w:tr>
        <w:tc>
          <w:tcPr>
            <w:tcW w:type="dxa" w:w="1632"/>
          </w:tcPr>
          <w:p>
            <w:r>
              <w:rPr>
                <w:sz w:val="18"/>
              </w:rPr>
            </w:r>
            <w:r>
              <w:t>Office Supplies</w:t>
            </w:r>
          </w:p>
        </w:tc>
        <w:tc>
          <w:tcPr>
            <w:tcW w:type="dxa" w:w="1632"/>
          </w:tcPr>
          <w:p>
            <w:r>
              <w:rPr>
                <w:sz w:val="18"/>
              </w:rPr>
            </w:r>
            <w:r>
              <w:t>Pens</w:t>
            </w:r>
          </w:p>
        </w:tc>
        <w:tc>
          <w:tcPr>
            <w:tcW w:type="dxa" w:w="1632"/>
          </w:tcPr>
          <w:p>
            <w:r>
              <w:rPr>
                <w:sz w:val="18"/>
              </w:rPr>
            </w:r>
            <w:r>
              <w:t>82,959</w:t>
            </w:r>
          </w:p>
        </w:tc>
        <w:tc>
          <w:tcPr>
            <w:tcW w:type="dxa" w:w="1632"/>
          </w:tcPr>
          <w:p>
            <w:r>
              <w:rPr>
                <w:sz w:val="18"/>
              </w:rPr>
            </w:r>
            <w:r>
              <w:t>116,900</w:t>
            </w:r>
          </w:p>
        </w:tc>
        <w:tc>
          <w:tcPr>
            <w:tcW w:type="dxa" w:w="1632"/>
          </w:tcPr>
          <w:p>
            <w:r>
              <w:rPr>
                <w:sz w:val="18"/>
              </w:rPr>
            </w:r>
            <w:r>
              <w:t>+33,941</w:t>
            </w:r>
          </w:p>
        </w:tc>
        <w:tc>
          <w:tcPr>
            <w:tcW w:type="dxa" w:w="1632"/>
          </w:tcPr>
          <w:p>
            <w:r>
              <w:rPr>
                <w:sz w:val="18"/>
              </w:rPr>
            </w:r>
            <w:r>
              <w:t>+40.9</w:t>
            </w:r>
          </w:p>
        </w:tc>
      </w:tr>
      <w:tr>
        <w:tc>
          <w:tcPr>
            <w:tcW w:type="dxa" w:w="1632"/>
          </w:tcPr>
          <w:p>
            <w:r>
              <w:rPr>
                <w:sz w:val="18"/>
              </w:rPr>
            </w:r>
            <w:r>
              <w:t>Furniture</w:t>
            </w:r>
          </w:p>
        </w:tc>
        <w:tc>
          <w:tcPr>
            <w:tcW w:type="dxa" w:w="1632"/>
          </w:tcPr>
          <w:p>
            <w:r>
              <w:rPr>
                <w:sz w:val="18"/>
              </w:rPr>
            </w:r>
            <w:r>
              <w:t>Tables</w:t>
            </w:r>
          </w:p>
        </w:tc>
        <w:tc>
          <w:tcPr>
            <w:tcW w:type="dxa" w:w="1632"/>
          </w:tcPr>
          <w:p>
            <w:r>
              <w:rPr>
                <w:sz w:val="18"/>
              </w:rPr>
            </w:r>
            <w:r>
              <w:t>119,400</w:t>
            </w:r>
          </w:p>
        </w:tc>
        <w:tc>
          <w:tcPr>
            <w:tcW w:type="dxa" w:w="1632"/>
          </w:tcPr>
          <w:p>
            <w:r>
              <w:rPr>
                <w:sz w:val="18"/>
              </w:rPr>
            </w:r>
            <w:r>
              <w:t>155,834</w:t>
            </w:r>
          </w:p>
        </w:tc>
        <w:tc>
          <w:tcPr>
            <w:tcW w:type="dxa" w:w="1632"/>
          </w:tcPr>
          <w:p>
            <w:r>
              <w:rPr>
                <w:sz w:val="18"/>
              </w:rPr>
            </w:r>
            <w:r>
              <w:t>+36,434</w:t>
            </w:r>
          </w:p>
        </w:tc>
        <w:tc>
          <w:tcPr>
            <w:tcW w:type="dxa" w:w="1632"/>
          </w:tcPr>
          <w:p>
            <w:r>
              <w:rPr>
                <w:sz w:val="18"/>
              </w:rPr>
            </w:r>
            <w:r>
              <w:t>+30.5</w:t>
            </w:r>
          </w:p>
        </w:tc>
      </w:tr>
      <w:tr>
        <w:tc>
          <w:tcPr>
            <w:tcW w:type="dxa" w:w="1632"/>
          </w:tcPr>
          <w:p>
            <w:r>
              <w:rPr>
                <w:sz w:val="18"/>
              </w:rPr>
            </w:r>
            <w:r>
              <w:t>Office Supplies</w:t>
            </w:r>
          </w:p>
        </w:tc>
        <w:tc>
          <w:tcPr>
            <w:tcW w:type="dxa" w:w="1632"/>
          </w:tcPr>
          <w:p>
            <w:r>
              <w:rPr>
                <w:sz w:val="18"/>
              </w:rPr>
            </w:r>
            <w:r>
              <w:t>Paper</w:t>
            </w:r>
          </w:p>
        </w:tc>
        <w:tc>
          <w:tcPr>
            <w:tcW w:type="dxa" w:w="1632"/>
          </w:tcPr>
          <w:p>
            <w:r>
              <w:rPr>
                <w:sz w:val="18"/>
              </w:rPr>
            </w:r>
            <w:r>
              <w:t>57,368</w:t>
            </w:r>
          </w:p>
        </w:tc>
        <w:tc>
          <w:tcPr>
            <w:tcW w:type="dxa" w:w="1632"/>
          </w:tcPr>
          <w:p>
            <w:r>
              <w:rPr>
                <w:sz w:val="18"/>
              </w:rPr>
            </w:r>
            <w:r>
              <w:t>143,057</w:t>
            </w:r>
          </w:p>
        </w:tc>
        <w:tc>
          <w:tcPr>
            <w:tcW w:type="dxa" w:w="1632"/>
          </w:tcPr>
          <w:p>
            <w:r>
              <w:rPr>
                <w:sz w:val="18"/>
              </w:rPr>
            </w:r>
            <w:r>
              <w:rPr>
                <w:b/>
              </w:rPr>
              <w:t>+85,689</w:t>
            </w:r>
          </w:p>
        </w:tc>
        <w:tc>
          <w:tcPr>
            <w:tcW w:type="dxa" w:w="1632"/>
          </w:tcPr>
          <w:p>
            <w:r>
              <w:rPr>
                <w:sz w:val="18"/>
              </w:rPr>
            </w:r>
            <w:r>
              <w:rPr>
                <w:b/>
              </w:rPr>
              <w:t>+149.4</w:t>
            </w:r>
          </w:p>
        </w:tc>
      </w:tr>
    </w:tbl>
    <w:p/>
    <w:p>
      <w:r>
        <w:rPr>
          <w:b/>
        </w:rPr>
        <w:t>Business Interpretation — the headline finding.</w:t>
      </w:r>
      <w:r>
        <w:t xml:space="preserve"> The plateau is not broad weakness; it is </w:t>
      </w:r>
      <w:r>
        <w:rPr>
          <w:b/>
        </w:rPr>
        <w:t>concentrated in one sub-category</w:t>
      </w:r>
      <w:r>
        <w:t>. Printers alone lost 136,865 — more than half the entire 257,297 gap between the 2022 peak and 2024, and more than the next two decliners combined. Every one of the top four decliners is an Electronics line, and all four Electronics sub-categories fell. Meanwhile all four Office Supplies lines grew, led by Paper at +149.4%.</w:t>
      </w:r>
    </w:p>
    <w:p>
      <w:r>
        <w:t xml:space="preserve">The pattern is coherent enough to name a hypothesis: consumables (Paper, Pens, Binders, Markers) are growing while durable electronics hardware is falling away. That is the signature of either a supply problem on the hardware side — stockouts, a lost supplier, a discontinued line — or a deliberate customer shift toward repeat consumable purchasing. </w:t>
      </w:r>
      <w:r>
        <w:rPr>
          <w:b/>
        </w:rPr>
        <w:t>The immediate action is to check 2024 Printer stock availability and supplier status before any demand-side conclusion is drawn</w:t>
      </w:r>
      <w:r>
        <w:t>, because a supply failure and a demand collapse look identical in a sales table and require opposite responses.</w:t>
      </w:r>
    </w:p>
    <w:p>
      <w:pPr>
        <w:pStyle w:val="Heading3"/>
      </w:pPr>
      <w:r>
        <w:t>Q8 — Is the Q4 peak company-wide or category-specific? (Business Question 3)</w:t>
      </w:r>
    </w:p>
    <w:p>
      <w:r>
        <w:t>Quarterly revenue per category with a window function giving each quarter's share of that category's own total.</w:t>
      </w:r>
    </w:p>
    <w:tbl>
      <w:tblPr>
        <w:tblStyle w:val="LightGrid-Accent1"/>
        <w:tblW w:type="auto" w:w="0"/>
        <w:jc w:val="center"/>
        <w:tblLayout w:type="autofit"/>
        <w:tblLook w:firstColumn="1" w:firstRow="1" w:lastColumn="0" w:lastRow="0" w:noHBand="0" w:noVBand="1" w:val="04A0"/>
      </w:tblPr>
      <w:tblGrid>
        <w:gridCol w:w="1958"/>
        <w:gridCol w:w="1958"/>
        <w:gridCol w:w="1958"/>
        <w:gridCol w:w="1958"/>
        <w:gridCol w:w="1958"/>
      </w:tblGrid>
      <w:tr>
        <w:tc>
          <w:tcPr>
            <w:tcW w:type="dxa" w:w="1958"/>
          </w:tcPr>
          <w:p>
            <w:r>
              <w:rPr>
                <w:b/>
              </w:rPr>
            </w:r>
            <w:r>
              <w:rPr>
                <w:b/>
              </w:rPr>
              <w:t>category</w:t>
            </w:r>
          </w:p>
        </w:tc>
        <w:tc>
          <w:tcPr>
            <w:tcW w:type="dxa" w:w="1958"/>
          </w:tcPr>
          <w:p>
            <w:r>
              <w:rPr>
                <w:b/>
              </w:rPr>
            </w:r>
            <w:r>
              <w:rPr>
                <w:b/>
              </w:rPr>
              <w:t>Q1</w:t>
            </w:r>
          </w:p>
        </w:tc>
        <w:tc>
          <w:tcPr>
            <w:tcW w:type="dxa" w:w="1958"/>
          </w:tcPr>
          <w:p>
            <w:r>
              <w:rPr>
                <w:b/>
              </w:rPr>
            </w:r>
            <w:r>
              <w:rPr>
                <w:b/>
              </w:rPr>
              <w:t>Q2</w:t>
            </w:r>
          </w:p>
        </w:tc>
        <w:tc>
          <w:tcPr>
            <w:tcW w:type="dxa" w:w="1958"/>
          </w:tcPr>
          <w:p>
            <w:r>
              <w:rPr>
                <w:b/>
              </w:rPr>
            </w:r>
            <w:r>
              <w:rPr>
                <w:b/>
              </w:rPr>
              <w:t>Q3</w:t>
            </w:r>
          </w:p>
        </w:tc>
        <w:tc>
          <w:tcPr>
            <w:tcW w:type="dxa" w:w="1958"/>
          </w:tcPr>
          <w:p>
            <w:r>
              <w:rPr>
                <w:b/>
              </w:rPr>
            </w:r>
            <w:r>
              <w:rPr>
                <w:b/>
              </w:rPr>
              <w:t>Q4</w:t>
            </w:r>
          </w:p>
        </w:tc>
      </w:tr>
      <w:tr>
        <w:tc>
          <w:tcPr>
            <w:tcW w:type="dxa" w:w="1958"/>
          </w:tcPr>
          <w:p>
            <w:r>
              <w:rPr>
                <w:sz w:val="18"/>
              </w:rPr>
            </w:r>
            <w:r>
              <w:t>Electronics</w:t>
            </w:r>
          </w:p>
        </w:tc>
        <w:tc>
          <w:tcPr>
            <w:tcW w:type="dxa" w:w="1958"/>
          </w:tcPr>
          <w:p>
            <w:r>
              <w:rPr>
                <w:sz w:val="18"/>
              </w:rPr>
            </w:r>
            <w:r>
              <w:t>20.76%</w:t>
            </w:r>
          </w:p>
        </w:tc>
        <w:tc>
          <w:tcPr>
            <w:tcW w:type="dxa" w:w="1958"/>
          </w:tcPr>
          <w:p>
            <w:r>
              <w:rPr>
                <w:sz w:val="18"/>
              </w:rPr>
            </w:r>
            <w:r>
              <w:rPr>
                <w:b/>
              </w:rPr>
              <w:t>30.61%</w:t>
            </w:r>
          </w:p>
        </w:tc>
        <w:tc>
          <w:tcPr>
            <w:tcW w:type="dxa" w:w="1958"/>
          </w:tcPr>
          <w:p>
            <w:r>
              <w:rPr>
                <w:sz w:val="18"/>
              </w:rPr>
            </w:r>
            <w:r>
              <w:t>23.55%</w:t>
            </w:r>
          </w:p>
        </w:tc>
        <w:tc>
          <w:tcPr>
            <w:tcW w:type="dxa" w:w="1958"/>
          </w:tcPr>
          <w:p>
            <w:r>
              <w:rPr>
                <w:sz w:val="18"/>
              </w:rPr>
            </w:r>
            <w:r>
              <w:t>25.09%</w:t>
            </w:r>
          </w:p>
        </w:tc>
      </w:tr>
      <w:tr>
        <w:tc>
          <w:tcPr>
            <w:tcW w:type="dxa" w:w="1958"/>
          </w:tcPr>
          <w:p>
            <w:r>
              <w:rPr>
                <w:sz w:val="18"/>
              </w:rPr>
            </w:r>
            <w:r>
              <w:t>Furniture</w:t>
            </w:r>
          </w:p>
        </w:tc>
        <w:tc>
          <w:tcPr>
            <w:tcW w:type="dxa" w:w="1958"/>
          </w:tcPr>
          <w:p>
            <w:r>
              <w:rPr>
                <w:sz w:val="18"/>
              </w:rPr>
            </w:r>
            <w:r>
              <w:t>16.96%</w:t>
            </w:r>
          </w:p>
        </w:tc>
        <w:tc>
          <w:tcPr>
            <w:tcW w:type="dxa" w:w="1958"/>
          </w:tcPr>
          <w:p>
            <w:r>
              <w:rPr>
                <w:sz w:val="18"/>
              </w:rPr>
            </w:r>
            <w:r>
              <w:t>29.46%</w:t>
            </w:r>
          </w:p>
        </w:tc>
        <w:tc>
          <w:tcPr>
            <w:tcW w:type="dxa" w:w="1958"/>
          </w:tcPr>
          <w:p>
            <w:r>
              <w:rPr>
                <w:sz w:val="18"/>
              </w:rPr>
            </w:r>
            <w:r>
              <w:t>22.74%</w:t>
            </w:r>
          </w:p>
        </w:tc>
        <w:tc>
          <w:tcPr>
            <w:tcW w:type="dxa" w:w="1958"/>
          </w:tcPr>
          <w:p>
            <w:r>
              <w:rPr>
                <w:sz w:val="18"/>
              </w:rPr>
            </w:r>
            <w:r>
              <w:rPr>
                <w:b/>
              </w:rPr>
              <w:t>30.84%</w:t>
            </w:r>
          </w:p>
        </w:tc>
      </w:tr>
      <w:tr>
        <w:tc>
          <w:tcPr>
            <w:tcW w:type="dxa" w:w="1958"/>
          </w:tcPr>
          <w:p>
            <w:r>
              <w:rPr>
                <w:sz w:val="18"/>
              </w:rPr>
            </w:r>
            <w:r>
              <w:t>Office Supplies</w:t>
            </w:r>
          </w:p>
        </w:tc>
        <w:tc>
          <w:tcPr>
            <w:tcW w:type="dxa" w:w="1958"/>
          </w:tcPr>
          <w:p>
            <w:r>
              <w:rPr>
                <w:sz w:val="18"/>
              </w:rPr>
            </w:r>
            <w:r>
              <w:t>17.47%</w:t>
            </w:r>
          </w:p>
        </w:tc>
        <w:tc>
          <w:tcPr>
            <w:tcW w:type="dxa" w:w="1958"/>
          </w:tcPr>
          <w:p>
            <w:r>
              <w:rPr>
                <w:sz w:val="18"/>
              </w:rPr>
            </w:r>
            <w:r>
              <w:t>24.86%</w:t>
            </w:r>
          </w:p>
        </w:tc>
        <w:tc>
          <w:tcPr>
            <w:tcW w:type="dxa" w:w="1958"/>
          </w:tcPr>
          <w:p>
            <w:r>
              <w:rPr>
                <w:sz w:val="18"/>
              </w:rPr>
            </w:r>
            <w:r>
              <w:t>25.68%</w:t>
            </w:r>
          </w:p>
        </w:tc>
        <w:tc>
          <w:tcPr>
            <w:tcW w:type="dxa" w:w="1958"/>
          </w:tcPr>
          <w:p>
            <w:r>
              <w:rPr>
                <w:sz w:val="18"/>
              </w:rPr>
            </w:r>
            <w:r>
              <w:rPr>
                <w:b/>
              </w:rPr>
              <w:t>31.98%</w:t>
            </w:r>
          </w:p>
        </w:tc>
      </w:tr>
    </w:tbl>
    <w:p/>
    <w:p>
      <w:r>
        <w:rPr>
          <w:b/>
        </w:rPr>
        <w:t>Business Interpretation.</w:t>
      </w:r>
      <w:r>
        <w:t xml:space="preserve"> The company-wide Q4 peak is </w:t>
      </w:r>
      <w:r>
        <w:rPr>
          <w:b/>
        </w:rPr>
        <w:t>not universal</w:t>
      </w:r>
      <w:r>
        <w:t xml:space="preserve">, and this is the finding most likely to change how the business plans. Furniture and Office Supplies both peak in Q4 (30.8% and 32.0% of their own annual revenue), consistent with holiday and new-fiscal-year buying. </w:t>
      </w:r>
      <w:r>
        <w:rPr>
          <w:b/>
        </w:rPr>
        <w:t>Electronics does not</w:t>
      </w:r>
      <w:r>
        <w:t xml:space="preserve"> — it peaks in Q2 at 30.61% and Q4 is only its second-best quarter. Planning Electronics inventory against the blended company seasonal curve therefore over-stocks it in Q4 and under-stocks it in Q2, every year.</w:t>
      </w:r>
    </w:p>
    <w:p>
      <w:r>
        <w:t xml:space="preserve">The recommendation is to </w:t>
      </w:r>
      <w:r>
        <w:rPr>
          <w:b/>
        </w:rPr>
        <w:t>replace the single company seasonal curve with per-category curves</w:t>
      </w:r>
      <w:r>
        <w:t>: Q4-weighted for Furniture and Office Supplies, Q2-weighted for Electronics. Q1 is the weakest quarter for all three (17–21%), so it is the natural window for clearance and maintenance.</w:t>
      </w:r>
    </w:p>
    <w:p>
      <w:r>
        <w:br w:type="page"/>
      </w:r>
    </w:p>
    <w:p>
      <w:pPr>
        <w:pStyle w:val="Heading1"/>
      </w:pPr>
      <w:r>
        <w:t>Summary of Findings</w:t>
      </w:r>
    </w:p>
    <w:p>
      <w:pPr>
        <w:pStyle w:val="ListNumber"/>
      </w:pPr>
      <w:r>
        <w:rPr>
          <w:b/>
        </w:rPr>
        <w:t>Growth stopped in 2022.</w:t>
      </w:r>
      <w:r>
        <w:t xml:space="preserve"> Revenue is 17.6% below its peak, but margin never moved and average order value never moved — the company is writing fewer orders, not worse ones. </w:t>
      </w:r>
      <w:r>
        <w:rPr>
          <w:i/>
        </w:rPr>
        <w:t>(Q3)</w:t>
      </w:r>
    </w:p>
    <w:p>
      <w:pPr>
        <w:pStyle w:val="ListNumber"/>
      </w:pPr>
      <w:r>
        <w:rPr>
          <w:b/>
        </w:rPr>
        <w:t>One sub-category explains most of it.</w:t>
      </w:r>
      <w:r>
        <w:t xml:space="preserve"> Printers lost 136,865 between 2023 and 2024, over half the entire peak-to-2024 gap. All Electronics fell; all Office Supplies grew. </w:t>
      </w:r>
      <w:r>
        <w:rPr>
          <w:i/>
        </w:rPr>
        <w:t>(Q5, Q7)</w:t>
      </w:r>
    </w:p>
    <w:p>
      <w:pPr>
        <w:pStyle w:val="ListNumber"/>
      </w:pPr>
      <w:r>
        <w:rPr>
          <w:b/>
        </w:rPr>
        <w:t>Seasonality is category-specific.</w:t>
      </w:r>
      <w:r>
        <w:t xml:space="preserve"> Electronics peaks in Q2, Furniture and Office Supplies in Q4. The blended curve currently used for planning is wrong for all three. </w:t>
      </w:r>
      <w:r>
        <w:rPr>
          <w:i/>
        </w:rPr>
        <w:t>(Q4, Q8)</w:t>
      </w:r>
    </w:p>
    <w:p>
      <w:pPr>
        <w:pStyle w:val="ListNumber"/>
      </w:pPr>
      <w:r>
        <w:rPr>
          <w:b/>
        </w:rPr>
        <w:t>Geography is not a factor.</w:t>
      </w:r>
      <w:r>
        <w:t xml:space="preserve"> State revenue spans only 28% over five years; the problem is national and product-driven. </w:t>
      </w:r>
      <w:r>
        <w:rPr>
          <w:i/>
        </w:rPr>
        <w:t>(Q6)</w:t>
      </w:r>
    </w:p>
    <w:p>
      <w:r>
        <w:rPr>
          <w:b/>
        </w:rPr>
        <w:t>Recommended next step for Checkpoint 2:</w:t>
      </w:r>
      <w:r>
        <w:t xml:space="preserve"> verify the Printer supply hypothesis against stock and supplier records, then model monthly revenue with per-category seasonal terms rather than a single company-wide index.</w:t>
      </w:r>
    </w:p>
    <w:p>
      <w:r>
        <w:rPr>
          <w:b/>
        </w:rPr>
        <w:t>Stated limitation.</w:t>
      </w:r>
      <w:r>
        <w:t xml:space="preserve"> As noted in Task 1.2, the source file contains no loss-making transactions and an implausibly even payment-method split, so it is likely synthetic. The analysis method, schema and queries are valid; the specific figures should be presented as a modelling exercise rather than as a real company's trading results.</w:t>
      </w:r>
    </w:p>
    <w:p>
      <w:r>
        <w:br w:type="page"/>
      </w:r>
    </w:p>
    <w:p>
      <w:pPr>
        <w:pStyle w:val="Heading1"/>
      </w:pPr>
      <w:r>
        <w:t>Reproducibility</w:t>
      </w:r>
    </w:p>
    <w:p>
      <w:pPr>
        <w:spacing w:before="80" w:after="160"/>
        <w:ind w:left="360"/>
      </w:pPr>
      <w:r>
        <w:rPr>
          <w:rFonts w:ascii="Consolas" w:hAnsi="Consolas"/>
          <w:color w:val="333D47"/>
          <w:sz w:val="17"/>
        </w:rPr>
        <w:t>python3 scripts/clean_and_load.py   # clean, normalise, load, verify integrity</w:t>
        <w:br/>
        <w:t>python3 scripts/run_queries.py      # run all 8 queries, capture real results</w:t>
        <w:br/>
        <w:t>python3 scripts/make_figures.py     # regenerate Figures 1-3</w:t>
      </w:r>
    </w:p>
    <w:tbl>
      <w:tblPr>
        <w:tblStyle w:val="LightGrid-Accent1"/>
        <w:tblW w:type="auto" w:w="0"/>
        <w:jc w:val="center"/>
        <w:tblLayout w:type="autofit"/>
        <w:tblLook w:firstColumn="1" w:firstRow="1" w:lastColumn="0" w:lastRow="0" w:noHBand="0" w:noVBand="1" w:val="04A0"/>
      </w:tblPr>
      <w:tblGrid>
        <w:gridCol w:w="4896"/>
        <w:gridCol w:w="4896"/>
      </w:tblGrid>
      <w:tr>
        <w:tc>
          <w:tcPr>
            <w:tcW w:type="dxa" w:w="4896"/>
          </w:tcPr>
          <w:p>
            <w:r>
              <w:rPr>
                <w:b/>
              </w:rPr>
            </w:r>
            <w:r>
              <w:rPr>
                <w:b/>
              </w:rPr>
              <w:t>Artefact</w:t>
            </w:r>
          </w:p>
        </w:tc>
        <w:tc>
          <w:tcPr>
            <w:tcW w:type="dxa" w:w="4896"/>
          </w:tcPr>
          <w:p>
            <w:r>
              <w:rPr>
                <w:b/>
              </w:rPr>
            </w:r>
            <w:r>
              <w:rPr>
                <w:b/>
              </w:rPr>
              <w:t>Path</w:t>
            </w:r>
          </w:p>
        </w:tc>
      </w:tr>
      <w:tr>
        <w:tc>
          <w:tcPr>
            <w:tcW w:type="dxa" w:w="4896"/>
          </w:tcPr>
          <w:p>
            <w:r>
              <w:rPr>
                <w:sz w:val="18"/>
              </w:rPr>
            </w:r>
            <w:r>
              <w:t>Raw data</w:t>
            </w:r>
          </w:p>
        </w:tc>
        <w:tc>
          <w:tcPr>
            <w:tcW w:type="dxa" w:w="4896"/>
          </w:tcPr>
          <w:p>
            <w:r>
              <w:rPr>
                <w:sz w:val="18"/>
              </w:rPr>
            </w:r>
            <w:r>
              <w:rPr>
                <w:rFonts w:ascii="Consolas" w:hAnsi="Consolas"/>
                <w:color w:val="2F6F9F"/>
                <w:sz w:val="18"/>
              </w:rPr>
              <w:t>data/raw/sales_dataset_raw.csv</w:t>
            </w:r>
          </w:p>
        </w:tc>
      </w:tr>
      <w:tr>
        <w:tc>
          <w:tcPr>
            <w:tcW w:type="dxa" w:w="4896"/>
          </w:tcPr>
          <w:p>
            <w:r>
              <w:rPr>
                <w:sz w:val="18"/>
              </w:rPr>
            </w:r>
            <w:r>
              <w:t>Cleaned tables</w:t>
            </w:r>
          </w:p>
        </w:tc>
        <w:tc>
          <w:tcPr>
            <w:tcW w:type="dxa" w:w="4896"/>
          </w:tcPr>
          <w:p>
            <w:r>
              <w:rPr>
                <w:sz w:val="18"/>
              </w:rPr>
            </w:r>
            <w:r>
              <w:rPr>
                <w:rFonts w:ascii="Consolas" w:hAnsi="Consolas"/>
                <w:color w:val="2F6F9F"/>
                <w:sz w:val="18"/>
              </w:rPr>
              <w:t>data/processed/*.csv</w:t>
            </w:r>
          </w:p>
        </w:tc>
      </w:tr>
      <w:tr>
        <w:tc>
          <w:tcPr>
            <w:tcW w:type="dxa" w:w="4896"/>
          </w:tcPr>
          <w:p>
            <w:r>
              <w:rPr>
                <w:sz w:val="18"/>
              </w:rPr>
            </w:r>
            <w:r>
              <w:t>MySQL schema</w:t>
            </w:r>
          </w:p>
        </w:tc>
        <w:tc>
          <w:tcPr>
            <w:tcW w:type="dxa" w:w="4896"/>
          </w:tcPr>
          <w:p>
            <w:r>
              <w:rPr>
                <w:sz w:val="18"/>
              </w:rPr>
            </w:r>
            <w:r>
              <w:rPr>
                <w:rFonts w:ascii="Consolas" w:hAnsi="Consolas"/>
                <w:color w:val="2F6F9F"/>
                <w:sz w:val="18"/>
              </w:rPr>
              <w:t>sql/01_schema_mysql.sql</w:t>
            </w:r>
          </w:p>
        </w:tc>
      </w:tr>
      <w:tr>
        <w:tc>
          <w:tcPr>
            <w:tcW w:type="dxa" w:w="4896"/>
          </w:tcPr>
          <w:p>
            <w:r>
              <w:rPr>
                <w:sz w:val="18"/>
              </w:rPr>
            </w:r>
            <w:r>
              <w:t>Generated INSERTs</w:t>
            </w:r>
          </w:p>
        </w:tc>
        <w:tc>
          <w:tcPr>
            <w:tcW w:type="dxa" w:w="4896"/>
          </w:tcPr>
          <w:p>
            <w:r>
              <w:rPr>
                <w:sz w:val="18"/>
              </w:rPr>
            </w:r>
            <w:r>
              <w:rPr>
                <w:rFonts w:ascii="Consolas" w:hAnsi="Consolas"/>
                <w:color w:val="2F6F9F"/>
                <w:sz w:val="18"/>
              </w:rPr>
              <w:t>sql/03_insert_data.sql</w:t>
            </w:r>
          </w:p>
        </w:tc>
      </w:tr>
      <w:tr>
        <w:tc>
          <w:tcPr>
            <w:tcW w:type="dxa" w:w="4896"/>
          </w:tcPr>
          <w:p>
            <w:r>
              <w:rPr>
                <w:sz w:val="18"/>
              </w:rPr>
            </w:r>
            <w:r>
              <w:t>Query set</w:t>
            </w:r>
          </w:p>
        </w:tc>
        <w:tc>
          <w:tcPr>
            <w:tcW w:type="dxa" w:w="4896"/>
          </w:tcPr>
          <w:p>
            <w:r>
              <w:rPr>
                <w:sz w:val="18"/>
              </w:rPr>
            </w:r>
            <w:r>
              <w:rPr>
                <w:rFonts w:ascii="Consolas" w:hAnsi="Consolas"/>
                <w:color w:val="2F6F9F"/>
                <w:sz w:val="18"/>
              </w:rPr>
              <w:t>sql/04_queries.sql</w:t>
            </w:r>
          </w:p>
        </w:tc>
      </w:tr>
      <w:tr>
        <w:tc>
          <w:tcPr>
            <w:tcW w:type="dxa" w:w="4896"/>
          </w:tcPr>
          <w:p>
            <w:r>
              <w:rPr>
                <w:sz w:val="18"/>
              </w:rPr>
            </w:r>
            <w:r>
              <w:t>Full query output</w:t>
            </w:r>
          </w:p>
        </w:tc>
        <w:tc>
          <w:tcPr>
            <w:tcW w:type="dxa" w:w="4896"/>
          </w:tcPr>
          <w:p>
            <w:r>
              <w:rPr>
                <w:sz w:val="18"/>
              </w:rPr>
            </w:r>
            <w:r>
              <w:rPr>
                <w:rFonts w:ascii="Consolas" w:hAnsi="Consolas"/>
                <w:color w:val="2F6F9F"/>
                <w:sz w:val="18"/>
              </w:rPr>
              <w:t>reports/query_results.md</w:t>
            </w:r>
          </w:p>
        </w:tc>
      </w:tr>
      <w:tr>
        <w:tc>
          <w:tcPr>
            <w:tcW w:type="dxa" w:w="4896"/>
          </w:tcPr>
          <w:p>
            <w:r>
              <w:rPr>
                <w:sz w:val="18"/>
              </w:rPr>
            </w:r>
            <w:r>
              <w:t>Data quality evidence</w:t>
            </w:r>
          </w:p>
        </w:tc>
        <w:tc>
          <w:tcPr>
            <w:tcW w:type="dxa" w:w="4896"/>
          </w:tcPr>
          <w:p>
            <w:r>
              <w:rPr>
                <w:sz w:val="18"/>
              </w:rPr>
            </w:r>
            <w:r>
              <w:rPr>
                <w:rFonts w:ascii="Consolas" w:hAnsi="Consolas"/>
                <w:color w:val="2F6F9F"/>
                <w:sz w:val="18"/>
              </w:rPr>
              <w:t>reports/data_quality_report.md</w:t>
            </w:r>
          </w:p>
        </w:tc>
      </w:tr>
      <w:tr>
        <w:tc>
          <w:tcPr>
            <w:tcW w:type="dxa" w:w="4896"/>
          </w:tcPr>
          <w:p>
            <w:r>
              <w:rPr>
                <w:sz w:val="18"/>
              </w:rPr>
            </w:r>
            <w:r>
              <w:t>ERD</w:t>
            </w:r>
          </w:p>
        </w:tc>
        <w:tc>
          <w:tcPr>
            <w:tcW w:type="dxa" w:w="4896"/>
          </w:tcPr>
          <w:p>
            <w:r>
              <w:rPr>
                <w:sz w:val="18"/>
              </w:rPr>
            </w:r>
            <w:r>
              <w:rPr>
                <w:rFonts w:ascii="Consolas" w:hAnsi="Consolas"/>
                <w:color w:val="2F6F9F"/>
                <w:sz w:val="18"/>
              </w:rPr>
              <w:t>docs/erd.md</w:t>
            </w:r>
          </w:p>
        </w:tc>
      </w:tr>
    </w:tbl>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2F6F9F"/>
      <w:sz w:val="36"/>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29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