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Trend Analysis — Recording Script</w:t>
      </w:r>
    </w:p>
    <w:p>
      <w:r>
        <w:rPr>
          <w:b/>
        </w:rPr>
        <w:t>BED 106 Business Analytics — Mini Capstone Project</w:t>
      </w:r>
      <w:r>
        <w:t xml:space="preserve"> Talibon Polytechnic College</w:t>
      </w:r>
    </w:p>
    <w:p>
      <w:r>
        <w:rPr>
          <w:b/>
        </w:rPr>
        <w:t>Julebeth's part.</w:t>
      </w:r>
      <w:r>
        <w:t xml:space="preserve"> Each speaker records their own part straight through, in their own time and place. Nobody waits for a cue, nobody answers anybody, and nobody states a role — each part simply continues the explanation where the last one stopped. Alber joins them in order afterwards.</w:t>
      </w:r>
    </w:p>
    <w:tbl>
      <w:tblPr>
        <w:tblStyle w:val="LightGrid-Accent1"/>
        <w:tblW w:type="auto" w:w="0"/>
        <w:jc w:val="center"/>
        <w:tblLayout w:type="autofit"/>
        <w:tblLook w:firstColumn="1" w:firstRow="1" w:lastColumn="0" w:lastRow="0" w:noHBand="0" w:noVBand="1" w:val="04A0"/>
      </w:tblPr>
      <w:tblGrid>
        <w:gridCol w:w="2340"/>
        <w:gridCol w:w="2340"/>
        <w:gridCol w:w="2340"/>
        <w:gridCol w:w="2340"/>
      </w:tblGrid>
      <w:tr>
        <w:tc>
          <w:tcPr>
            <w:tcW w:type="dxa" w:w="2340"/>
          </w:tcPr>
          <w:p>
            <w:r>
              <w:rPr>
                <w:b/>
              </w:rPr>
            </w:r>
            <w:r>
              <w:rPr>
                <w:b/>
              </w:rPr>
              <w:t>Part</w:t>
            </w:r>
          </w:p>
        </w:tc>
        <w:tc>
          <w:tcPr>
            <w:tcW w:type="dxa" w:w="2340"/>
          </w:tcPr>
          <w:p>
            <w:r>
              <w:rPr>
                <w:b/>
              </w:rPr>
            </w:r>
            <w:r>
              <w:rPr>
                <w:b/>
              </w:rPr>
              <w:t>Speaker</w:t>
            </w:r>
          </w:p>
        </w:tc>
        <w:tc>
          <w:tcPr>
            <w:tcW w:type="dxa" w:w="2340"/>
          </w:tcPr>
          <w:p>
            <w:r>
              <w:rPr>
                <w:b/>
              </w:rPr>
            </w:r>
            <w:r>
              <w:rPr>
                <w:b/>
              </w:rPr>
              <w:t>Covers</w:t>
            </w:r>
          </w:p>
        </w:tc>
        <w:tc>
          <w:tcPr>
            <w:tcW w:type="dxa" w:w="2340"/>
          </w:tcPr>
          <w:p>
            <w:r>
              <w:rPr>
                <w:b/>
              </w:rPr>
            </w:r>
            <w:r>
              <w:rPr>
                <w:b/>
              </w:rPr>
              <w:t>Approx</w:t>
            </w:r>
          </w:p>
        </w:tc>
      </w:tr>
      <w:tr>
        <w:tc>
          <w:tcPr>
            <w:tcW w:type="dxa" w:w="2340"/>
          </w:tcPr>
          <w:p>
            <w:pPr>
              <w:spacing w:line="240" w:lineRule="auto"/>
            </w:pPr>
            <w:r>
              <w:rPr>
                <w:sz w:val="18"/>
              </w:rPr>
            </w:r>
            <w:r>
              <w:rPr>
                <w:sz w:val="18"/>
              </w:rPr>
              <w:t>1</w:t>
            </w:r>
          </w:p>
        </w:tc>
        <w:tc>
          <w:tcPr>
            <w:tcW w:type="dxa" w:w="2340"/>
          </w:tcPr>
          <w:p>
            <w:pPr>
              <w:spacing w:line="240" w:lineRule="auto"/>
            </w:pPr>
            <w:r>
              <w:rPr>
                <w:sz w:val="18"/>
              </w:rPr>
            </w:r>
            <w:r>
              <w:rPr>
                <w:sz w:val="18"/>
              </w:rPr>
              <w:t>Alber</w:t>
            </w:r>
          </w:p>
        </w:tc>
        <w:tc>
          <w:tcPr>
            <w:tcW w:type="dxa" w:w="2340"/>
          </w:tcPr>
          <w:p>
            <w:pPr>
              <w:spacing w:line="240" w:lineRule="auto"/>
            </w:pPr>
            <w:r>
              <w:rPr>
                <w:sz w:val="18"/>
              </w:rPr>
            </w:r>
            <w:r>
              <w:rPr>
                <w:sz w:val="18"/>
              </w:rPr>
              <w:t>Opening; the business problem and the three questions</w:t>
            </w:r>
          </w:p>
        </w:tc>
        <w:tc>
          <w:tcPr>
            <w:tcW w:type="dxa" w:w="2340"/>
          </w:tcPr>
          <w:p>
            <w:pPr>
              <w:spacing w:line="240" w:lineRule="auto"/>
            </w:pPr>
            <w:r>
              <w:rPr>
                <w:sz w:val="18"/>
              </w:rPr>
            </w:r>
            <w:r>
              <w:rPr>
                <w:sz w:val="18"/>
              </w:rPr>
              <w:t>3:00</w:t>
            </w:r>
          </w:p>
        </w:tc>
      </w:tr>
      <w:tr>
        <w:tc>
          <w:tcPr>
            <w:tcW w:type="dxa" w:w="2340"/>
          </w:tcPr>
          <w:p>
            <w:pPr>
              <w:spacing w:line="240" w:lineRule="auto"/>
            </w:pPr>
            <w:r>
              <w:rPr>
                <w:sz w:val="18"/>
              </w:rPr>
            </w:r>
            <w:r>
              <w:rPr>
                <w:sz w:val="18"/>
              </w:rPr>
              <w:t>2</w:t>
            </w:r>
          </w:p>
        </w:tc>
        <w:tc>
          <w:tcPr>
            <w:tcW w:type="dxa" w:w="2340"/>
          </w:tcPr>
          <w:p>
            <w:pPr>
              <w:spacing w:line="240" w:lineRule="auto"/>
            </w:pPr>
            <w:r>
              <w:rPr>
                <w:sz w:val="18"/>
              </w:rPr>
            </w:r>
            <w:r>
              <w:rPr>
                <w:sz w:val="18"/>
              </w:rPr>
              <w:t>Julebeth</w:t>
            </w:r>
          </w:p>
        </w:tc>
        <w:tc>
          <w:tcPr>
            <w:tcW w:type="dxa" w:w="2340"/>
          </w:tcPr>
          <w:p>
            <w:pPr>
              <w:spacing w:line="240" w:lineRule="auto"/>
            </w:pPr>
            <w:r>
              <w:rPr>
                <w:sz w:val="18"/>
              </w:rPr>
            </w:r>
            <w:r>
              <w:rPr>
                <w:sz w:val="18"/>
              </w:rPr>
              <w:t>Checkpoint 1 — the dataset, the database, the eight queries and what they found</w:t>
            </w:r>
          </w:p>
        </w:tc>
        <w:tc>
          <w:tcPr>
            <w:tcW w:type="dxa" w:w="2340"/>
          </w:tcPr>
          <w:p>
            <w:pPr>
              <w:spacing w:line="240" w:lineRule="auto"/>
            </w:pPr>
            <w:r>
              <w:rPr>
                <w:sz w:val="18"/>
              </w:rPr>
            </w:r>
            <w:r>
              <w:rPr>
                <w:sz w:val="18"/>
              </w:rPr>
              <w:t>6:40</w:t>
            </w:r>
          </w:p>
        </w:tc>
      </w:tr>
      <w:tr>
        <w:tc>
          <w:tcPr>
            <w:tcW w:type="dxa" w:w="2340"/>
          </w:tcPr>
          <w:p>
            <w:pPr>
              <w:spacing w:line="240" w:lineRule="auto"/>
            </w:pPr>
            <w:r>
              <w:rPr>
                <w:sz w:val="18"/>
              </w:rPr>
            </w:r>
            <w:r>
              <w:rPr>
                <w:sz w:val="18"/>
              </w:rPr>
              <w:t>3</w:t>
            </w:r>
          </w:p>
        </w:tc>
        <w:tc>
          <w:tcPr>
            <w:tcW w:type="dxa" w:w="2340"/>
          </w:tcPr>
          <w:p>
            <w:pPr>
              <w:spacing w:line="240" w:lineRule="auto"/>
            </w:pPr>
            <w:r>
              <w:rPr>
                <w:sz w:val="18"/>
              </w:rPr>
            </w:r>
            <w:r>
              <w:rPr>
                <w:sz w:val="18"/>
              </w:rPr>
              <w:t>Alber</w:t>
            </w:r>
          </w:p>
        </w:tc>
        <w:tc>
          <w:tcPr>
            <w:tcW w:type="dxa" w:w="2340"/>
          </w:tcPr>
          <w:p>
            <w:pPr>
              <w:spacing w:line="240" w:lineRule="auto"/>
            </w:pPr>
            <w:r>
              <w:rPr>
                <w:sz w:val="18"/>
              </w:rPr>
            </w:r>
            <w:r>
              <w:rPr>
                <w:sz w:val="18"/>
              </w:rPr>
              <w:t>The Checkpoint 2 workbook</w:t>
            </w:r>
          </w:p>
        </w:tc>
        <w:tc>
          <w:tcPr>
            <w:tcW w:type="dxa" w:w="2340"/>
          </w:tcPr>
          <w:p>
            <w:pPr>
              <w:spacing w:line="240" w:lineRule="auto"/>
            </w:pPr>
            <w:r>
              <w:rPr>
                <w:sz w:val="18"/>
              </w:rPr>
            </w:r>
            <w:r>
              <w:rPr>
                <w:sz w:val="18"/>
              </w:rPr>
              <w:t>1:30</w:t>
            </w:r>
          </w:p>
        </w:tc>
      </w:tr>
      <w:tr>
        <w:tc>
          <w:tcPr>
            <w:tcW w:type="dxa" w:w="2340"/>
          </w:tcPr>
          <w:p>
            <w:pPr>
              <w:spacing w:line="240" w:lineRule="auto"/>
            </w:pPr>
            <w:r>
              <w:rPr>
                <w:sz w:val="18"/>
              </w:rPr>
            </w:r>
            <w:r>
              <w:rPr>
                <w:sz w:val="18"/>
              </w:rPr>
              <w:t>4</w:t>
            </w:r>
          </w:p>
        </w:tc>
        <w:tc>
          <w:tcPr>
            <w:tcW w:type="dxa" w:w="2340"/>
          </w:tcPr>
          <w:p>
            <w:pPr>
              <w:spacing w:line="240" w:lineRule="auto"/>
            </w:pPr>
            <w:r>
              <w:rPr>
                <w:sz w:val="18"/>
              </w:rPr>
            </w:r>
            <w:r>
              <w:rPr>
                <w:sz w:val="18"/>
              </w:rPr>
              <w:t>Mardy</w:t>
            </w:r>
          </w:p>
        </w:tc>
        <w:tc>
          <w:tcPr>
            <w:tcW w:type="dxa" w:w="2340"/>
          </w:tcPr>
          <w:p>
            <w:pPr>
              <w:spacing w:line="240" w:lineRule="auto"/>
            </w:pPr>
            <w:r>
              <w:rPr>
                <w:sz w:val="18"/>
              </w:rPr>
            </w:r>
            <w:r>
              <w:rPr>
                <w:sz w:val="18"/>
              </w:rPr>
              <w:t>Checkpoint 2 — descriptive statistics, correlation, regression, the trend and the forecast</w:t>
            </w:r>
          </w:p>
        </w:tc>
        <w:tc>
          <w:tcPr>
            <w:tcW w:type="dxa" w:w="2340"/>
          </w:tcPr>
          <w:p>
            <w:pPr>
              <w:spacing w:line="240" w:lineRule="auto"/>
            </w:pPr>
            <w:r>
              <w:rPr>
                <w:sz w:val="18"/>
              </w:rPr>
            </w:r>
            <w:r>
              <w:rPr>
                <w:sz w:val="18"/>
              </w:rPr>
              <w:t>6:25</w:t>
            </w:r>
          </w:p>
        </w:tc>
      </w:tr>
      <w:tr>
        <w:tc>
          <w:tcPr>
            <w:tcW w:type="dxa" w:w="2340"/>
          </w:tcPr>
          <w:p>
            <w:pPr>
              <w:spacing w:line="240" w:lineRule="auto"/>
            </w:pPr>
            <w:r>
              <w:rPr>
                <w:sz w:val="18"/>
              </w:rPr>
            </w:r>
            <w:r>
              <w:rPr>
                <w:sz w:val="18"/>
              </w:rPr>
              <w:t>5</w:t>
            </w:r>
          </w:p>
        </w:tc>
        <w:tc>
          <w:tcPr>
            <w:tcW w:type="dxa" w:w="2340"/>
          </w:tcPr>
          <w:p>
            <w:pPr>
              <w:spacing w:line="240" w:lineRule="auto"/>
            </w:pPr>
            <w:r>
              <w:rPr>
                <w:sz w:val="18"/>
              </w:rPr>
            </w:r>
            <w:r>
              <w:rPr>
                <w:sz w:val="18"/>
              </w:rPr>
              <w:t>Alber</w:t>
            </w:r>
          </w:p>
        </w:tc>
        <w:tc>
          <w:tcPr>
            <w:tcW w:type="dxa" w:w="2340"/>
          </w:tcPr>
          <w:p>
            <w:pPr>
              <w:spacing w:line="240" w:lineRule="auto"/>
            </w:pPr>
            <w:r>
              <w:rPr>
                <w:sz w:val="18"/>
              </w:rPr>
            </w:r>
            <w:r>
              <w:rPr>
                <w:sz w:val="18"/>
              </w:rPr>
              <w:t>The correction, what it means for the business, the questions, the close</w:t>
            </w:r>
          </w:p>
        </w:tc>
        <w:tc>
          <w:tcPr>
            <w:tcW w:type="dxa" w:w="2340"/>
          </w:tcPr>
          <w:p>
            <w:pPr>
              <w:spacing w:line="240" w:lineRule="auto"/>
            </w:pPr>
            <w:r>
              <w:rPr>
                <w:sz w:val="18"/>
              </w:rPr>
            </w:r>
            <w:r>
              <w:rPr>
                <w:sz w:val="18"/>
              </w:rPr>
              <w:t>6:00</w:t>
            </w:r>
          </w:p>
        </w:tc>
      </w:tr>
    </w:tbl>
    <w:p>
      <w:pPr>
        <w:spacing w:after="200" w:line="240" w:lineRule="auto"/>
        <w:jc w:val="center"/>
      </w:pPr>
      <w:r>
        <w:rPr>
          <w:i/>
          <w:color w:val="7B8994"/>
          <w:sz w:val="20"/>
        </w:rPr>
        <w:t>Table 1. Sales Trend Analysis — Recording Script</w:t>
      </w:r>
    </w:p>
    <w:p>
      <w:r>
        <w:t xml:space="preserve">Roughly </w:t>
      </w:r>
      <w:r>
        <w:rPr>
          <w:b/>
        </w:rPr>
        <w:t>23 minutes</w:t>
      </w:r>
      <w:r>
        <w:t xml:space="preserve"> assembled — about </w:t>
      </w:r>
      <w:r>
        <w:rPr>
          <w:b/>
        </w:rPr>
        <w:t>10:30</w:t>
      </w:r>
      <w:r>
        <w:t xml:space="preserve"> of it Alber, and </w:t>
      </w:r>
      <w:r>
        <w:rPr>
          <w:b/>
        </w:rPr>
        <w:t>6:30</w:t>
      </w:r>
      <w:r>
        <w:t xml:space="preserve"> each for Julebeth and Mardy. Alber records three separate files; Julebeth and Mardy record one each.</w:t>
      </w:r>
    </w:p>
    <w:p>
      <w:r>
        <w:t>If you were given a time limit shorter than that, the two places to cut are the descriptive statistics and the correlation in Part 4 — each survives as two sentences. Do not cut a whole task; the brief's tasks are what is being marked.</w:t>
      </w:r>
    </w:p>
    <w:p>
      <w:r>
        <w:br w:type="page"/>
      </w:r>
    </w:p>
    <w:p>
      <w:pPr>
        <w:pStyle w:val="Heading2"/>
      </w:pPr>
      <w:r>
        <w:t>Before you record</w:t>
      </w:r>
    </w:p>
    <w:p>
      <w:r>
        <w:rPr>
          <w:b/>
        </w:rPr>
        <w:t>Read this part first. It affects your marks.</w:t>
      </w:r>
    </w:p>
    <w:p>
      <w:r>
        <w:t xml:space="preserve">Section 3.2 of the brief states that AI-generated analysis is not permitted and that insights must be derived by the students themselves. This script was drafted with AI assistance, so </w:t>
      </w:r>
      <w:r>
        <w:rPr>
          <w:b/>
        </w:rPr>
        <w:t>do not read it out as written</w:t>
      </w:r>
      <w:r>
        <w:t xml:space="preserve">. Use it the way you would use a lecture outline: it tells you </w:t>
      </w:r>
      <w:r>
        <w:rPr>
          <w:i/>
        </w:rPr>
        <w:t>what to cover, in what order, and which number belongs where</w:t>
      </w:r>
      <w:r>
        <w:t>. The sentences that come out of your mouth have to be yours.</w:t>
      </w:r>
    </w:p>
    <w:p>
      <w:r>
        <w:t xml:space="preserve">The practical test: read a section's beats, close the script, and say the same thing in your own words. If you cannot say it without looking, you do not understand it yet — and Section 1.4 lets the instructor ask </w:t>
      </w:r>
      <w:r>
        <w:rPr>
          <w:b/>
        </w:rPr>
        <w:t>any member</w:t>
      </w:r>
      <w:r>
        <w:t xml:space="preserve"> to explain </w:t>
      </w:r>
      <w:r>
        <w:rPr>
          <w:b/>
        </w:rPr>
        <w:t>any part</w:t>
      </w:r>
      <w:r>
        <w:t xml:space="preserve"> of the project, recording or no recording.</w:t>
      </w:r>
    </w:p>
    <w:p>
      <w:r>
        <w:t>Every figure quoted here has been checked against the database. If you are asked where a number comes from, the answer is always a specific query or a specific worksheet cell, and those are named beside each section.</w:t>
      </w:r>
    </w:p>
    <w:p>
      <w:r>
        <w:br w:type="page"/>
      </w:r>
    </w:p>
    <w:p>
      <w:pPr>
        <w:pStyle w:val="Heading2"/>
      </w:pPr>
      <w:r>
        <w:t>How to record your part</w:t>
      </w:r>
    </w:p>
    <w:p>
      <w:r>
        <w:rPr>
          <w:b/>
        </w:rPr>
        <w:t>Say your name once, at the start of your first part.</w:t>
      </w:r>
      <w:r>
        <w:t xml:space="preserve"> Just the name — your instructor is matching a voice to a name for a mark under Section 1.4, and the video may not show your face. Alber records three parts and only needs to do this in Part 1; the later two just continue.</w:t>
      </w:r>
    </w:p>
    <w:p>
      <w:r>
        <w:rPr>
          <w:b/>
        </w:rPr>
        <w:t>Record straight through.</w:t>
      </w:r>
      <w:r>
        <w:t xml:space="preserve"> Your part is one continuous explanation. If you stumble, do not stop the recording: pause, take a breath, and repeat that sentence from the beginning. Alber cuts the repeat out. Restarting from the top every time you fluff a word is how a twenty-minute job becomes an evening.</w:t>
      </w:r>
    </w:p>
    <w:p>
      <w:r>
        <w:rPr>
          <w:b/>
        </w:rPr>
        <w:t>Leave two seconds of silence at the start and the end.</w:t>
      </w:r>
      <w:r>
        <w:t xml:space="preserve"> Press record, wait, then speak. At the end, stop talking and let it run for two seconds before you stop recording. Cuts made against silence are clean; cuts made against a breath are not.</w:t>
      </w:r>
    </w:p>
    <w:p>
      <w:r>
        <w:rPr>
          <w:b/>
        </w:rPr>
        <w:t>Screen-record with audio; do not film a monitor.</w:t>
      </w:r>
      <w:r>
        <w:t xml:space="preserve"> Every exhibit in this project is on a screen — the ERD, the query output, the workbook, the figures. Filmed off a monitor the numbers are unreadable, and unreadable evidence is the same as no evidence.</w:t>
      </w:r>
    </w:p>
    <w:p>
      <w:r>
        <w:rPr>
          <w:b/>
        </w:rPr>
        <w:t>Have your exhibits open before you press record</w:t>
      </w:r>
      <w:r>
        <w:t>, in the order the script lists them, so you are not hunting for a window mid-sentence.</w:t>
      </w:r>
    </w:p>
    <w:p>
      <w:r>
        <w:rPr>
          <w:b/>
        </w:rPr>
        <w:t>Agree three settings before anyone records:</w:t>
      </w:r>
      <w:r>
        <w:t xml:space="preserve"> screen resolution (1920 × 1080 is the safe choice), video format, and roughly how close you sit to the mic. Three parts recorded at three different volumes is the one problem that is genuinely annoying to fix afterwards.</w:t>
      </w:r>
    </w:p>
    <w:p>
      <w:r>
        <w:rPr>
          <w:b/>
        </w:rPr>
        <w:t>Do a thirty-second test first.</w:t>
      </w:r>
      <w:r>
        <w:t xml:space="preserve"> Record, play it back, and check three things: your voice is audible, the on-screen text is legible at that resolution, and no fan or echo is drowning you. Finding this out after you have recorded everything is the most common way groups lose an evening.</w:t>
      </w:r>
    </w:p>
    <w:p>
      <w:r>
        <w:rPr>
          <w:b/>
        </w:rPr>
        <w:t>Name your file by part number</w:t>
      </w:r>
      <w:r>
        <w:t xml:space="preserve"> — </w:t>
      </w:r>
      <w:r>
        <w:rPr>
          <w:rFonts w:ascii="Consolas" w:hAnsi="Consolas"/>
          <w:color w:val="2F6F9F"/>
          <w:sz w:val="18"/>
        </w:rPr>
        <w:t>Part2_Julebeth.mp4</w:t>
      </w:r>
      <w:r>
        <w:t xml:space="preserve"> — and send Alber the take you want used, not every take you shot.</w:t>
      </w:r>
    </w:p>
    <w:p>
      <w:r>
        <w:br w:type="page"/>
      </w:r>
    </w:p>
    <w:p>
      <w:pPr>
        <w:pStyle w:val="Heading1"/>
      </w:pPr>
      <w:r>
        <w:t>Part 2 — Julebeth</w:t>
      </w:r>
    </w:p>
    <w:p>
      <w:r>
        <w:rPr>
          <w:i/>
        </w:rPr>
        <w:t>About 6.5 minutes. Record straight through — the three sections below run on from each other, so treat them as one talk with three topics.</w:t>
      </w:r>
    </w:p>
    <w:p>
      <w:pPr>
        <w:pStyle w:val="Heading2"/>
      </w:pPr>
      <w:r>
        <w:t>The dataset and what was wrong with it</w:t>
      </w:r>
    </w:p>
    <w:p>
      <w:r>
        <w:rPr>
          <w:i/>
        </w:rPr>
        <w:t>Task 1.2 · on screen: the raw CSV, first 15–20 rows</w:t>
      </w:r>
    </w:p>
    <w:p>
      <w:r>
        <w:t>Say your name, then pick the thread up: here is the raw file, and here is what was wrong with it.</w:t>
      </w:r>
    </w:p>
    <w:p>
      <w:pPr>
        <w:pStyle w:val="ListBullet"/>
      </w:pPr>
      <w:r>
        <w:t xml:space="preserve">The dataset is a retail sales export, </w:t>
      </w:r>
      <w:r>
        <w:rPr>
          <w:b/>
        </w:rPr>
        <w:t>1,194 transaction lines and 12 columns</w:t>
      </w:r>
      <w:r>
        <w:t xml:space="preserve">, covering </w:t>
      </w:r>
      <w:r>
        <w:rPr>
          <w:b/>
        </w:rPr>
        <w:t>22 March 2020 to 15 March 2025</w:t>
      </w:r>
      <w:r>
        <w:t>. The brief asks for at least 200 rows</w:t>
      </w:r>
    </w:p>
    <w:p>
      <w:pPr>
        <w:pStyle w:val="ListBullet"/>
      </w:pPr>
      <w:r>
        <w:t xml:space="preserve">The word to stress: the </w:t>
      </w:r>
      <w:r>
        <w:rPr>
          <w:b/>
        </w:rPr>
        <w:t>grain</w:t>
      </w:r>
      <w:r>
        <w:t xml:space="preserve"> is one row per </w:t>
      </w:r>
      <w:r>
        <w:rPr>
          <w:i/>
        </w:rPr>
        <w:t>product line on an order</w:t>
      </w:r>
      <w:r>
        <w:t>, not one row per order. Everything downstream depends on that</w:t>
      </w:r>
    </w:p>
    <w:p>
      <w:pPr>
        <w:pStyle w:val="ListBullet"/>
      </w:pPr>
      <w:r>
        <w:t xml:space="preserve">A quality assessment was run before anything was touched, and it found </w:t>
      </w:r>
      <w:r>
        <w:rPr>
          <w:b/>
        </w:rPr>
        <w:t>five problems</w:t>
      </w:r>
      <w:r>
        <w:t>, in order of how much trouble they caused</w:t>
      </w:r>
    </w:p>
    <w:p>
      <w:r>
        <w:rPr>
          <w:b/>
        </w:rPr>
        <w:t>One — `Order ID` is not a primary key.</w:t>
      </w:r>
      <w:r>
        <w:t xml:space="preserve"> 1,194 rows, only </w:t>
      </w:r>
      <w:r>
        <w:rPr>
          <w:b/>
        </w:rPr>
        <w:t>547 distinct order IDs</w:t>
      </w:r>
      <w:r>
        <w:t xml:space="preserve">, and the repeats are not duplicate rows: the same ID appears on different dates, for different customers. So it does not identify an order either. It was kept as a plain attribute and a surrogate key, </w:t>
      </w:r>
      <w:r>
        <w:rPr>
          <w:rFonts w:ascii="Consolas" w:hAnsi="Consolas"/>
          <w:color w:val="2F6F9F"/>
          <w:sz w:val="18"/>
        </w:rPr>
        <w:t>sale_id</w:t>
      </w:r>
      <w:r>
        <w:t>, was issued instead.</w:t>
      </w:r>
    </w:p>
    <w:p>
      <w:r>
        <w:t xml:space="preserve">Then answer the obvious objection before it is asked — </w:t>
      </w:r>
      <w:r>
        <w:rPr>
          <w:i/>
        </w:rPr>
        <w:t>why not repair it?</w:t>
      </w:r>
      <w:r>
        <w:t xml:space="preserve"> Because repairing it means deciding which of two rows sharing an ID is the real one, and there is no evidence for that decision. Inventing that evidence is data fabrication, which the brief says is grounds for a failing mark. Documenting the defect costs nothing analytically, because no question in this project needs order identity.</w:t>
      </w:r>
    </w:p>
    <w:p>
      <w:r>
        <w:rPr>
          <w:b/>
        </w:rPr>
        <w:t>Two — customer name is not an identifier either.</w:t>
      </w:r>
      <w:r>
        <w:t xml:space="preserve"> </w:t>
      </w:r>
      <w:r>
        <w:rPr>
          <w:b/>
        </w:rPr>
        <w:t>807 customers</w:t>
      </w:r>
      <w:r>
        <w:t xml:space="preserve"> resolve from </w:t>
      </w:r>
      <w:r>
        <w:rPr>
          <w:b/>
        </w:rPr>
        <w:t>802 distinct names</w:t>
      </w:r>
      <w:r>
        <w:t>, because five names appear in more than one city. The customer key is the pair (name, city).</w:t>
      </w:r>
    </w:p>
    <w:p>
      <w:r>
        <w:rPr>
          <w:b/>
        </w:rPr>
        <w:t>Three — `Year-Month` is redundant.</w:t>
      </w:r>
      <w:r>
        <w:t xml:space="preserve"> It is derivable from the date, so it does not belong in a normalised schema. It was rebuilt in the </w:t>
      </w:r>
      <w:r>
        <w:rPr>
          <w:rFonts w:ascii="Consolas" w:hAnsi="Consolas"/>
          <w:color w:val="2F6F9F"/>
          <w:sz w:val="18"/>
        </w:rPr>
        <w:t>dates</w:t>
      </w:r>
      <w:r>
        <w:t xml:space="preserve"> table.</w:t>
      </w:r>
    </w:p>
    <w:p>
      <w:r>
        <w:rPr>
          <w:b/>
        </w:rPr>
        <w:t>Four — both ends of the file are partial.</w:t>
      </w:r>
      <w:r>
        <w:t xml:space="preserve"> It starts 22 March 2020 and stops 15 March 2025. Say that this matters more than it sounds and that it comes back later — it is where the project's one significant error came from.</w:t>
      </w:r>
    </w:p>
    <w:p>
      <w:r>
        <w:rPr>
          <w:b/>
        </w:rPr>
        <w:t>Five — the dataset is synthetic.</w:t>
      </w:r>
      <w:r>
        <w:t xml:space="preserve"> Say this plainly and do not bury it. Five machine-checked signals:</w:t>
      </w:r>
    </w:p>
    <w:p>
      <w:pPr>
        <w:pStyle w:val="ListBullet"/>
      </w:pPr>
      <w:r>
        <w:t>Not one loss-making line in five years — no real retailer has that</w:t>
      </w:r>
    </w:p>
    <w:p>
      <w:pPr>
        <w:pStyle w:val="ListBullet"/>
      </w:pPr>
      <w:r>
        <w:t>22 of the 802 names end in credential suffixes like "MD" or "DDS", which is a Faker library artefact</w:t>
      </w:r>
    </w:p>
    <w:p>
      <w:pPr>
        <w:pStyle w:val="ListBullet"/>
      </w:pPr>
      <w:r>
        <w:t>US cities paired with UPI and EMI payment methods, which are Indian payment rails</w:t>
      </w:r>
    </w:p>
    <w:p>
      <w:pPr>
        <w:pStyle w:val="ListBullet"/>
      </w:pPr>
      <w:r>
        <w:t>The payment mix is near-uniform, 206 to 260 across every method</w:t>
      </w:r>
    </w:p>
    <w:p>
      <w:pPr>
        <w:pStyle w:val="ListBullet"/>
      </w:pPr>
      <w:r>
        <w:t>The Amount histogram is flat, not normal — real transaction values are right-skewed</w:t>
      </w:r>
    </w:p>
    <w:p>
      <w:r>
        <w:t xml:space="preserve">Then the point that matters: </w:t>
      </w:r>
      <w:r>
        <w:rPr>
          <w:b/>
        </w:rPr>
        <w:t>none of it was fixed.</w:t>
      </w:r>
      <w:r>
        <w:t xml:space="preserve"> Fixing it would mean inventing numbers. It was stated, proved, and carried into every conclusion as a limitation. The method is unaffected — every query and every statistic in this project would run identically against a real export.</w:t>
      </w:r>
    </w:p>
    <w:p>
      <w:r>
        <w:rPr>
          <w:i/>
        </w:rPr>
        <w:t>Move straight on:</w:t>
      </w:r>
      <w:r>
        <w:t xml:space="preserve"> with the defects documented, the next step was turning that flat file into a proper database.</w:t>
      </w:r>
    </w:p>
    <w:p>
      <w:pPr>
        <w:pStyle w:val="Heading2"/>
      </w:pPr>
      <w:r>
        <w:t>The database</w:t>
      </w:r>
    </w:p>
    <w:p>
      <w:r>
        <w:rPr>
          <w:i/>
        </w:rPr>
        <w:t>Task 1.3 · on screen: the ERD, then `SHOW TABLES`</w:t>
      </w:r>
    </w:p>
    <w:p>
      <w:pPr>
        <w:pStyle w:val="ListBullet"/>
      </w:pPr>
      <w:r>
        <w:t xml:space="preserve">The flat file was normalised into a </w:t>
      </w:r>
      <w:r>
        <w:rPr>
          <w:b/>
        </w:rPr>
        <w:t>star schema</w:t>
      </w:r>
      <w:r>
        <w:t xml:space="preserve">: one fact table surrounded by seven dimensions, </w:t>
      </w:r>
      <w:r>
        <w:rPr>
          <w:b/>
        </w:rPr>
        <w:t>eight tables</w:t>
      </w:r>
      <w:r>
        <w:t xml:space="preserve"> in total</w:t>
      </w:r>
    </w:p>
    <w:p>
      <w:pPr>
        <w:pStyle w:val="ListBullet"/>
      </w:pPr>
      <w:r>
        <w:rPr>
          <w:rFonts w:ascii="Consolas" w:hAnsi="Consolas"/>
          <w:color w:val="2F6F9F"/>
          <w:sz w:val="18"/>
        </w:rPr>
        <w:t>sales</w:t>
      </w:r>
      <w:r>
        <w:t xml:space="preserve"> is the fact table, one row per transaction line. Around it: </w:t>
      </w:r>
      <w:r>
        <w:rPr>
          <w:rFonts w:ascii="Consolas" w:hAnsi="Consolas"/>
          <w:color w:val="2F6F9F"/>
          <w:sz w:val="18"/>
        </w:rPr>
        <w:t>customers</w:t>
      </w:r>
      <w:r>
        <w:t xml:space="preserve">, </w:t>
      </w:r>
      <w:r>
        <w:rPr>
          <w:rFonts w:ascii="Consolas" w:hAnsi="Consolas"/>
          <w:color w:val="2F6F9F"/>
          <w:sz w:val="18"/>
        </w:rPr>
        <w:t>cities</w:t>
      </w:r>
      <w:r>
        <w:t xml:space="preserve">, </w:t>
      </w:r>
      <w:r>
        <w:rPr>
          <w:rFonts w:ascii="Consolas" w:hAnsi="Consolas"/>
          <w:color w:val="2F6F9F"/>
          <w:sz w:val="18"/>
        </w:rPr>
        <w:t>states</w:t>
      </w:r>
      <w:r>
        <w:t xml:space="preserve">, </w:t>
      </w:r>
      <w:r>
        <w:rPr>
          <w:rFonts w:ascii="Consolas" w:hAnsi="Consolas"/>
          <w:color w:val="2F6F9F"/>
          <w:sz w:val="18"/>
        </w:rPr>
        <w:t>categories</w:t>
      </w:r>
      <w:r>
        <w:t xml:space="preserve">, </w:t>
      </w:r>
      <w:r>
        <w:rPr>
          <w:rFonts w:ascii="Consolas" w:hAnsi="Consolas"/>
          <w:color w:val="2F6F9F"/>
          <w:sz w:val="18"/>
        </w:rPr>
        <w:t>sub_categories</w:t>
      </w:r>
      <w:r>
        <w:t xml:space="preserve">, </w:t>
      </w:r>
      <w:r>
        <w:rPr>
          <w:rFonts w:ascii="Consolas" w:hAnsi="Consolas"/>
          <w:color w:val="2F6F9F"/>
          <w:sz w:val="18"/>
        </w:rPr>
        <w:t>payment_modes</w:t>
      </w:r>
      <w:r>
        <w:t xml:space="preserve"> and </w:t>
      </w:r>
      <w:r>
        <w:rPr>
          <w:rFonts w:ascii="Consolas" w:hAnsi="Consolas"/>
          <w:color w:val="2F6F9F"/>
          <w:sz w:val="18"/>
        </w:rPr>
        <w:t>dates</w:t>
      </w:r>
    </w:p>
    <w:p>
      <w:pPr>
        <w:pStyle w:val="ListBullet"/>
      </w:pPr>
      <w:r>
        <w:t xml:space="preserve">Ask it out loud — </w:t>
      </w:r>
      <w:r>
        <w:rPr>
          <w:i/>
        </w:rPr>
        <w:t>why a star, and not the one table we started with?</w:t>
      </w:r>
      <w:r>
        <w:t xml:space="preserve"> Three reasons:</w:t>
      </w:r>
    </w:p>
    <w:p>
      <w:r>
        <w:rPr>
          <w:b/>
        </w:rPr>
        <w:t>Consistency.</w:t>
      </w:r>
      <w:r>
        <w:t xml:space="preserve"> In the flat file a category name is repeated on every row that uses it, so a typo in one row creates a category that does not exist. In the star the name lives once in </w:t>
      </w:r>
      <w:r>
        <w:rPr>
          <w:rFonts w:ascii="Consolas" w:hAnsi="Consolas"/>
          <w:color w:val="2F6F9F"/>
          <w:sz w:val="18"/>
        </w:rPr>
        <w:t>categories</w:t>
      </w:r>
      <w:r>
        <w:t xml:space="preserve"> and the fact table carries an integer key. A typo becomes impossible rather than merely unlikely.</w:t>
      </w:r>
    </w:p>
    <w:p>
      <w:r>
        <w:rPr>
          <w:b/>
        </w:rPr>
        <w:t>The brief asks for it.</w:t>
      </w:r>
      <w:r>
        <w:t xml:space="preserve"> Task 1.3 requires at least two related tables with proper primary and foreign keys. There are </w:t>
      </w:r>
      <w:r>
        <w:rPr>
          <w:b/>
        </w:rPr>
        <w:t>eight tables, eight primary keys, seven foreign keys, six unique constraints and four check constraints</w:t>
      </w:r>
      <w:r>
        <w:t xml:space="preserve"> — and the constraints were tested to confirm they actually reject bad rows, rather than assumed to.</w:t>
      </w:r>
    </w:p>
    <w:p>
      <w:r>
        <w:rPr>
          <w:b/>
        </w:rPr>
        <w:t>The queries need it.</w:t>
      </w:r>
      <w:r>
        <w:t xml:space="preserve"> The category trend question needs category and date on the same row as the amount, and a star gives you that in one join.</w:t>
      </w:r>
    </w:p>
    <w:p>
      <w:r>
        <w:t xml:space="preserve">Then the </w:t>
      </w:r>
      <w:r>
        <w:rPr>
          <w:rFonts w:ascii="Consolas" w:hAnsi="Consolas"/>
          <w:color w:val="2F6F9F"/>
          <w:sz w:val="18"/>
        </w:rPr>
        <w:t>dates</w:t>
      </w:r>
      <w:r>
        <w:t xml:space="preserve"> table, which looks like overkill until you try to write the queries. Two reasons it earns its place:</w:t>
      </w:r>
    </w:p>
    <w:p>
      <w:pPr>
        <w:pStyle w:val="ListBullet"/>
      </w:pPr>
      <w:r>
        <w:rPr>
          <w:b/>
        </w:rPr>
        <w:t>Portability.</w:t>
      </w:r>
      <w:r>
        <w:t xml:space="preserve"> </w:t>
      </w:r>
      <w:r>
        <w:rPr>
          <w:rFonts w:ascii="Consolas" w:hAnsi="Consolas"/>
          <w:color w:val="2F6F9F"/>
          <w:sz w:val="18"/>
        </w:rPr>
        <w:t>YEAR()</w:t>
      </w:r>
      <w:r>
        <w:t xml:space="preserve"> and </w:t>
      </w:r>
      <w:r>
        <w:rPr>
          <w:rFonts w:ascii="Consolas" w:hAnsi="Consolas"/>
          <w:color w:val="2F6F9F"/>
          <w:sz w:val="18"/>
        </w:rPr>
        <w:t>strftime()</w:t>
      </w:r>
      <w:r>
        <w:t xml:space="preserve"> are never called, so the same query file runs unchanged on MySQL and on SQLite, and that was verified</w:t>
      </w:r>
    </w:p>
    <w:p>
      <w:pPr>
        <w:pStyle w:val="ListBullet"/>
      </w:pPr>
      <w:r>
        <w:rPr>
          <w:b/>
        </w:rPr>
        <w:t>The completeness flags.</w:t>
      </w:r>
      <w:r>
        <w:t xml:space="preserve"> It carries </w:t>
      </w:r>
      <w:r>
        <w:rPr>
          <w:rFonts w:ascii="Consolas" w:hAnsi="Consolas"/>
          <w:color w:val="2F6F9F"/>
          <w:sz w:val="18"/>
        </w:rPr>
        <w:t>is_complete_month</w:t>
      </w:r>
      <w:r>
        <w:t xml:space="preserve"> and </w:t>
      </w:r>
      <w:r>
        <w:rPr>
          <w:rFonts w:ascii="Consolas" w:hAnsi="Consolas"/>
          <w:color w:val="2F6F9F"/>
          <w:sz w:val="18"/>
        </w:rPr>
        <w:t>is_complete_year</w:t>
      </w:r>
      <w:r>
        <w:t>, which raw dates cannot. Those flags are the fix for problem four, and they are what stops anyone comparing a nine-month 2020 against a full 2021</w:t>
      </w:r>
    </w:p>
    <w:p>
      <w:r>
        <w:t xml:space="preserve">One trap worth telling them about, because it cost real time: </w:t>
      </w:r>
      <w:r>
        <w:rPr>
          <w:b/>
        </w:rPr>
        <w:t>`year_month` is a reserved word in MySQL.</w:t>
      </w:r>
      <w:r>
        <w:t xml:space="preserve"> </w:t>
      </w:r>
      <w:r>
        <w:rPr>
          <w:rFonts w:ascii="Consolas" w:hAnsi="Consolas"/>
          <w:color w:val="2F6F9F"/>
          <w:sz w:val="18"/>
        </w:rPr>
        <w:t>CREATE TABLE dates</w:t>
      </w:r>
      <w:r>
        <w:t xml:space="preserve"> failed outright with a syntax error until it was backticked — and that only surfaced because a real MySQL server was installed and the import actually run, rather than the file being assumed correct.</w:t>
      </w:r>
    </w:p>
    <w:p>
      <w:r>
        <w:t xml:space="preserve">Finish the section on the loader: the whole thing loads from </w:t>
      </w:r>
      <w:r>
        <w:rPr>
          <w:b/>
        </w:rPr>
        <w:t>one file</w:t>
      </w:r>
      <w:r>
        <w:t xml:space="preserve">, </w:t>
      </w:r>
      <w:r>
        <w:rPr>
          <w:rFonts w:ascii="Consolas" w:hAnsi="Consolas"/>
          <w:color w:val="2F6F9F"/>
          <w:sz w:val="18"/>
        </w:rPr>
        <w:t>02_mysql_full_import.sql</w:t>
      </w:r>
      <w:r>
        <w:t>, which creates the database, all eight tables and all the data, and ends with a verification block whose last row must read 1,194 rows, 6,182,639.00 in revenue, 547 order IDs and 57 complete months, with zero orphaned rows.</w:t>
      </w:r>
    </w:p>
    <w:p>
      <w:r>
        <w:rPr>
          <w:i/>
        </w:rPr>
        <w:t>Move straight on:</w:t>
      </w:r>
      <w:r>
        <w:t xml:space="preserve"> with the database built, the questions could finally be asked.</w:t>
      </w:r>
    </w:p>
    <w:p>
      <w:pPr>
        <w:pStyle w:val="Heading2"/>
      </w:pPr>
      <w:r>
        <w:t>The eight queries</w:t>
      </w:r>
    </w:p>
    <w:p>
      <w:r>
        <w:rPr>
          <w:i/>
        </w:rPr>
        <w:t>Task 1.4 · on screen: Q3, Q5 and Q8 screenshots</w:t>
      </w:r>
    </w:p>
    <w:p>
      <w:pPr>
        <w:pStyle w:val="ListBullet"/>
      </w:pPr>
      <w:r>
        <w:t xml:space="preserve">Eight queries in four groups: two basic retrievals with </w:t>
      </w:r>
      <w:r>
        <w:rPr>
          <w:rFonts w:ascii="Consolas" w:hAnsi="Consolas"/>
          <w:color w:val="2F6F9F"/>
          <w:sz w:val="18"/>
        </w:rPr>
        <w:t>WHERE</w:t>
      </w:r>
      <w:r>
        <w:t xml:space="preserve"> and </w:t>
      </w:r>
      <w:r>
        <w:rPr>
          <w:rFonts w:ascii="Consolas" w:hAnsi="Consolas"/>
          <w:color w:val="2F6F9F"/>
          <w:sz w:val="18"/>
        </w:rPr>
        <w:t>ORDER BY</w:t>
      </w:r>
      <w:r>
        <w:t xml:space="preserve">, two aggregates with </w:t>
      </w:r>
      <w:r>
        <w:rPr>
          <w:rFonts w:ascii="Consolas" w:hAnsi="Consolas"/>
          <w:color w:val="2F6F9F"/>
          <w:sz w:val="18"/>
        </w:rPr>
        <w:t>GROUP BY</w:t>
      </w:r>
      <w:r>
        <w:t>, two multi-table joins — each joining four tables — and two business-insight queries</w:t>
      </w:r>
    </w:p>
    <w:p>
      <w:pPr>
        <w:pStyle w:val="ListBullet"/>
      </w:pPr>
      <w:r>
        <w:t>Skip the mechanics; go to what they found, which is four things</w:t>
      </w:r>
    </w:p>
    <w:p>
      <w:r>
        <w:rPr>
          <w:b/>
        </w:rPr>
        <w:t>Finding one — growth stopped in 2022, and in a specific way.</w:t>
      </w:r>
      <w:r>
        <w:t xml:space="preserve"> Query 3 aggregates by year, but on a </w:t>
      </w:r>
      <w:r>
        <w:rPr>
          <w:b/>
        </w:rPr>
        <w:t>per-month</w:t>
      </w:r>
      <w:r>
        <w:t xml:space="preserve"> basis so the partial years cannot distort it. Revenue per month went </w:t>
      </w:r>
      <w:r>
        <w:rPr>
          <w:b/>
        </w:rPr>
        <w:t>92,934 in 2020 → 121,648 at the 2022 peak → 100,207 in 2024</w:t>
      </w:r>
      <w:r>
        <w:t>. Meanwhile margin never left the 24-to-27% band and average order value never left the 5,008-to-5,444 band. That combination is the whole diagnosis: fewer orders, not cheaper or less profitable ones — which points at demand generation rather than at pricing.</w:t>
      </w:r>
    </w:p>
    <w:p>
      <w:r>
        <w:rPr>
          <w:b/>
        </w:rPr>
        <w:t>Finding two — one sub-category explains most of the gap.</w:t>
      </w:r>
      <w:r>
        <w:t xml:space="preserve"> Queries 5 and 7 break the trend down. </w:t>
      </w:r>
      <w:r>
        <w:rPr>
          <w:b/>
        </w:rPr>
        <w:t>Printers lost 136,865 between 2023 and 2024, a 71.0% collapse</w:t>
      </w:r>
      <w:r>
        <w:t xml:space="preserve"> — that single line item is over half the entire peak-to-2024 gap. Every Electronics sub-category fell, and the category as a whole is down </w:t>
      </w:r>
      <w:r>
        <w:rPr>
          <w:b/>
        </w:rPr>
        <w:t>40.8%</w:t>
      </w:r>
      <w:r>
        <w:t xml:space="preserve">. Every Office Supplies sub-category grew; </w:t>
      </w:r>
      <w:r>
        <w:rPr>
          <w:b/>
        </w:rPr>
        <w:t>Paper is up 85,689, or 149.4%</w:t>
      </w:r>
      <w:r>
        <w:t>.</w:t>
      </w:r>
    </w:p>
    <w:p>
      <w:r>
        <w:t>Say why that matters: it is not a general slowdown. Two opposite trends are running at once, and the company-wide figure is their average, which describes neither. That is the single most useful thing Checkpoint 1 produced.</w:t>
      </w:r>
    </w:p>
    <w:p>
      <w:r>
        <w:rPr>
          <w:b/>
        </w:rPr>
        <w:t>Finding three — seasonality is category-specific.</w:t>
      </w:r>
      <w:r>
        <w:t xml:space="preserve"> Queries 4 and 8. The blended figure says Q4 is the peak quarter. Split it out and Electronics actually peaks in </w:t>
      </w:r>
      <w:r>
        <w:rPr>
          <w:b/>
        </w:rPr>
        <w:t>Q2, at 30.79%</w:t>
      </w:r>
      <w:r>
        <w:t xml:space="preserve"> of its annual revenue, while Furniture peaks in Q4 at </w:t>
      </w:r>
      <w:r>
        <w:rPr>
          <w:b/>
        </w:rPr>
        <w:t>30.84%</w:t>
      </w:r>
      <w:r>
        <w:t xml:space="preserve"> and Office Supplies in Q4 at </w:t>
      </w:r>
      <w:r>
        <w:rPr>
          <w:b/>
        </w:rPr>
        <w:t>32.16%</w:t>
      </w:r>
      <w:r>
        <w:t>. So a single blended planning curve is wrong for all three categories — it over-stocks Electronics in Q4 and under-stocks it in Q2.</w:t>
      </w:r>
    </w:p>
    <w:p>
      <w:r>
        <w:rPr>
          <w:b/>
        </w:rPr>
        <w:t>Finding four — geography is not a factor.</w:t>
      </w:r>
      <w:r>
        <w:t xml:space="preserve"> Query 6. Across five years, state revenue spans only </w:t>
      </w:r>
      <w:r>
        <w:rPr>
          <w:b/>
        </w:rPr>
        <w:t>28%</w:t>
      </w:r>
      <w:r>
        <w:t xml:space="preserve"> between highest and lowest, with no state trending against the others. Not every finding has to be a discovery — this one tells the business where </w:t>
      </w:r>
      <w:r>
        <w:rPr>
          <w:i/>
        </w:rPr>
        <w:t>not</w:t>
      </w:r>
      <w:r>
        <w:t xml:space="preserve"> to spend its analytical effort.</w:t>
      </w:r>
    </w:p>
    <w:p>
      <w:r>
        <w:rPr>
          <w:b/>
        </w:rPr>
        <w:t>End the part on this line:</w:t>
      </w:r>
      <w:r>
        <w:t xml:space="preserve"> that was Checkpoint 1 — what happened. Checkpoint 2 takes the same data into Excel and asks how strong the evidence is, and what can be predicted.</w:t>
      </w:r>
    </w:p>
    <w:p>
      <w:r>
        <w:br w:type="page"/>
      </w:r>
    </w:p>
    <w:p>
      <w:pPr>
        <w:pStyle w:val="Heading2"/>
      </w:pPr>
      <w:r>
        <w:t>Checklist</w:t>
      </w:r>
    </w:p>
    <w:p>
      <w:r>
        <w:t>Each of you, before you record:</w:t>
      </w:r>
    </w:p>
    <w:p>
      <w:pPr>
        <w:pStyle w:val="ListBullet"/>
      </w:pPr>
      <w:r>
        <w:t>Every number you say out loud, you can point to — a query, a figure, or a cell</w:t>
      </w:r>
    </w:p>
    <w:p>
      <w:pPr>
        <w:pStyle w:val="ListBullet"/>
      </w:pPr>
      <w:r>
        <w:t>You can say your section's beats with the script closed</w:t>
      </w:r>
    </w:p>
    <w:p>
      <w:pPr>
        <w:pStyle w:val="ListBullet"/>
      </w:pPr>
      <w:r>
        <w:t>You can answer a question about someone else's part, because Section 1.4 does not care who recorded which section</w:t>
      </w:r>
    </w:p>
    <w:p>
      <w:pPr>
        <w:pStyle w:val="ListBullet"/>
      </w:pPr>
      <w:r>
        <w:t>Your exhibits are open and on the right screen before you press record</w:t>
      </w:r>
    </w:p>
    <w:p>
      <w:pPr>
        <w:pStyle w:val="ListBullet"/>
      </w:pPr>
      <w:r>
        <w:t>You have done the thirty-second test</w:t>
      </w:r>
    </w:p>
    <w:p>
      <w:r>
        <w:t>Alber, before you submit:</w:t>
      </w:r>
    </w:p>
    <w:p>
      <w:pPr>
        <w:pStyle w:val="ListBullet"/>
      </w:pPr>
      <w:r>
        <w:t>All five parts present and in order, no task missing</w:t>
      </w:r>
    </w:p>
    <w:p>
      <w:pPr>
        <w:pStyle w:val="ListBullet"/>
      </w:pPr>
      <w:r>
        <w:t>Audio levels normalised across all three speakers</w:t>
      </w:r>
    </w:p>
    <w:p>
      <w:pPr>
        <w:pStyle w:val="ListBullet"/>
      </w:pPr>
      <w:r>
        <w:t>Each speaker names themselves once</w:t>
      </w:r>
    </w:p>
    <w:p>
      <w:pPr>
        <w:pStyle w:val="ListBullet"/>
      </w:pPr>
      <w:r>
        <w:t>The synthetic data, the Checkpoint 1 correction and the forecast that lost are all audibly in the recording</w:t>
      </w:r>
    </w:p>
    <w:p>
      <w:pPr>
        <w:pStyle w:val="ListBullet"/>
      </w:pPr>
      <w:r>
        <w:t>Played back end to end — the file opens, the audio does not cut out, the on-screen numbers are legible, and the length fits any limit you were given</w:t>
      </w:r>
    </w:p>
    <w:p>
      <w:pPr>
        <w:pStyle w:val="ListBullet"/>
      </w:pPr>
      <w:r>
        <w:t>File named with your group and the checkpoint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