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out of 2020 and then stopped. On a like-for-like monthly basis revenue rose 30.9% between 2020 and 2022, from 92,934 to 121,648 per month, but has fallen in each of the two years since, ending 2024 at 100,207 per month — </w:t>
      </w:r>
      <w:r>
        <w:rPr>
          <w:b/>
        </w:rPr>
        <w:t>17.6% below the 2022 peak</w:t>
      </w:r>
      <w:r>
        <w:t xml:space="preserve">. (2020 is measured per month because the dataset begins on 22 March 2020 and covers only nine complete months of that year; comparing its part-year total against a full year would overstate the growth.)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5.91 million across the 57 complete months analysed.</w:t>
      </w:r>
    </w:p>
    <w:p>
      <w:pPr>
        <w:pStyle w:val="ListBullet"/>
      </w:pPr>
      <w:r>
        <w:rPr>
          <w:b/>
        </w:rPr>
        <w:t>Inventory efficiency.</w:t>
      </w:r>
      <w:r>
        <w:t xml:space="preserve"> Demand is heavily concentrated: October and December alone carry 21.8% of annual revenue, and Q4 as a whole carries 29.4%.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2.)</w:t>
      </w:r>
    </w:p>
    <w:p>
      <w:pPr>
        <w:pStyle w:val="ListNumber"/>
      </w:pPr>
      <w:r>
        <w:rPr>
          <w:b/>
        </w:rPr>
        <w:t>Which product categories and sub-categories are driving the trend, and which ones reversed direction most recently?</w:t>
      </w:r>
      <w:r>
        <w:t xml:space="preserve"> </w:t>
      </w:r>
      <w:r>
        <w:rPr>
          <w:i/>
        </w:rPr>
        <w:t>(Answered by Q5, Q7, Figure 4.)</w:t>
      </w:r>
    </w:p>
    <w:p>
      <w:pPr>
        <w:pStyle w:val="ListNumber"/>
      </w:pPr>
      <w:r>
        <w:rPr>
          <w:b/>
        </w:rPr>
        <w:t>When during the year does demand concentrate, and is that seasonal pattern the same for every category?</w:t>
      </w:r>
      <w:r>
        <w:t xml:space="preserve"> </w:t>
      </w:r>
      <w:r>
        <w:rPr>
          <w:i/>
        </w:rPr>
        <w:t>(Answered by Q4, Q8, Figure 3.)</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Both ends of the series are partial.</w:t>
      </w:r>
      <w:r>
        <w:t xml:space="preserve"> Data runs 22 March 2020 to 15 March 2025, so </w:t>
      </w:r>
      <w:r>
        <w:rPr>
          <w:b/>
        </w:rPr>
        <w:t>March 2020 and March 2025 are part-months</w:t>
      </w:r>
      <w:r>
        <w:t xml:space="preserve"> and </w:t>
      </w:r>
      <w:r>
        <w:rPr>
          <w:b/>
        </w:rPr>
        <w:t>2020 is a nine-month year</w:t>
      </w:r>
      <w:r>
        <w:t xml:space="preserve">. Two distinct traps follow. Read naively, the 44 rows of 2025 look like an 80% collapse in demand; and comparing 2020's part-year total against a full 2021 overstates growth (69.9% raw versus 30.9% on a like-for-like monthly basis). Including the 10-day March 2020 in a monthly average also drags that month's seasonal index down by 15%. </w:t>
      </w:r>
      <w:r>
        <w:rPr>
          <w:rFonts w:ascii="Consolas" w:hAnsi="Consolas"/>
          <w:color w:val="2F6F9F"/>
          <w:sz w:val="18"/>
        </w:rPr>
        <w:t>dates</w:t>
      </w:r>
      <w:r>
        <w:t xml:space="preserve"> carries two flags, </w:t>
      </w:r>
      <w:r>
        <w:rPr>
          <w:rFonts w:ascii="Consolas" w:hAnsi="Consolas"/>
          <w:color w:val="2F6F9F"/>
          <w:sz w:val="18"/>
        </w:rPr>
        <w:t>is_complete_year</w:t>
      </w:r>
      <w:r>
        <w:t xml:space="preserve"> and </w:t>
      </w:r>
      <w:r>
        <w:rPr>
          <w:rFonts w:ascii="Consolas" w:hAnsi="Consolas"/>
          <w:color w:val="2F6F9F"/>
          <w:sz w:val="18"/>
        </w:rPr>
        <w:t>is_complete_month</w:t>
      </w:r>
      <w:r>
        <w:t>, and every trend query filters on them.</w:t>
      </w:r>
    </w:p>
    <w:p>
      <w:pPr>
        <w:pStyle w:val="ListBullet"/>
      </w:pPr>
      <w:r>
        <w:rPr>
          <w:b/>
        </w:rPr>
        <w:t>Limitation worth stating — the dataset is synthetic.</w:t>
      </w:r>
      <w:r>
        <w:t xml:space="preserve"> Four independent signals: zero loss-making lines across 1,194 rows and five years; 22 of the 802 distinct customer names ending in a credential suffix (MD, DDS, PhD), the signature of a name generator rather than a real customer list; US cities paired with UPI and EMI, which are Indian payment systems; and a near-uniform payment mix (206–260 lines each). Real retail data of this size would contain returns, discounts and loss-making orders. The </w:t>
      </w:r>
      <w:r>
        <w:rPr>
          <w:i/>
        </w:rPr>
        <w:t>methodology</w:t>
      </w:r>
      <w:r>
        <w:t xml:space="preserve"> here is sound, but the specific figures should be presented as a modelling exercise rather than a real company's results.</w:t>
      </w:r>
    </w:p>
    <w:p>
      <w:pPr>
        <w:pStyle w:val="ListBullet"/>
      </w:pPr>
      <w:r>
        <w:rPr>
          <w:b/>
        </w:rPr>
        <w:t>Privacy note.</w:t>
      </w:r>
      <w:r>
        <w:t xml:space="preserve"> Because the customer names are generated, there is no data subject behind them and they are not personal data, so R.A. 10173 (Data Privacy Act) is not engaged. The reason is that the names are synthetic, not that the file was publicly downloadable — public availability is not consent.</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dates</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dates.is_complete_year</w:t>
      </w:r>
      <w:r>
        <w:t xml:space="preserve"> and </w:t>
      </w:r>
      <w:r>
        <w:rPr>
          <w:rFonts w:ascii="Consolas" w:hAnsi="Consolas"/>
          <w:color w:val="2F6F9F"/>
          <w:sz w:val="18"/>
        </w:rPr>
        <w:t>dates.is_complete_month</w:t>
      </w:r>
      <w:r>
        <w:t xml:space="preserve"> so every trend query excludes the partial 2025 year and the two part-months (March 2020, March 2025) explicitly rather than by convention.</w:t>
      </w:r>
    </w:p>
    <w:p>
      <w:pPr>
        <w:pStyle w:val="ListNumber"/>
      </w:pPr>
      <w:r>
        <w:t>Split the flat file into seven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pPr>
        <w:jc w:val="center"/>
      </w:pPr>
      <w:r>
        <w:drawing>
          <wp:inline xmlns:a="http://schemas.openxmlformats.org/drawingml/2006/main" xmlns:pic="http://schemas.openxmlformats.org/drawingml/2006/picture">
            <wp:extent cx="5486400" cy="2879194"/>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2879194"/>
                    </a:xfrm>
                    <a:prstGeom prst="rect"/>
                  </pic:spPr>
                </pic:pic>
              </a:graphicData>
            </a:graphic>
          </wp:inline>
        </w:drawing>
      </w:r>
    </w:p>
    <w:p>
      <w:pPr>
        <w:spacing w:after="200" w:line="240" w:lineRule="auto"/>
        <w:jc w:val="center"/>
      </w:pPr>
      <w:r>
        <w:rPr>
          <w:i/>
          <w:color w:val="7B8994"/>
          <w:sz w:val="20"/>
        </w:rPr>
        <w:t>Figure 1. Entity-Relationship Diagram of the sales_trend database. PK marks a primary key, FK a foreign key; the bar denotes the "one" side of a relationship and the crow's foot the "many" side.</w:t>
      </w:r>
    </w:p>
    <w:p>
      <w:r>
        <w:t xml:space="preserve">The diagram is generated directly from the schema by </w:t>
      </w:r>
      <w:r>
        <w:rPr>
          <w:rFonts w:ascii="Consolas" w:hAnsi="Consolas"/>
          <w:color w:val="2F6F9F"/>
          <w:sz w:val="18"/>
        </w:rPr>
        <w:t>scripts/make_erd.py</w:t>
      </w:r>
      <w:r>
        <w:t xml:space="preserve">, which cross-checks the parsed DDL against the built database before drawing, so it cannot drift out of step with the tables it documents. A vector copy for printing is at </w:t>
      </w:r>
      <w:r>
        <w:rPr>
          <w:rFonts w:ascii="Consolas" w:hAnsi="Consolas"/>
          <w:color w:val="2F6F9F"/>
          <w:sz w:val="18"/>
        </w:rPr>
        <w:t>docs/figures/erd.svg</w:t>
      </w:r>
      <w:r>
        <w:t xml:space="preserve">, and Mermaid source that renders on GitHub is in </w:t>
      </w:r>
      <w:r>
        <w:rPr>
          <w:rFonts w:ascii="Consolas" w:hAnsi="Consolas"/>
          <w:color w:val="2F6F9F"/>
          <w:sz w:val="18"/>
        </w:rPr>
        <w:t>docs/erd.md</w:t>
      </w:r>
      <w:r>
        <w:t>.</w:t>
      </w:r>
    </w:p>
    <w:p>
      <w:r>
        <w:rPr>
          <w:b/>
        </w:rPr>
        <w:t>Star schema, 8 tables.</w:t>
      </w:r>
      <w:r>
        <w:t xml:space="preserve"> </w:t>
      </w:r>
      <w:r>
        <w:rPr>
          <w:rFonts w:ascii="Consolas" w:hAnsi="Consolas"/>
          <w:color w:val="2F6F9F"/>
          <w:sz w:val="18"/>
        </w:rPr>
        <w:t>sales</w:t>
      </w:r>
      <w:r>
        <w:t xml:space="preserve"> is the </w:t>
      </w:r>
      <w:r>
        <w:rPr>
          <w:b/>
        </w:rPr>
        <w:t>fact table</w:t>
      </w:r>
      <w:r>
        <w:t xml:space="preserve"> — it holds the additive measures (</w:t>
      </w:r>
      <w:r>
        <w:rPr>
          <w:rFonts w:ascii="Consolas" w:hAnsi="Consolas"/>
          <w:color w:val="2F6F9F"/>
          <w:sz w:val="18"/>
        </w:rPr>
        <w:t>quantity</w:t>
      </w:r>
      <w:r>
        <w:t xml:space="preserve">, </w:t>
      </w:r>
      <w:r>
        <w:rPr>
          <w:rFonts w:ascii="Consolas" w:hAnsi="Consolas"/>
          <w:color w:val="2F6F9F"/>
          <w:sz w:val="18"/>
        </w:rPr>
        <w:t>amount</w:t>
      </w:r>
      <w:r>
        <w:t xml:space="preserve">, </w:t>
      </w:r>
      <w:r>
        <w:rPr>
          <w:rFonts w:ascii="Consolas" w:hAnsi="Consolas"/>
          <w:color w:val="2F6F9F"/>
          <w:sz w:val="18"/>
        </w:rPr>
        <w:t>profit</w:t>
      </w:r>
      <w:r>
        <w:t xml:space="preserve">) at a grain of one transaction line. The other seven are </w:t>
      </w:r>
      <w:r>
        <w:rPr>
          <w:b/>
        </w:rPr>
        <w:t>dimension tables</w:t>
      </w:r>
      <w:r>
        <w:t xml:space="preserve">, holding the descriptive attributes those measures are sliced by. The tables are named plainly rather than with </w:t>
      </w:r>
      <w:r>
        <w:rPr>
          <w:rFonts w:ascii="Consolas" w:hAnsi="Consolas"/>
          <w:color w:val="2F6F9F"/>
          <w:sz w:val="18"/>
        </w:rPr>
        <w:t>fact_</w:t>
      </w:r>
      <w:r>
        <w:t>/</w:t>
      </w:r>
      <w:r>
        <w:rPr>
          <w:rFonts w:ascii="Consolas" w:hAnsi="Consolas"/>
          <w:color w:val="2F6F9F"/>
          <w:sz w:val="18"/>
        </w:rPr>
        <w:t>dim_</w:t>
      </w:r>
      <w:r>
        <w:t xml:space="preserve"> prefixes; the roles come from the design, not the names.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states</w:t>
            </w:r>
          </w:p>
        </w:tc>
        <w:tc>
          <w:tcPr>
            <w:tcW w:type="dxa" w:w="3120"/>
          </w:tcPr>
          <w:p>
            <w:pPr>
              <w:spacing w:line="240" w:lineRule="auto"/>
            </w:pPr>
            <w:r>
              <w:rPr>
                <w:sz w:val="18"/>
              </w:rPr>
            </w:r>
            <w:r>
              <w:rPr>
                <w:rFonts w:ascii="Consolas" w:hAnsi="Consolas"/>
                <w:color w:val="2F6F9F"/>
                <w:sz w:val="18"/>
              </w:rPr>
              <w:t>cities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cities</w:t>
            </w:r>
          </w:p>
        </w:tc>
        <w:tc>
          <w:tcPr>
            <w:tcW w:type="dxa" w:w="3120"/>
          </w:tcPr>
          <w:p>
            <w:pPr>
              <w:spacing w:line="240" w:lineRule="auto"/>
            </w:pPr>
            <w:r>
              <w:rPr>
                <w:sz w:val="18"/>
              </w:rPr>
            </w:r>
            <w:r>
              <w:rPr>
                <w:rFonts w:ascii="Consolas" w:hAnsi="Consolas"/>
                <w:color w:val="2F6F9F"/>
                <w:sz w:val="18"/>
              </w:rPr>
              <w:t>customers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categories</w:t>
            </w:r>
          </w:p>
        </w:tc>
        <w:tc>
          <w:tcPr>
            <w:tcW w:type="dxa" w:w="3120"/>
          </w:tcPr>
          <w:p>
            <w:pPr>
              <w:spacing w:line="240" w:lineRule="auto"/>
            </w:pPr>
            <w:r>
              <w:rPr>
                <w:sz w:val="18"/>
              </w:rPr>
            </w:r>
            <w:r>
              <w:rPr>
                <w:rFonts w:ascii="Consolas" w:hAnsi="Consolas"/>
                <w:color w:val="2F6F9F"/>
                <w:sz w:val="18"/>
              </w:rPr>
              <w:t>sub_categories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customers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sub_categories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payment_modes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dates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r>
        <w:t xml:space="preserve">A single file, </w:t>
      </w:r>
      <w:r>
        <w:rPr>
          <w:rFonts w:ascii="Consolas" w:hAnsi="Consolas"/>
          <w:color w:val="2F6F9F"/>
          <w:sz w:val="18"/>
        </w:rPr>
        <w:t>sql/02_mysql_full_import.sql</w:t>
      </w:r>
      <w:r>
        <w:t>, creates the database, all eight tables with their constraints, and loads all the data. In phpMyAdmin it goes through the Import tab; from a terminal:</w:t>
      </w:r>
    </w:p>
    <w:p>
      <w:pPr>
        <w:spacing w:before="80" w:after="160"/>
        <w:ind w:left="360"/>
      </w:pPr>
      <w:r>
        <w:rPr>
          <w:rFonts w:ascii="Consolas" w:hAnsi="Consolas"/>
          <w:color w:val="333D47"/>
          <w:sz w:val="17"/>
        </w:rPr>
        <w:t>mysql -u root -p &lt; sql/02_mysql_full_import.sql</w:t>
        <w:br/>
        <w:t>mysql -u root -p sales_trend &lt; sql/04_queries.sql</w:t>
      </w:r>
    </w:p>
    <w:p>
      <w:r>
        <w:t xml:space="preserve">The import ends with its own verification block, whose final row must read </w:t>
      </w:r>
      <w:r>
        <w:rPr>
          <w:rFonts w:ascii="Consolas" w:hAnsi="Consolas"/>
          <w:color w:val="2F6F9F"/>
          <w:sz w:val="18"/>
        </w:rPr>
        <w:t>1194 | 6182639.00 | 547 | 57 | 0 | 0</w:t>
      </w:r>
      <w:r>
        <w:t xml:space="preserve"> — the last two columns are orphan-row counts, so zeros are proof of referential integrity.</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t xml:space="preserve">The schema creates </w:t>
      </w:r>
      <w:r>
        <w:rPr>
          <w:b/>
        </w:rPr>
        <w:t>8 primary keys, 7 foreign keys, 6 unique constraints and 4 check constraints</w:t>
      </w:r>
      <w:r>
        <w:t>, all verified on a live MySQL-compatible server; both foreign keys and check constraints were confirmed to reject invalid rows.</w:t>
      </w:r>
    </w:p>
    <w:p>
      <w:r>
        <w:rPr>
          <w:rFonts w:ascii="Consolas" w:hAnsi="Consolas"/>
          <w:color w:val="2F6F9F"/>
          <w:sz w:val="18"/>
        </w:rPr>
        <w:t>sales</w:t>
      </w:r>
      <w:r>
        <w:t xml:space="preserve"> holds exactly the 1,194 rows of the raw file — no transaction was lost or invented in normalisation. </w:t>
      </w:r>
      <w:r>
        <w:rPr>
          <w:rFonts w:ascii="Consolas" w:hAnsi="Consolas"/>
          <w:color w:val="2F6F9F"/>
          <w:sz w:val="18"/>
        </w:rPr>
        <w:t>customers</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revenue_per_month</w:t>
            </w:r>
          </w:p>
        </w:tc>
        <w:tc>
          <w:tcPr>
            <w:tcW w:type="dxa" w:w="1040"/>
          </w:tcPr>
          <w:p>
            <w:r>
              <w:rPr>
                <w:b/>
              </w:rPr>
            </w:r>
            <w:r>
              <w:rPr>
                <w:b/>
              </w:rPr>
              <w:t>avg_line_value</w:t>
            </w:r>
          </w:p>
        </w:tc>
        <w:tc>
          <w:tcPr>
            <w:tcW w:type="dxa" w:w="1040"/>
          </w:tcPr>
          <w:p>
            <w:r>
              <w:rPr>
                <w:b/>
              </w:rPr>
            </w:r>
            <w:r>
              <w:rPr>
                <w:b/>
              </w:rPr>
              <w:t>margin_pct</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t>_The 2024 average line value is exactly 5,010.325. MySQL rounds half away from zero and reports 5,010.33; tools that round half to even report 5,010.32._</w:t>
      </w:r>
    </w:p>
    <w:p>
      <w:r>
        <w:rPr>
          <w:b/>
        </w:rPr>
        <w:t>Business Interpretation — answers Business Question 1.</w:t>
      </w:r>
      <w:r>
        <w:t xml:space="preserve"> Growth stopped in 2022. Note the </w:t>
      </w:r>
      <w:r>
        <w:rPr>
          <w:rFonts w:ascii="Consolas" w:hAnsi="Consolas"/>
          <w:color w:val="2F6F9F"/>
          <w:sz w:val="18"/>
        </w:rPr>
        <w:t>months</w:t>
      </w:r>
      <w:r>
        <w:t xml:space="preserve"> column: 2020 holds only nine complete months, because the file begins on 22 March 2020, so the comparison must be made on </w:t>
      </w:r>
      <w:r>
        <w:rPr>
          <w:rFonts w:ascii="Consolas" w:hAnsi="Consolas"/>
          <w:color w:val="2F6F9F"/>
          <w:sz w:val="18"/>
        </w:rPr>
        <w:t>revenue_per_month</w:t>
      </w:r>
      <w:r>
        <w:t xml:space="preserve">. On that basis revenue climbed 30.9% from 2020 to the 2022 peak, then fell 15.8% in 2023 and a further 2.2% in 2024, finishing </w:t>
      </w:r>
      <w:r>
        <w:rPr>
          <w:b/>
        </w:rPr>
        <w:t>17.6% below the peak</w:t>
      </w:r>
      <w:r>
        <w:t xml:space="preserve">. The decisive detail is that </w:t>
      </w:r>
      <w:r>
        <w:rPr>
          <w:b/>
        </w:rPr>
        <w:t>average line value barely moved</w:t>
      </w:r>
      <w:r>
        <w:t xml:space="preserve"> across all five years (5,008–5,444, a 9% spread) while </w:t>
      </w:r>
      <w:r>
        <w:rPr>
          <w:b/>
        </w:rPr>
        <w:t>transaction count moved a lot</w:t>
      </w:r>
      <w:r>
        <w:t xml:space="preserve"> (18.6 lines per month in 2020, 24.0 in 2022, 20.0 in 2024).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612614"/>
            <wp:docPr id="2" name="Picture 2"/>
            <wp:cNvGraphicFramePr>
              <a:graphicFrameLocks noChangeAspect="1"/>
            </wp:cNvGraphicFramePr>
            <a:graphic>
              <a:graphicData uri="http://schemas.openxmlformats.org/drawingml/2006/picture">
                <pic:pic>
                  <pic:nvPicPr>
                    <pic:cNvPr id="0" name="fig1_annual_trend.png"/>
                    <pic:cNvPicPr/>
                  </pic:nvPicPr>
                  <pic:blipFill>
                    <a:blip r:embed="rId10"/>
                    <a:stretch>
                      <a:fillRect/>
                    </a:stretch>
                  </pic:blipFill>
                  <pic:spPr>
                    <a:xfrm>
                      <a:off x="0" y="0"/>
                      <a:ext cx="5486400" cy="3612614"/>
                    </a:xfrm>
                    <a:prstGeom prst="rect"/>
                  </pic:spPr>
                </pic:pic>
              </a:graphicData>
            </a:graphic>
          </wp:inline>
        </w:drawing>
      </w:r>
    </w:p>
    <w:p>
      <w:pPr>
        <w:spacing w:after="200" w:line="240" w:lineRule="auto"/>
        <w:jc w:val="center"/>
      </w:pPr>
      <w:r>
        <w:rPr>
          <w:i/>
          <w:color w:val="7B8994"/>
          <w:sz w:val="20"/>
        </w:rPr>
        <w:t>Figure 2. The sales trend in two regimes, measured per month so the nine-month 2020 compares fairly: growth of 30.9% to the 2022 peak, then a 17.6% fall to a plateau.</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(11.09% of annual revenue) and October (10.70%) are the two strongest months; Q4 as a whole carries 29.4% of the year against the 25% a flat distribution would give. January is the trough at 4.73%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2_monthly_seasonality.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sales → dates</w:t>
      </w:r>
      <w:r>
        <w:t xml:space="preserve">, </w:t>
      </w:r>
      <w:r>
        <w:rPr>
          <w:rFonts w:ascii="Consolas" w:hAnsi="Consolas"/>
          <w:color w:val="2F6F9F"/>
          <w:sz w:val="18"/>
        </w:rPr>
        <w:t>sub_categories → categories</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4" name="Picture 4"/>
            <wp:cNvGraphicFramePr>
              <a:graphicFrameLocks noChangeAspect="1"/>
            </wp:cNvGraphicFramePr>
            <a:graphic>
              <a:graphicData uri="http://schemas.openxmlformats.org/drawingml/2006/picture">
                <pic:pic>
                  <pic:nvPicPr>
                    <pic:cNvPr id="0" name="fig3_category_trend.png"/>
                    <pic:cNvPicPr/>
                  </pic:nvPicPr>
                  <pic:blipFill>
                    <a:blip r:embed="rId12"/>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4.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sales → customers → cities → states</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32.2% of their own annual revenue), consistent with holiday and new-fiscal-year buying. </w:t>
      </w:r>
      <w:r>
        <w:rPr>
          <w:b/>
        </w:rPr>
        <w:t>Electronics does not</w:t>
      </w:r>
      <w:r>
        <w:t xml:space="preserve"> — it peaks in Q2 at 30.79%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per month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