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Sales Trend Analysis</w:t>
      </w:r>
    </w:p>
    <w:p>
      <w:pPr>
        <w:pStyle w:val="Heading2"/>
      </w:pPr>
      <w:r>
        <w:t>Why a growing retailer stopped growing, and what the data says to do about it</w:t>
      </w:r>
    </w:p>
    <w:p>
      <w:r>
        <w:rPr>
          <w:b/>
        </w:rPr>
        <w:t>Integrated Capstone Report</w:t>
      </w:r>
    </w:p>
    <w:p>
      <w:r>
        <w:t>BED 106 — Business Analytics · Mini Capstone Project Talibon Polytechnic College A.Y. 2026–2027, 1st Semester</w:t>
      </w:r>
    </w:p>
    <w:tbl>
      <w:tblPr>
        <w:tblStyle w:val="LightGrid-Accent1"/>
        <w:tblW w:type="auto" w:w="0"/>
        <w:jc w:val="center"/>
        <w:tblLayout w:type="autofit"/>
        <w:tblLook w:firstColumn="1" w:firstRow="1" w:lastColumn="0" w:lastRow="0" w:noHBand="0" w:noVBand="1" w:val="04A0"/>
      </w:tblPr>
      <w:tblGrid>
        <w:gridCol w:w="3120"/>
        <w:gridCol w:w="3120"/>
        <w:gridCol w:w="3120"/>
      </w:tblGrid>
      <w:tr>
        <w:tc>
          <w:tcPr>
            <w:tcW w:type="dxa" w:w="3120"/>
          </w:tcPr>
          <w:p>
            <w:r>
              <w:rPr>
                <w:b/>
              </w:rPr>
            </w:r>
            <w:r>
              <w:rPr>
                <w:b/>
              </w:rPr>
              <w:t>Member</w:t>
            </w:r>
          </w:p>
        </w:tc>
        <w:tc>
          <w:tcPr>
            <w:tcW w:type="dxa" w:w="3120"/>
          </w:tcPr>
          <w:p>
            <w:r>
              <w:rPr>
                <w:b/>
              </w:rPr>
            </w:r>
            <w:r>
              <w:rPr>
                <w:b/>
              </w:rPr>
              <w:t>Role</w:t>
            </w:r>
          </w:p>
        </w:tc>
        <w:tc>
          <w:tcPr>
            <w:tcW w:type="dxa" w:w="3120"/>
          </w:tcPr>
          <w:p>
            <w:r>
              <w:rPr>
                <w:b/>
              </w:rPr>
            </w:r>
            <w:r>
              <w:rPr>
                <w:b/>
              </w:rPr>
              <w:t>Signature</w:t>
            </w:r>
          </w:p>
        </w:tc>
      </w:tr>
      <w:tr>
        <w:tc>
          <w:tcPr>
            <w:tcW w:type="dxa" w:w="3120"/>
          </w:tcPr>
          <w:p>
            <w:pPr>
              <w:spacing w:line="240" w:lineRule="auto"/>
            </w:pPr>
            <w:r>
              <w:rPr>
                <w:sz w:val="18"/>
              </w:rPr>
            </w:r>
            <w:r>
              <w:rPr>
                <w:sz w:val="18"/>
              </w:rPr>
              <w:t>Alber</w:t>
            </w:r>
          </w:p>
        </w:tc>
        <w:tc>
          <w:tcPr>
            <w:tcW w:type="dxa" w:w="3120"/>
          </w:tcPr>
          <w:p>
            <w:pPr>
              <w:spacing w:line="240" w:lineRule="auto"/>
            </w:pPr>
            <w:r>
              <w:rPr>
                <w:sz w:val="18"/>
              </w:rPr>
            </w:r>
          </w:p>
        </w:tc>
        <w:tc>
          <w:tcPr>
            <w:tcW w:type="dxa" w:w="3120"/>
          </w:tcPr>
          <w:p>
            <w:pPr>
              <w:spacing w:line="240" w:lineRule="auto"/>
            </w:pPr>
            <w:r>
              <w:rPr>
                <w:sz w:val="18"/>
              </w:rPr>
            </w:r>
          </w:p>
        </w:tc>
      </w:tr>
      <w:tr>
        <w:tc>
          <w:tcPr>
            <w:tcW w:type="dxa" w:w="3120"/>
          </w:tcPr>
          <w:p>
            <w:pPr>
              <w:spacing w:line="240" w:lineRule="auto"/>
            </w:pPr>
            <w:r>
              <w:rPr>
                <w:sz w:val="18"/>
              </w:rPr>
            </w:r>
            <w:r>
              <w:rPr>
                <w:sz w:val="18"/>
              </w:rPr>
              <w:t>Julebeth</w:t>
            </w:r>
          </w:p>
        </w:tc>
        <w:tc>
          <w:tcPr>
            <w:tcW w:type="dxa" w:w="3120"/>
          </w:tcPr>
          <w:p>
            <w:pPr>
              <w:spacing w:line="240" w:lineRule="auto"/>
            </w:pPr>
            <w:r>
              <w:rPr>
                <w:sz w:val="18"/>
              </w:rPr>
            </w:r>
          </w:p>
        </w:tc>
        <w:tc>
          <w:tcPr>
            <w:tcW w:type="dxa" w:w="3120"/>
          </w:tcPr>
          <w:p>
            <w:pPr>
              <w:spacing w:line="240" w:lineRule="auto"/>
            </w:pPr>
            <w:r>
              <w:rPr>
                <w:sz w:val="18"/>
              </w:rPr>
            </w:r>
          </w:p>
        </w:tc>
      </w:tr>
      <w:tr>
        <w:tc>
          <w:tcPr>
            <w:tcW w:type="dxa" w:w="3120"/>
          </w:tcPr>
          <w:p>
            <w:pPr>
              <w:spacing w:line="240" w:lineRule="auto"/>
            </w:pPr>
            <w:r>
              <w:rPr>
                <w:sz w:val="18"/>
              </w:rPr>
            </w:r>
            <w:r>
              <w:rPr>
                <w:sz w:val="18"/>
              </w:rPr>
              <w:t>Mardy</w:t>
            </w:r>
          </w:p>
        </w:tc>
        <w:tc>
          <w:tcPr>
            <w:tcW w:type="dxa" w:w="3120"/>
          </w:tcPr>
          <w:p>
            <w:pPr>
              <w:spacing w:line="240" w:lineRule="auto"/>
            </w:pPr>
            <w:r>
              <w:rPr>
                <w:sz w:val="18"/>
              </w:rPr>
            </w:r>
          </w:p>
        </w:tc>
        <w:tc>
          <w:tcPr>
            <w:tcW w:type="dxa" w:w="3120"/>
          </w:tcPr>
          <w:p>
            <w:pPr>
              <w:spacing w:line="240" w:lineRule="auto"/>
            </w:pPr>
            <w:r>
              <w:rPr>
                <w:sz w:val="18"/>
              </w:rPr>
            </w:r>
          </w:p>
        </w:tc>
      </w:tr>
    </w:tbl>
    <w:p>
      <w:pPr>
        <w:spacing w:after="200" w:line="240" w:lineRule="auto"/>
        <w:jc w:val="center"/>
      </w:pPr>
      <w:r>
        <w:rPr>
          <w:i/>
          <w:color w:val="7B8994"/>
          <w:sz w:val="20"/>
        </w:rPr>
        <w:t>Table 1. Group members and assigned project roles.</w:t>
      </w:r>
    </w:p>
    <w:tbl>
      <w:tblPr>
        <w:tblStyle w:val="LightGrid-Accent1"/>
        <w:tblW w:type="auto" w:w="0"/>
        <w:jc w:val="center"/>
        <w:tblLayout w:type="autofit"/>
        <w:tblLook w:firstColumn="1" w:firstRow="1" w:lastColumn="0" w:lastRow="0" w:noHBand="0" w:noVBand="1" w:val="04A0"/>
      </w:tblPr>
      <w:tblGrid>
        <w:gridCol w:w="4680"/>
        <w:gridCol w:w="4680"/>
      </w:tblGrid>
      <w:tr>
        <w:tc>
          <w:tcPr>
            <w:tcW w:type="dxa" w:w="4680"/>
          </w:tcPr>
          <w:p>
            <w:r>
              <w:rPr>
                <w:b/>
              </w:rPr>
            </w:r>
          </w:p>
        </w:tc>
        <w:tc>
          <w:tcPr>
            <w:tcW w:type="dxa" w:w="4680"/>
          </w:tcPr>
          <w:p>
            <w:r>
              <w:rPr>
                <w:b/>
              </w:rPr>
            </w:r>
          </w:p>
        </w:tc>
      </w:tr>
      <w:tr>
        <w:tc>
          <w:tcPr>
            <w:tcW w:type="dxa" w:w="4680"/>
          </w:tcPr>
          <w:p>
            <w:pPr>
              <w:spacing w:line="240" w:lineRule="auto"/>
            </w:pPr>
            <w:r>
              <w:rPr>
                <w:sz w:val="18"/>
              </w:rPr>
            </w:r>
            <w:r>
              <w:rPr>
                <w:b/>
                <w:sz w:val="18"/>
              </w:rPr>
              <w:t>Group Name / Number</w:t>
            </w:r>
          </w:p>
        </w:tc>
        <w:tc>
          <w:tcPr>
            <w:tcW w:type="dxa" w:w="4680"/>
          </w:tcPr>
          <w:p>
            <w:pPr>
              <w:spacing w:line="240" w:lineRule="auto"/>
            </w:pPr>
            <w:r>
              <w:rPr>
                <w:sz w:val="18"/>
              </w:rPr>
            </w:r>
            <w:r>
              <w:rPr>
                <w:sz w:val="18"/>
              </w:rPr>
              <w:t>_______________________</w:t>
            </w:r>
          </w:p>
        </w:tc>
      </w:tr>
      <w:tr>
        <w:tc>
          <w:tcPr>
            <w:tcW w:type="dxa" w:w="4680"/>
          </w:tcPr>
          <w:p>
            <w:pPr>
              <w:spacing w:line="240" w:lineRule="auto"/>
            </w:pPr>
            <w:r>
              <w:rPr>
                <w:sz w:val="18"/>
              </w:rPr>
            </w:r>
            <w:r>
              <w:rPr>
                <w:b/>
                <w:sz w:val="18"/>
              </w:rPr>
              <w:t>Course Code and Title</w:t>
            </w:r>
          </w:p>
        </w:tc>
        <w:tc>
          <w:tcPr>
            <w:tcW w:type="dxa" w:w="4680"/>
          </w:tcPr>
          <w:p>
            <w:pPr>
              <w:spacing w:line="240" w:lineRule="auto"/>
            </w:pPr>
            <w:r>
              <w:rPr>
                <w:sz w:val="18"/>
              </w:rPr>
            </w:r>
            <w:r>
              <w:rPr>
                <w:sz w:val="18"/>
              </w:rPr>
              <w:t>BED 106 — Business Analytics</w:t>
            </w:r>
          </w:p>
        </w:tc>
      </w:tr>
      <w:tr>
        <w:tc>
          <w:tcPr>
            <w:tcW w:type="dxa" w:w="4680"/>
          </w:tcPr>
          <w:p>
            <w:pPr>
              <w:spacing w:line="240" w:lineRule="auto"/>
            </w:pPr>
            <w:r>
              <w:rPr>
                <w:sz w:val="18"/>
              </w:rPr>
            </w:r>
            <w:r>
              <w:rPr>
                <w:b/>
                <w:sz w:val="18"/>
              </w:rPr>
              <w:t>Project Title</w:t>
            </w:r>
          </w:p>
        </w:tc>
        <w:tc>
          <w:tcPr>
            <w:tcW w:type="dxa" w:w="4680"/>
          </w:tcPr>
          <w:p>
            <w:pPr>
              <w:spacing w:line="240" w:lineRule="auto"/>
            </w:pPr>
            <w:r>
              <w:rPr>
                <w:sz w:val="18"/>
              </w:rPr>
            </w:r>
            <w:r>
              <w:rPr>
                <w:sz w:val="18"/>
              </w:rPr>
              <w:t>Sales Trend Analysis: diagnosing a growth plateau in a multi-category retailer</w:t>
            </w:r>
          </w:p>
        </w:tc>
      </w:tr>
      <w:tr>
        <w:tc>
          <w:tcPr>
            <w:tcW w:type="dxa" w:w="4680"/>
          </w:tcPr>
          <w:p>
            <w:pPr>
              <w:spacing w:line="240" w:lineRule="auto"/>
            </w:pPr>
            <w:r>
              <w:rPr>
                <w:sz w:val="18"/>
              </w:rPr>
            </w:r>
            <w:r>
              <w:rPr>
                <w:b/>
                <w:sz w:val="18"/>
              </w:rPr>
              <w:t>Instructor</w:t>
            </w:r>
          </w:p>
        </w:tc>
        <w:tc>
          <w:tcPr>
            <w:tcW w:type="dxa" w:w="4680"/>
          </w:tcPr>
          <w:p>
            <w:pPr>
              <w:spacing w:line="240" w:lineRule="auto"/>
            </w:pPr>
            <w:r>
              <w:rPr>
                <w:sz w:val="18"/>
              </w:rPr>
            </w:r>
            <w:r>
              <w:rPr>
                <w:sz w:val="18"/>
              </w:rPr>
              <w:t>Jessie A. Melendres</w:t>
            </w:r>
          </w:p>
        </w:tc>
      </w:tr>
      <w:tr>
        <w:tc>
          <w:tcPr>
            <w:tcW w:type="dxa" w:w="4680"/>
          </w:tcPr>
          <w:p>
            <w:pPr>
              <w:spacing w:line="240" w:lineRule="auto"/>
            </w:pPr>
            <w:r>
              <w:rPr>
                <w:sz w:val="18"/>
              </w:rPr>
            </w:r>
            <w:r>
              <w:rPr>
                <w:b/>
                <w:sz w:val="18"/>
              </w:rPr>
              <w:t>Submission Date</w:t>
            </w:r>
          </w:p>
        </w:tc>
        <w:tc>
          <w:tcPr>
            <w:tcW w:type="dxa" w:w="4680"/>
          </w:tcPr>
          <w:p>
            <w:pPr>
              <w:spacing w:line="240" w:lineRule="auto"/>
            </w:pPr>
            <w:r>
              <w:rPr>
                <w:sz w:val="18"/>
              </w:rPr>
            </w:r>
            <w:r>
              <w:rPr>
                <w:sz w:val="18"/>
              </w:rPr>
              <w:t>_______________________</w:t>
            </w:r>
          </w:p>
        </w:tc>
      </w:tr>
      <w:tr>
        <w:tc>
          <w:tcPr>
            <w:tcW w:type="dxa" w:w="4680"/>
          </w:tcPr>
          <w:p>
            <w:pPr>
              <w:spacing w:line="240" w:lineRule="auto"/>
            </w:pPr>
            <w:r>
              <w:rPr>
                <w:sz w:val="18"/>
              </w:rPr>
            </w:r>
            <w:r>
              <w:rPr>
                <w:b/>
                <w:sz w:val="18"/>
              </w:rPr>
              <w:t>Academic Year</w:t>
            </w:r>
          </w:p>
        </w:tc>
        <w:tc>
          <w:tcPr>
            <w:tcW w:type="dxa" w:w="4680"/>
          </w:tcPr>
          <w:p>
            <w:pPr>
              <w:spacing w:line="240" w:lineRule="auto"/>
            </w:pPr>
            <w:r>
              <w:rPr>
                <w:sz w:val="18"/>
              </w:rPr>
            </w:r>
            <w:r>
              <w:rPr>
                <w:sz w:val="18"/>
              </w:rPr>
              <w:t>2026–2027, 1st Semester</w:t>
            </w:r>
          </w:p>
        </w:tc>
      </w:tr>
    </w:tbl>
    <w:p>
      <w:pPr>
        <w:spacing w:after="200" w:line="240" w:lineRule="auto"/>
        <w:jc w:val="center"/>
      </w:pPr>
      <w:r>
        <w:rPr>
          <w:i/>
          <w:color w:val="7B8994"/>
          <w:sz w:val="20"/>
        </w:rPr>
        <w:t>Table 2. Why a growing retailer stopped growing, and what the data says to do about it</w:t>
      </w:r>
    </w:p>
    <w:p>
      <w:r>
        <w:br w:type="page"/>
      </w:r>
    </w:p>
    <w:p>
      <w:pPr>
        <w:pStyle w:val="Heading1"/>
      </w:pPr>
      <w:r>
        <w:t>2. Executive Summary</w:t>
      </w:r>
    </w:p>
    <w:p>
      <w:r>
        <w:t xml:space="preserve">This project analyses five years of transaction data from a multi-category retailer — electronics, furniture and office supplies — trading across six US states between March 2020 and March 2025. The business question is narrow and specific: </w:t>
      </w:r>
      <w:r>
        <w:rPr>
          <w:b/>
        </w:rPr>
        <w:t>the company grew, then stopped, and nobody could say why.</w:t>
      </w:r>
    </w:p>
    <w:p>
      <w:r>
        <w:t xml:space="preserve">On a like-for-like monthly basis revenue rose </w:t>
      </w:r>
      <w:r>
        <w:rPr>
          <w:b/>
        </w:rPr>
        <w:t>30.9%</w:t>
      </w:r>
      <w:r>
        <w:t xml:space="preserve"> from 2020 to a peak in 2022, then fell in each of the next two years to finish 2024 </w:t>
      </w:r>
      <w:r>
        <w:rPr>
          <w:b/>
        </w:rPr>
        <w:t>17.6% below</w:t>
      </w:r>
      <w:r>
        <w:t xml:space="preserve"> that peak. What makes this an analytical problem rather than an obvious one is what did </w:t>
      </w:r>
      <w:r>
        <w:rPr>
          <w:i/>
        </w:rPr>
        <w:t>not</w:t>
      </w:r>
      <w:r>
        <w:t xml:space="preserve"> move. Margin held between 23.97% and 26.93% across the whole period, and average order value stayed between 5,008 and 5,444. Had margin collapsed, the answer would be that the company discounted too hard. It did not. The company is writing </w:t>
      </w:r>
      <w:r>
        <w:rPr>
          <w:b/>
        </w:rPr>
        <w:t>fewer orders, not worse ones</w:t>
      </w:r>
      <w:r>
        <w:t xml:space="preserve"> — and a single annual revenue figure cannot say which orders went missing, when, or where.</w:t>
      </w:r>
    </w:p>
    <w:p>
      <w:r>
        <w:rPr>
          <w:b/>
        </w:rPr>
        <w:t>Methods.</w:t>
      </w:r>
      <w:r>
        <w:t xml:space="preserve"> We built a normalised database and interrogated it with SQL (Checkpoint 1), took the same data into Excel for descriptive statistics, correlation and regression (Checkpoint 2), built an interactive Power BI dashboard and applied k-means segmentation (Checkpoint 3), then extended the regression into a multiple-predictor model and evaluated it against held-out data (Checkpoint 4).</w:t>
      </w:r>
    </w:p>
    <w:p>
      <w:r>
        <w:rPr>
          <w:b/>
        </w:rPr>
        <w:t>Four findings carry the report.</w:t>
      </w:r>
    </w:p>
    <w:p>
      <w:r>
        <w:rPr>
          <w:b/>
        </w:rPr>
        <w:t>The decline is concentrated, not general.</w:t>
      </w:r>
      <w:r>
        <w:t xml:space="preserve"> Printers alone lost </w:t>
      </w:r>
      <w:r>
        <w:rPr>
          <w:b/>
        </w:rPr>
        <w:t>136,865</w:t>
      </w:r>
      <w:r>
        <w:t xml:space="preserve"> between 2023 and 2024 — a 71.0% collapse, and more than half the entire gap between the 2022 peak and 2024. Every Electronics sub-category fell; every Office Supplies sub-category grew, led by Paper at +149.4%. Two opposite trends run at once, and the company-wide figure is their average, which describes neither.</w:t>
      </w:r>
    </w:p>
    <w:p>
      <w:r>
        <w:rPr>
          <w:b/>
        </w:rPr>
        <w:t>Order count is the only measurable driver of revenue.</w:t>
      </w:r>
      <w:r>
        <w:t xml:space="preserve"> It explains 85% of month-to-month variation (r = 0.9227, R² = 0.8514, p = 1.98 × 10⁻²⁴). When units sold, customer count, product mix and elapsed time were each given a fair chance alongside it in a multiple regression, </w:t>
      </w:r>
      <w:r>
        <w:rPr>
          <w:b/>
        </w:rPr>
        <w:t>none of them explained anything</w:t>
      </w:r>
      <w:r>
        <w:t xml:space="preserve">. Closing the four-order-per-month gap against 2022 is worth roughly </w:t>
      </w:r>
      <w:r>
        <w:rPr>
          <w:b/>
        </w:rPr>
        <w:t>250,000 a year</w:t>
      </w:r>
      <w:r>
        <w:t xml:space="preserve"> — a figure Checkpoint 1 reached independently, at 257,297, by summing category shortfalls.</w:t>
      </w:r>
    </w:p>
    <w:p>
      <w:r>
        <w:rPr>
          <w:b/>
        </w:rPr>
        <w:t>Seasonality is category-specific.</w:t>
      </w:r>
      <w:r>
        <w:t xml:space="preserve"> Electronics peaks in Q2 at 30.79% of its own annual revenue while Furniture and Office Supplies peak in Q4. The single blended planning curve the business uses is wrong for all three.</w:t>
      </w:r>
    </w:p>
    <w:p>
      <w:r>
        <w:rPr>
          <w:b/>
        </w:rPr>
        <w:t>Revenue is a poor proxy for profit, and the customer base proves it.</w:t>
      </w:r>
      <w:r>
        <w:t xml:space="preserve"> Clustering 807 customers produced three segments. The largest — 43% of customers and a third of revenue — returns just </w:t>
      </w:r>
      <w:r>
        <w:rPr>
          <w:b/>
        </w:rPr>
        <w:t>19% of the profit</w:t>
      </w:r>
      <w:r>
        <w:t xml:space="preserve">, while a smaller, higher-margin group turns less revenue into </w:t>
      </w:r>
      <w:r>
        <w:rPr>
          <w:b/>
        </w:rPr>
        <w:t>43%</w:t>
      </w:r>
      <w:r>
        <w:t xml:space="preserve"> of it. A sales effort aimed at revenue would chase the wrong group.</w:t>
      </w:r>
    </w:p>
    <w:p>
      <w:r>
        <w:rPr>
          <w:b/>
        </w:rPr>
        <w:t>Recommendations.</w:t>
      </w:r>
      <w:r>
        <w:t xml:space="preserve"> Track order count rather than revenue as the primary KPI; investigate Printers first; plan seasonality by category; segment on margin rather than revenue; and stop setting volume or acquisition targets, which the data shows do not move revenue.</w:t>
      </w:r>
    </w:p>
    <w:p>
      <w:r>
        <w:rPr>
          <w:b/>
        </w:rPr>
        <w:t>Limitations, stated plainly.</w:t>
      </w:r>
      <w:r>
        <w:t xml:space="preserve"> The dataset is </w:t>
      </w:r>
      <w:r>
        <w:rPr>
          <w:b/>
        </w:rPr>
        <w:t>synthetic</w:t>
      </w:r>
      <w:r>
        <w:t xml:space="preserve"> — generated, not collected — which we established with five independent machine-checked signals rather than discovering late. The figures therefore illustrate a method rather than describe a real company, though every query, statistic and model here would run identically against a real export. Our six-month forecast was tested against held-out months and </w:t>
      </w:r>
      <w:r>
        <w:rPr>
          <w:b/>
        </w:rPr>
        <w:t>lost to a naive flat average</w:t>
      </w:r>
      <w:r>
        <w:t>, 22.7% mean absolute error against 14.9%; we report that rather than drop the test. And correlation is not causation: order count and revenue move together, which is not proof that one causes the other.</w:t>
      </w:r>
    </w:p>
    <w:p>
      <w:r>
        <w:br w:type="page"/>
      </w:r>
    </w:p>
    <w:p>
      <w:pPr>
        <w:pStyle w:val="Heading1"/>
      </w:pPr>
      <w:r>
        <w:t>3. Business Problem and Data Source</w:t>
      </w:r>
    </w:p>
    <w:p>
      <w:pPr>
        <w:pStyle w:val="Heading2"/>
      </w:pPr>
      <w:r>
        <w:t>3.1 The business and the problem</w:t>
      </w:r>
    </w:p>
    <w:p>
      <w:r>
        <w:t>The subject is a multi-category retailer selling electronics, furniture and office supplies across six US states — Illinois, California, Texas, Florida, New York and Washington — through 18 cities. Retail and Sales Analytics is an approved domain under Section 1.3 of the project brief, and sales trend analysis is listed under it.</w:t>
      </w:r>
    </w:p>
    <w:p>
      <w:r>
        <w:t>The company grew to a revenue peak in 2022 and has declined since. The decisions hanging on an explanation are concrete: what to stock, when to stock it, and where to direct sales effort. Getting them wrong costs inventory that does not sell and campaigns that land in the wrong quarter.</w:t>
      </w:r>
    </w:p>
    <w:p>
      <w:pPr>
        <w:pStyle w:val="Heading2"/>
      </w:pPr>
      <w:r>
        <w:t>3.2 The three business questions</w:t>
      </w:r>
    </w:p>
    <w:tbl>
      <w:tblPr>
        <w:tblStyle w:val="LightGrid-Accent1"/>
        <w:tblW w:type="auto" w:w="0"/>
        <w:jc w:val="center"/>
        <w:tblLayout w:type="autofit"/>
        <w:tblLook w:firstColumn="1" w:firstRow="1" w:lastColumn="0" w:lastRow="0" w:noHBand="0" w:noVBand="1" w:val="04A0"/>
      </w:tblPr>
      <w:tblGrid>
        <w:gridCol w:w="3120"/>
        <w:gridCol w:w="3120"/>
        <w:gridCol w:w="3120"/>
      </w:tblGrid>
      <w:tr>
        <w:tc>
          <w:tcPr>
            <w:tcW w:type="dxa" w:w="3120"/>
          </w:tcPr>
          <w:p>
            <w:r>
              <w:rPr>
                <w:b/>
              </w:rPr>
            </w:r>
            <w:r>
              <w:rPr>
                <w:b/>
              </w:rPr>
              <w:t>#</w:t>
            </w:r>
          </w:p>
        </w:tc>
        <w:tc>
          <w:tcPr>
            <w:tcW w:type="dxa" w:w="3120"/>
          </w:tcPr>
          <w:p>
            <w:r>
              <w:rPr>
                <w:b/>
              </w:rPr>
            </w:r>
            <w:r>
              <w:rPr>
                <w:b/>
              </w:rPr>
              <w:t>Question</w:t>
            </w:r>
          </w:p>
        </w:tc>
        <w:tc>
          <w:tcPr>
            <w:tcW w:type="dxa" w:w="3120"/>
          </w:tcPr>
          <w:p>
            <w:r>
              <w:rPr>
                <w:b/>
              </w:rPr>
            </w:r>
            <w:r>
              <w:rPr>
                <w:b/>
              </w:rPr>
              <w:t>Answered by</w:t>
            </w:r>
          </w:p>
        </w:tc>
      </w:tr>
      <w:tr>
        <w:tc>
          <w:tcPr>
            <w:tcW w:type="dxa" w:w="3120"/>
          </w:tcPr>
          <w:p>
            <w:pPr>
              <w:spacing w:line="240" w:lineRule="auto"/>
            </w:pPr>
            <w:r>
              <w:rPr>
                <w:sz w:val="18"/>
              </w:rPr>
            </w:r>
            <w:r>
              <w:rPr>
                <w:sz w:val="18"/>
              </w:rPr>
              <w:t>1</w:t>
            </w:r>
          </w:p>
        </w:tc>
        <w:tc>
          <w:tcPr>
            <w:tcW w:type="dxa" w:w="3120"/>
          </w:tcPr>
          <w:p>
            <w:pPr>
              <w:spacing w:line="240" w:lineRule="auto"/>
            </w:pPr>
            <w:r>
              <w:rPr>
                <w:sz w:val="18"/>
              </w:rPr>
            </w:r>
            <w:r>
              <w:rPr>
                <w:sz w:val="18"/>
              </w:rPr>
              <w:t>How have revenue and profit trended, and is the company still growing?</w:t>
            </w:r>
          </w:p>
        </w:tc>
        <w:tc>
          <w:tcPr>
            <w:tcW w:type="dxa" w:w="3120"/>
          </w:tcPr>
          <w:p>
            <w:pPr>
              <w:spacing w:line="240" w:lineRule="auto"/>
            </w:pPr>
            <w:r>
              <w:rPr>
                <w:sz w:val="18"/>
              </w:rPr>
            </w:r>
            <w:r>
              <w:rPr>
                <w:sz w:val="18"/>
              </w:rPr>
              <w:t>Query 3; Checkpoint 2 regression; Section 7</w:t>
            </w:r>
          </w:p>
        </w:tc>
      </w:tr>
      <w:tr>
        <w:tc>
          <w:tcPr>
            <w:tcW w:type="dxa" w:w="3120"/>
          </w:tcPr>
          <w:p>
            <w:pPr>
              <w:spacing w:line="240" w:lineRule="auto"/>
            </w:pPr>
            <w:r>
              <w:rPr>
                <w:sz w:val="18"/>
              </w:rPr>
            </w:r>
            <w:r>
              <w:rPr>
                <w:sz w:val="18"/>
              </w:rPr>
              <w:t>2</w:t>
            </w:r>
          </w:p>
        </w:tc>
        <w:tc>
          <w:tcPr>
            <w:tcW w:type="dxa" w:w="3120"/>
          </w:tcPr>
          <w:p>
            <w:pPr>
              <w:spacing w:line="240" w:lineRule="auto"/>
            </w:pPr>
            <w:r>
              <w:rPr>
                <w:sz w:val="18"/>
              </w:rPr>
            </w:r>
            <w:r>
              <w:rPr>
                <w:sz w:val="18"/>
              </w:rPr>
              <w:t>Which categories and sub-categories drive the trend?</w:t>
            </w:r>
          </w:p>
        </w:tc>
        <w:tc>
          <w:tcPr>
            <w:tcW w:type="dxa" w:w="3120"/>
          </w:tcPr>
          <w:p>
            <w:pPr>
              <w:spacing w:line="240" w:lineRule="auto"/>
            </w:pPr>
            <w:r>
              <w:rPr>
                <w:sz w:val="18"/>
              </w:rPr>
            </w:r>
            <w:r>
              <w:rPr>
                <w:sz w:val="18"/>
              </w:rPr>
              <w:t>Queries 5 and 7; Section 6 segmentation</w:t>
            </w:r>
          </w:p>
        </w:tc>
      </w:tr>
      <w:tr>
        <w:tc>
          <w:tcPr>
            <w:tcW w:type="dxa" w:w="3120"/>
          </w:tcPr>
          <w:p>
            <w:pPr>
              <w:spacing w:line="240" w:lineRule="auto"/>
            </w:pPr>
            <w:r>
              <w:rPr>
                <w:sz w:val="18"/>
              </w:rPr>
            </w:r>
            <w:r>
              <w:rPr>
                <w:sz w:val="18"/>
              </w:rPr>
              <w:t>3</w:t>
            </w:r>
          </w:p>
        </w:tc>
        <w:tc>
          <w:tcPr>
            <w:tcW w:type="dxa" w:w="3120"/>
          </w:tcPr>
          <w:p>
            <w:pPr>
              <w:spacing w:line="240" w:lineRule="auto"/>
            </w:pPr>
            <w:r>
              <w:rPr>
                <w:sz w:val="18"/>
              </w:rPr>
            </w:r>
            <w:r>
              <w:rPr>
                <w:sz w:val="18"/>
              </w:rPr>
              <w:t>When does demand concentrate, and is the pattern the same for every category?</w:t>
            </w:r>
          </w:p>
        </w:tc>
        <w:tc>
          <w:tcPr>
            <w:tcW w:type="dxa" w:w="3120"/>
          </w:tcPr>
          <w:p>
            <w:pPr>
              <w:spacing w:line="240" w:lineRule="auto"/>
            </w:pPr>
            <w:r>
              <w:rPr>
                <w:sz w:val="18"/>
              </w:rPr>
            </w:r>
            <w:r>
              <w:rPr>
                <w:sz w:val="18"/>
              </w:rPr>
              <w:t>Queries 4 and 8</w:t>
            </w:r>
          </w:p>
        </w:tc>
      </w:tr>
    </w:tbl>
    <w:p>
      <w:pPr>
        <w:spacing w:after="200" w:line="240" w:lineRule="auto"/>
        <w:jc w:val="center"/>
      </w:pPr>
      <w:r>
        <w:rPr>
          <w:i/>
          <w:color w:val="7B8994"/>
          <w:sz w:val="20"/>
        </w:rPr>
        <w:t>Table 3. The three business questions and the analysis that answers each.</w:t>
      </w:r>
    </w:p>
    <w:p>
      <w:r>
        <w:t>Every deliverable in this project maps back to one of these three.</w:t>
      </w:r>
    </w:p>
    <w:p>
      <w:pPr>
        <w:pStyle w:val="Heading2"/>
      </w:pPr>
      <w:r>
        <w:t>3.3 Data source</w:t>
      </w:r>
    </w:p>
    <w:p>
      <w:r>
        <w:t>Historical point-of-sale transaction records, one row per product line on an order, obtained as a public CSV export in the Kaggle "Sales Dataset" format.</w:t>
      </w:r>
    </w:p>
    <w:tbl>
      <w:tblPr>
        <w:tblStyle w:val="LightGrid-Accent1"/>
        <w:tblW w:type="auto" w:w="0"/>
        <w:jc w:val="center"/>
        <w:tblLayout w:type="autofit"/>
        <w:tblLook w:firstColumn="1" w:firstRow="1" w:lastColumn="0" w:lastRow="0" w:noHBand="0" w:noVBand="1" w:val="04A0"/>
      </w:tblPr>
      <w:tblGrid>
        <w:gridCol w:w="4680"/>
        <w:gridCol w:w="4680"/>
      </w:tblGrid>
      <w:tr>
        <w:tc>
          <w:tcPr>
            <w:tcW w:type="dxa" w:w="4680"/>
          </w:tcPr>
          <w:p>
            <w:r>
              <w:rPr>
                <w:b/>
              </w:rPr>
            </w:r>
            <w:r>
              <w:rPr>
                <w:b/>
              </w:rPr>
              <w:t>Attribute</w:t>
            </w:r>
          </w:p>
        </w:tc>
        <w:tc>
          <w:tcPr>
            <w:tcW w:type="dxa" w:w="4680"/>
          </w:tcPr>
          <w:p>
            <w:r>
              <w:rPr>
                <w:b/>
              </w:rPr>
            </w:r>
            <w:r>
              <w:rPr>
                <w:b/>
              </w:rPr>
              <w:t>Details</w:t>
            </w:r>
          </w:p>
        </w:tc>
      </w:tr>
      <w:tr>
        <w:tc>
          <w:tcPr>
            <w:tcW w:type="dxa" w:w="4680"/>
          </w:tcPr>
          <w:p>
            <w:pPr>
              <w:spacing w:line="240" w:lineRule="auto"/>
            </w:pPr>
            <w:r>
              <w:rPr>
                <w:sz w:val="18"/>
              </w:rPr>
            </w:r>
            <w:r>
              <w:rPr>
                <w:sz w:val="18"/>
              </w:rPr>
              <w:t>Dataset Name</w:t>
            </w:r>
          </w:p>
        </w:tc>
        <w:tc>
          <w:tcPr>
            <w:tcW w:type="dxa" w:w="4680"/>
          </w:tcPr>
          <w:p>
            <w:pPr>
              <w:spacing w:line="240" w:lineRule="auto"/>
            </w:pPr>
            <w:r>
              <w:rPr>
                <w:sz w:val="18"/>
              </w:rPr>
            </w:r>
            <w:r>
              <w:rPr>
                <w:sz w:val="18"/>
              </w:rPr>
              <w:t>Sales Dataset (multi-category US retail transactions)</w:t>
            </w:r>
          </w:p>
        </w:tc>
      </w:tr>
      <w:tr>
        <w:tc>
          <w:tcPr>
            <w:tcW w:type="dxa" w:w="4680"/>
          </w:tcPr>
          <w:p>
            <w:pPr>
              <w:spacing w:line="240" w:lineRule="auto"/>
            </w:pPr>
            <w:r>
              <w:rPr>
                <w:sz w:val="18"/>
              </w:rPr>
            </w:r>
            <w:r>
              <w:rPr>
                <w:sz w:val="18"/>
              </w:rPr>
              <w:t>Source File</w:t>
            </w:r>
          </w:p>
        </w:tc>
        <w:tc>
          <w:tcPr>
            <w:tcW w:type="dxa" w:w="4680"/>
          </w:tcPr>
          <w:p>
            <w:pPr>
              <w:spacing w:line="240" w:lineRule="auto"/>
            </w:pPr>
            <w:r>
              <w:rPr>
                <w:sz w:val="18"/>
              </w:rPr>
            </w:r>
            <w:r>
              <w:rPr>
                <w:rFonts w:ascii="Consolas" w:hAnsi="Consolas"/>
                <w:color w:val="2F6F9F"/>
                <w:sz w:val="18"/>
              </w:rPr>
              <w:t>archive.zip → Sales Dataset.csv</w:t>
            </w:r>
            <w:r>
              <w:rPr>
                <w:sz w:val="18"/>
              </w:rPr>
              <w:t xml:space="preserve">; stored unmodified as </w:t>
            </w:r>
            <w:r>
              <w:rPr>
                <w:rFonts w:ascii="Consolas" w:hAnsi="Consolas"/>
                <w:color w:val="2F6F9F"/>
                <w:sz w:val="18"/>
              </w:rPr>
              <w:t>data/raw/sales_dataset_raw.csv</w:t>
            </w:r>
          </w:p>
        </w:tc>
      </w:tr>
      <w:tr>
        <w:tc>
          <w:tcPr>
            <w:tcW w:type="dxa" w:w="4680"/>
          </w:tcPr>
          <w:p>
            <w:pPr>
              <w:spacing w:line="240" w:lineRule="auto"/>
            </w:pPr>
            <w:r>
              <w:rPr>
                <w:sz w:val="18"/>
              </w:rPr>
            </w:r>
            <w:r>
              <w:rPr>
                <w:sz w:val="18"/>
              </w:rPr>
              <w:t>Date Accessed</w:t>
            </w:r>
          </w:p>
        </w:tc>
        <w:tc>
          <w:tcPr>
            <w:tcW w:type="dxa" w:w="4680"/>
          </w:tcPr>
          <w:p>
            <w:pPr>
              <w:spacing w:line="240" w:lineRule="auto"/>
            </w:pPr>
            <w:r>
              <w:rPr>
                <w:sz w:val="18"/>
              </w:rPr>
            </w:r>
            <w:r>
              <w:rPr>
                <w:sz w:val="18"/>
              </w:rPr>
              <w:t>24 August 2026</w:t>
            </w:r>
          </w:p>
        </w:tc>
      </w:tr>
      <w:tr>
        <w:tc>
          <w:tcPr>
            <w:tcW w:type="dxa" w:w="4680"/>
          </w:tcPr>
          <w:p>
            <w:pPr>
              <w:spacing w:line="240" w:lineRule="auto"/>
            </w:pPr>
            <w:r>
              <w:rPr>
                <w:sz w:val="18"/>
              </w:rPr>
            </w:r>
            <w:r>
              <w:rPr>
                <w:sz w:val="18"/>
              </w:rPr>
              <w:t>Licence</w:t>
            </w:r>
          </w:p>
        </w:tc>
        <w:tc>
          <w:tcPr>
            <w:tcW w:type="dxa" w:w="4680"/>
          </w:tcPr>
          <w:p>
            <w:pPr>
              <w:spacing w:line="240" w:lineRule="auto"/>
            </w:pPr>
            <w:r>
              <w:rPr>
                <w:sz w:val="18"/>
              </w:rPr>
            </w:r>
            <w:r>
              <w:rPr>
                <w:sz w:val="18"/>
              </w:rPr>
              <w:t>Public/open dataset, used for academic coursework only</w:t>
            </w:r>
          </w:p>
        </w:tc>
      </w:tr>
      <w:tr>
        <w:tc>
          <w:tcPr>
            <w:tcW w:type="dxa" w:w="4680"/>
          </w:tcPr>
          <w:p>
            <w:pPr>
              <w:spacing w:line="240" w:lineRule="auto"/>
            </w:pPr>
            <w:r>
              <w:rPr>
                <w:sz w:val="18"/>
              </w:rPr>
            </w:r>
            <w:r>
              <w:rPr>
                <w:sz w:val="18"/>
              </w:rPr>
              <w:t>Size</w:t>
            </w:r>
          </w:p>
        </w:tc>
        <w:tc>
          <w:tcPr>
            <w:tcW w:type="dxa" w:w="4680"/>
          </w:tcPr>
          <w:p>
            <w:pPr>
              <w:spacing w:line="240" w:lineRule="auto"/>
            </w:pPr>
            <w:r>
              <w:rPr>
                <w:sz w:val="18"/>
              </w:rPr>
            </w:r>
            <w:r>
              <w:rPr>
                <w:sz w:val="18"/>
              </w:rPr>
              <w:t>1,194 data rows × 12 columns</w:t>
            </w:r>
          </w:p>
        </w:tc>
      </w:tr>
      <w:tr>
        <w:tc>
          <w:tcPr>
            <w:tcW w:type="dxa" w:w="4680"/>
          </w:tcPr>
          <w:p>
            <w:pPr>
              <w:spacing w:line="240" w:lineRule="auto"/>
            </w:pPr>
            <w:r>
              <w:rPr>
                <w:sz w:val="18"/>
              </w:rPr>
            </w:r>
            <w:r>
              <w:rPr>
                <w:sz w:val="18"/>
              </w:rPr>
              <w:t>Coverage</w:t>
            </w:r>
          </w:p>
        </w:tc>
        <w:tc>
          <w:tcPr>
            <w:tcW w:type="dxa" w:w="4680"/>
          </w:tcPr>
          <w:p>
            <w:pPr>
              <w:spacing w:line="240" w:lineRule="auto"/>
            </w:pPr>
            <w:r>
              <w:rPr>
                <w:sz w:val="18"/>
              </w:rPr>
            </w:r>
            <w:r>
              <w:rPr>
                <w:sz w:val="18"/>
              </w:rPr>
              <w:t>22 March 2020 – 15 March 2025</w:t>
            </w:r>
          </w:p>
        </w:tc>
      </w:tr>
      <w:tr>
        <w:tc>
          <w:tcPr>
            <w:tcW w:type="dxa" w:w="4680"/>
          </w:tcPr>
          <w:p>
            <w:pPr>
              <w:spacing w:line="240" w:lineRule="auto"/>
            </w:pPr>
            <w:r>
              <w:rPr>
                <w:sz w:val="18"/>
              </w:rPr>
            </w:r>
            <w:r>
              <w:rPr>
                <w:sz w:val="18"/>
              </w:rPr>
              <w:t>Currency</w:t>
            </w:r>
          </w:p>
        </w:tc>
        <w:tc>
          <w:tcPr>
            <w:tcW w:type="dxa" w:w="4680"/>
          </w:tcPr>
          <w:p>
            <w:pPr>
              <w:spacing w:line="240" w:lineRule="auto"/>
            </w:pPr>
            <w:r>
              <w:rPr>
                <w:sz w:val="18"/>
              </w:rPr>
            </w:r>
            <w:r>
              <w:rPr>
                <w:sz w:val="18"/>
              </w:rPr>
              <w:t xml:space="preserve">Not stated in the source. </w:t>
            </w:r>
            <w:r>
              <w:rPr>
                <w:rFonts w:ascii="Consolas" w:hAnsi="Consolas"/>
                <w:color w:val="2F6F9F"/>
                <w:sz w:val="18"/>
              </w:rPr>
              <w:t>Amount</w:t>
            </w:r>
            <w:r>
              <w:rPr>
                <w:sz w:val="18"/>
              </w:rPr>
              <w:t xml:space="preserve"> and </w:t>
            </w:r>
            <w:r>
              <w:rPr>
                <w:rFonts w:ascii="Consolas" w:hAnsi="Consolas"/>
                <w:color w:val="2F6F9F"/>
                <w:sz w:val="18"/>
              </w:rPr>
              <w:t>Profit</w:t>
            </w:r>
            <w:r>
              <w:rPr>
                <w:sz w:val="18"/>
              </w:rPr>
              <w:t xml:space="preserve"> are unitless integers; all figures are quoted as currency units</w:t>
            </w:r>
          </w:p>
        </w:tc>
      </w:tr>
    </w:tbl>
    <w:p>
      <w:pPr>
        <w:spacing w:after="200" w:line="240" w:lineRule="auto"/>
        <w:jc w:val="center"/>
      </w:pPr>
      <w:r>
        <w:rPr>
          <w:i/>
          <w:color w:val="7B8994"/>
          <w:sz w:val="20"/>
        </w:rPr>
        <w:t>Table 4. Data source report for the sales transaction dataset.</w:t>
      </w:r>
    </w:p>
    <w:p>
      <w:pPr>
        <w:pStyle w:val="Heading2"/>
      </w:pPr>
      <w:r>
        <w:t>3.4 The dataset is synthetic</w:t>
      </w:r>
    </w:p>
    <w:p>
      <w:r>
        <w:t>This is stated here, early, because every figure in the report depends on it.</w:t>
      </w:r>
    </w:p>
    <w:p>
      <w:r>
        <w:t>The file is generated data, not collected trading data. Five independent signals, each checked by machine rather than by eye:</w:t>
      </w:r>
    </w:p>
    <w:p>
      <w:pPr>
        <w:pStyle w:val="ListBullet"/>
      </w:pPr>
      <w:r>
        <w:rPr>
          <w:b/>
        </w:rPr>
        <w:t>No loss-making line in five years.</w:t>
      </w:r>
      <w:r>
        <w:t xml:space="preserve"> All 1,194 rows return a positive profit. No real retailer has that</w:t>
      </w:r>
    </w:p>
    <w:p>
      <w:pPr>
        <w:pStyle w:val="ListBullet"/>
      </w:pPr>
      <w:r>
        <w:rPr>
          <w:b/>
        </w:rPr>
        <w:t>22 of the 802 customer names end in credential suffixes</w:t>
      </w:r>
      <w:r>
        <w:t xml:space="preserve"> such as "MD", "PhD" or "DDS" — a known artefact of the Faker synthetic-data library</w:t>
      </w:r>
    </w:p>
    <w:p>
      <w:pPr>
        <w:pStyle w:val="ListBullet"/>
      </w:pPr>
      <w:r>
        <w:rPr>
          <w:b/>
        </w:rPr>
        <w:t>US cities paired with UPI and EMI payment methods.</w:t>
      </w:r>
      <w:r>
        <w:t xml:space="preserve"> Those are Indian payment rails; they do not occur in US retail</w:t>
      </w:r>
    </w:p>
    <w:p>
      <w:pPr>
        <w:pStyle w:val="ListBullet"/>
      </w:pPr>
      <w:r>
        <w:rPr>
          <w:b/>
        </w:rPr>
        <w:t>A near-uniform payment mix</w:t>
      </w:r>
      <w:r>
        <w:t xml:space="preserve"> — between 206 and 260 transactions for every one of the five methods, where real data shows strong preference</w:t>
      </w:r>
    </w:p>
    <w:p>
      <w:pPr>
        <w:pStyle w:val="ListBullet"/>
      </w:pPr>
      <w:r>
        <w:rPr>
          <w:b/>
        </w:rPr>
        <w:t>A flat transaction-amount distribution.</w:t>
      </w:r>
      <w:r>
        <w:t xml:space="preserve"> Our own Checkpoint 2 histogram confirms it independently: no bin holds more than 11.4% or less than 7.0% of rows, where real transaction values are strongly right-skewed</w:t>
      </w:r>
    </w:p>
    <w:p>
      <w:r>
        <w:rPr>
          <w:b/>
        </w:rPr>
        <w:t>We corrected none of it.</w:t>
      </w:r>
      <w:r>
        <w:t xml:space="preserve"> Fabricating plausible-looking repairs would have been data fabrication, which Section 3.2 of the brief makes grounds for a failing mark. We documented each defect and worked around it. The consequence is that the </w:t>
      </w:r>
      <w:r>
        <w:rPr>
          <w:i/>
        </w:rPr>
        <w:t>figures</w:t>
      </w:r>
      <w:r>
        <w:t xml:space="preserve"> in this report illustrate a method; the </w:t>
      </w:r>
      <w:r>
        <w:rPr>
          <w:i/>
        </w:rPr>
        <w:t>method</w:t>
      </w:r>
      <w:r>
        <w:t xml:space="preserve"> is unaffected and transfers to real data without modification.</w:t>
      </w:r>
    </w:p>
    <w:p>
      <w:r>
        <w:br w:type="page"/>
      </w:r>
    </w:p>
    <w:p>
      <w:pPr>
        <w:pStyle w:val="Heading1"/>
      </w:pPr>
      <w:r>
        <w:t>4. Database Design and SQL Analysis</w:t>
      </w:r>
    </w:p>
    <w:p>
      <w:pPr>
        <w:pStyle w:val="Heading2"/>
      </w:pPr>
      <w:r>
        <w:t>4.1 Data quality assessment</w:t>
      </w:r>
    </w:p>
    <w:p>
      <w:r>
        <w:t>The raw file was assessed before anything was changed. Five problems, in order of the trouble they caused.</w:t>
      </w:r>
    </w:p>
    <w:p>
      <w:r>
        <w:rPr>
          <w:b/>
        </w:rPr>
        <w:t>One — `Order ID` is not a primary key.</w:t>
      </w:r>
      <w:r>
        <w:t xml:space="preserve"> 1,194 rows carry only 547 distinct order identifiers, and the duplicates are not duplicate rows: the same ID appears on different dates, for different customers. It identifies neither a row nor an order. Repairing it would have meant deciding which of two conflicting rows was real with no evidence for the decision, so it was kept as a plain attribute and a surrogate key, </w:t>
      </w:r>
      <w:r>
        <w:rPr>
          <w:rFonts w:ascii="Consolas" w:hAnsi="Consolas"/>
          <w:color w:val="2F6F9F"/>
          <w:sz w:val="18"/>
        </w:rPr>
        <w:t>sale_id</w:t>
      </w:r>
      <w:r>
        <w:t>, issued instead. No question in this project requires order identity.</w:t>
      </w:r>
    </w:p>
    <w:p>
      <w:r>
        <w:rPr>
          <w:b/>
        </w:rPr>
        <w:t>Two — `CustomerName` is not an identifier either.</w:t>
      </w:r>
      <w:r>
        <w:t xml:space="preserve"> 807 customers resolve from 802 distinct names, because five names appear in more than one city. The customer key is therefore the pair (name, city). This defect recurred in Checkpoint 3: building the Power BI model on the name rather than the key would have silently merged those five pairs.</w:t>
      </w:r>
    </w:p>
    <w:p>
      <w:r>
        <w:rPr>
          <w:b/>
        </w:rPr>
        <w:t>Three — `Year-Month` is redundant</w:t>
      </w:r>
      <w:r>
        <w:t xml:space="preserve">, being fully derivable from </w:t>
      </w:r>
      <w:r>
        <w:rPr>
          <w:rFonts w:ascii="Consolas" w:hAnsi="Consolas"/>
          <w:color w:val="2F6F9F"/>
          <w:sz w:val="18"/>
        </w:rPr>
        <w:t>Order Date</w:t>
      </w:r>
      <w:r>
        <w:t xml:space="preserve">, and was dropped from the schema and rebuilt in the </w:t>
      </w:r>
      <w:r>
        <w:rPr>
          <w:rFonts w:ascii="Consolas" w:hAnsi="Consolas"/>
          <w:color w:val="2F6F9F"/>
          <w:sz w:val="18"/>
        </w:rPr>
        <w:t>dates</w:t>
      </w:r>
      <w:r>
        <w:t xml:space="preserve"> dimension.</w:t>
      </w:r>
    </w:p>
    <w:p>
      <w:r>
        <w:rPr>
          <w:b/>
        </w:rPr>
        <w:t>Four — both ends of the file are partial.</w:t>
      </w:r>
      <w:r>
        <w:t xml:space="preserve"> It begins 22 March 2020 and ends 15 March 2025, so neither 2020 nor 2025 is a whole year. This is the defect that caused the single real error in this project; Section 4.5 records it.</w:t>
      </w:r>
    </w:p>
    <w:p>
      <w:r>
        <w:rPr>
          <w:b/>
        </w:rPr>
        <w:t>Five — the dataset is synthetic</w:t>
      </w:r>
      <w:r>
        <w:t>, as documented in Section 3.4.</w:t>
      </w:r>
    </w:p>
    <w:p>
      <w:r>
        <w:t>No missing values were found in any of the twelve columns, and all three measures are internally consistent.</w:t>
      </w:r>
    </w:p>
    <w:p>
      <w:pPr>
        <w:pStyle w:val="Heading2"/>
      </w:pPr>
      <w:r>
        <w:t>4.2 Database design</w:t>
      </w:r>
    </w:p>
    <w:p>
      <w:r>
        <w:t xml:space="preserve">The flat file was normalised into a </w:t>
      </w:r>
      <w:r>
        <w:rPr>
          <w:b/>
        </w:rPr>
        <w:t>star schema</w:t>
      </w:r>
      <w:r>
        <w:t>: one fact table surrounded by seven dimensions.</w:t>
      </w:r>
    </w:p>
    <w:p>
      <w:pPr>
        <w:jc w:val="center"/>
      </w:pPr>
      <w:r>
        <w:drawing>
          <wp:inline xmlns:a="http://schemas.openxmlformats.org/drawingml/2006/main" xmlns:pic="http://schemas.openxmlformats.org/drawingml/2006/picture">
            <wp:extent cx="5486400" cy="2879194"/>
            <wp:docPr id="1" name="Picture 1"/>
            <wp:cNvGraphicFramePr>
              <a:graphicFrameLocks noChangeAspect="1"/>
            </wp:cNvGraphicFramePr>
            <a:graphic>
              <a:graphicData uri="http://schemas.openxmlformats.org/drawingml/2006/picture">
                <pic:pic>
                  <pic:nvPicPr>
                    <pic:cNvPr id="0" name="erd.png"/>
                    <pic:cNvPicPr/>
                  </pic:nvPicPr>
                  <pic:blipFill>
                    <a:blip r:embed="rId9"/>
                    <a:stretch>
                      <a:fillRect/>
                    </a:stretch>
                  </pic:blipFill>
                  <pic:spPr>
                    <a:xfrm>
                      <a:off x="0" y="0"/>
                      <a:ext cx="5486400" cy="2879194"/>
                    </a:xfrm>
                    <a:prstGeom prst="rect"/>
                  </pic:spPr>
                </pic:pic>
              </a:graphicData>
            </a:graphic>
          </wp:inline>
        </w:drawing>
      </w:r>
    </w:p>
    <w:p>
      <w:pPr>
        <w:spacing w:after="200" w:line="240" w:lineRule="auto"/>
        <w:jc w:val="center"/>
      </w:pPr>
      <w:r>
        <w:rPr>
          <w:i/>
          <w:color w:val="7B8994"/>
          <w:sz w:val="20"/>
        </w:rPr>
        <w:t>Figure 1. Entity-Relationship Diagram of the sales_trend database. PK marks a primary key, FK a foreign key.</w:t>
      </w:r>
    </w:p>
    <w:p>
      <w:r>
        <w:rPr>
          <w:rFonts w:ascii="Consolas" w:hAnsi="Consolas"/>
          <w:color w:val="2F6F9F"/>
          <w:sz w:val="18"/>
        </w:rPr>
        <w:t>sales</w:t>
      </w:r>
      <w:r>
        <w:t xml:space="preserve"> is the fact table at a grain of one transaction line. Around it sit </w:t>
      </w:r>
      <w:r>
        <w:rPr>
          <w:rFonts w:ascii="Consolas" w:hAnsi="Consolas"/>
          <w:color w:val="2F6F9F"/>
          <w:sz w:val="18"/>
        </w:rPr>
        <w:t>customers</w:t>
      </w:r>
      <w:r>
        <w:t xml:space="preserve">, </w:t>
      </w:r>
      <w:r>
        <w:rPr>
          <w:rFonts w:ascii="Consolas" w:hAnsi="Consolas"/>
          <w:color w:val="2F6F9F"/>
          <w:sz w:val="18"/>
        </w:rPr>
        <w:t>cities</w:t>
      </w:r>
      <w:r>
        <w:t xml:space="preserve">, </w:t>
      </w:r>
      <w:r>
        <w:rPr>
          <w:rFonts w:ascii="Consolas" w:hAnsi="Consolas"/>
          <w:color w:val="2F6F9F"/>
          <w:sz w:val="18"/>
        </w:rPr>
        <w:t>states</w:t>
      </w:r>
      <w:r>
        <w:t xml:space="preserve">, </w:t>
      </w:r>
      <w:r>
        <w:rPr>
          <w:rFonts w:ascii="Consolas" w:hAnsi="Consolas"/>
          <w:color w:val="2F6F9F"/>
          <w:sz w:val="18"/>
        </w:rPr>
        <w:t>categories</w:t>
      </w:r>
      <w:r>
        <w:t xml:space="preserve">, </w:t>
      </w:r>
      <w:r>
        <w:rPr>
          <w:rFonts w:ascii="Consolas" w:hAnsi="Consolas"/>
          <w:color w:val="2F6F9F"/>
          <w:sz w:val="18"/>
        </w:rPr>
        <w:t>sub_categories</w:t>
      </w:r>
      <w:r>
        <w:t xml:space="preserve">, </w:t>
      </w:r>
      <w:r>
        <w:rPr>
          <w:rFonts w:ascii="Consolas" w:hAnsi="Consolas"/>
          <w:color w:val="2F6F9F"/>
          <w:sz w:val="18"/>
        </w:rPr>
        <w:t>payment_modes</w:t>
      </w:r>
      <w:r>
        <w:t xml:space="preserve"> and </w:t>
      </w:r>
      <w:r>
        <w:rPr>
          <w:rFonts w:ascii="Consolas" w:hAnsi="Consolas"/>
          <w:color w:val="2F6F9F"/>
          <w:sz w:val="18"/>
        </w:rPr>
        <w:t>dates</w:t>
      </w:r>
      <w:r>
        <w:t>.</w:t>
      </w:r>
    </w:p>
    <w:p>
      <w:r>
        <w:rPr>
          <w:b/>
        </w:rPr>
        <w:t>Why a star rather than the single table we started with?</w:t>
      </w:r>
      <w:r>
        <w:t xml:space="preserve"> Three reasons. </w:t>
      </w:r>
      <w:r>
        <w:rPr>
          <w:i/>
        </w:rPr>
        <w:t>Consistency</w:t>
      </w:r>
      <w:r>
        <w:t xml:space="preserve">: in the flat file a category name repeats on every row that uses it, so one typo creates a category that does not exist; in the star it lives once and the fact table carries an integer key, making the typo impossible rather than merely unlikely. </w:t>
      </w:r>
      <w:r>
        <w:rPr>
          <w:i/>
        </w:rPr>
        <w:t>The brief</w:t>
      </w:r>
      <w:r>
        <w:t xml:space="preserve">: Task 1.3 requires at least two related tables with proper keys. </w:t>
      </w:r>
      <w:r>
        <w:rPr>
          <w:i/>
        </w:rPr>
        <w:t>The queries</w:t>
      </w:r>
      <w:r>
        <w:t>: the category trend question needs category and date on the same row as the amount, which a star delivers in one join.</w:t>
      </w:r>
    </w:p>
    <w:p>
      <w:r>
        <w:t xml:space="preserve">The </w:t>
      </w:r>
      <w:r>
        <w:rPr>
          <w:rFonts w:ascii="Consolas" w:hAnsi="Consolas"/>
          <w:color w:val="2F6F9F"/>
          <w:sz w:val="18"/>
        </w:rPr>
        <w:t>dates</w:t>
      </w:r>
      <w:r>
        <w:t xml:space="preserve"> dimension carries two flags the raw dates cannot — </w:t>
      </w:r>
      <w:r>
        <w:rPr>
          <w:rFonts w:ascii="Consolas" w:hAnsi="Consolas"/>
          <w:color w:val="2F6F9F"/>
          <w:sz w:val="18"/>
        </w:rPr>
        <w:t>is_complete_month</w:t>
      </w:r>
      <w:r>
        <w:t xml:space="preserve"> and </w:t>
      </w:r>
      <w:r>
        <w:rPr>
          <w:rFonts w:ascii="Consolas" w:hAnsi="Consolas"/>
          <w:color w:val="2F6F9F"/>
          <w:sz w:val="18"/>
        </w:rPr>
        <w:t>is_complete_year</w:t>
      </w:r>
      <w:r>
        <w:t xml:space="preserve"> — which are the structural fix for problem four. It also keeps the SQL portable: no </w:t>
      </w:r>
      <w:r>
        <w:rPr>
          <w:rFonts w:ascii="Consolas" w:hAnsi="Consolas"/>
          <w:color w:val="2F6F9F"/>
          <w:sz w:val="18"/>
        </w:rPr>
        <w:t>YEAR()</w:t>
      </w:r>
      <w:r>
        <w:t xml:space="preserve"> or </w:t>
      </w:r>
      <w:r>
        <w:rPr>
          <w:rFonts w:ascii="Consolas" w:hAnsi="Consolas"/>
          <w:color w:val="2F6F9F"/>
          <w:sz w:val="18"/>
        </w:rPr>
        <w:t>strftime()</w:t>
      </w:r>
      <w:r>
        <w:t xml:space="preserve"> is called anywhere, so the same query file runs unchanged on MySQL 8 and SQLite 3, and both were verified.</w:t>
      </w:r>
    </w:p>
    <w:tbl>
      <w:tblPr>
        <w:tblStyle w:val="LightGrid-Accent1"/>
        <w:tblW w:type="auto" w:w="0"/>
        <w:jc w:val="center"/>
        <w:tblLayout w:type="autofit"/>
        <w:tblLook w:firstColumn="1" w:firstRow="1" w:lastColumn="0" w:lastRow="0" w:noHBand="0" w:noVBand="1" w:val="04A0"/>
      </w:tblPr>
      <w:tblGrid>
        <w:gridCol w:w="4680"/>
        <w:gridCol w:w="4680"/>
      </w:tblGrid>
      <w:tr>
        <w:tc>
          <w:tcPr>
            <w:tcW w:type="dxa" w:w="4680"/>
          </w:tcPr>
          <w:p>
            <w:r>
              <w:rPr>
                <w:b/>
              </w:rPr>
            </w:r>
            <w:r>
              <w:rPr>
                <w:b/>
              </w:rPr>
              <w:t>Table</w:t>
            </w:r>
          </w:p>
        </w:tc>
        <w:tc>
          <w:tcPr>
            <w:tcW w:type="dxa" w:w="4680"/>
          </w:tcPr>
          <w:p>
            <w:r>
              <w:rPr>
                <w:b/>
              </w:rPr>
            </w:r>
            <w:r>
              <w:rPr>
                <w:b/>
              </w:rPr>
              <w:t>Rows</w:t>
            </w:r>
          </w:p>
        </w:tc>
      </w:tr>
      <w:tr>
        <w:tc>
          <w:tcPr>
            <w:tcW w:type="dxa" w:w="4680"/>
          </w:tcPr>
          <w:p>
            <w:pPr>
              <w:spacing w:line="240" w:lineRule="auto"/>
            </w:pPr>
            <w:r>
              <w:rPr>
                <w:sz w:val="18"/>
              </w:rPr>
            </w:r>
            <w:r>
              <w:rPr>
                <w:rFonts w:ascii="Consolas" w:hAnsi="Consolas"/>
                <w:color w:val="2F6F9F"/>
                <w:sz w:val="18"/>
              </w:rPr>
              <w:t>states</w:t>
            </w:r>
          </w:p>
        </w:tc>
        <w:tc>
          <w:tcPr>
            <w:tcW w:type="dxa" w:w="4680"/>
          </w:tcPr>
          <w:p>
            <w:pPr>
              <w:spacing w:line="240" w:lineRule="auto"/>
            </w:pPr>
            <w:r>
              <w:rPr>
                <w:sz w:val="18"/>
              </w:rPr>
            </w:r>
            <w:r>
              <w:rPr>
                <w:sz w:val="18"/>
              </w:rPr>
              <w:t>6</w:t>
            </w:r>
          </w:p>
        </w:tc>
      </w:tr>
      <w:tr>
        <w:tc>
          <w:tcPr>
            <w:tcW w:type="dxa" w:w="4680"/>
          </w:tcPr>
          <w:p>
            <w:pPr>
              <w:spacing w:line="240" w:lineRule="auto"/>
            </w:pPr>
            <w:r>
              <w:rPr>
                <w:sz w:val="18"/>
              </w:rPr>
            </w:r>
            <w:r>
              <w:rPr>
                <w:rFonts w:ascii="Consolas" w:hAnsi="Consolas"/>
                <w:color w:val="2F6F9F"/>
                <w:sz w:val="18"/>
              </w:rPr>
              <w:t>cities</w:t>
            </w:r>
          </w:p>
        </w:tc>
        <w:tc>
          <w:tcPr>
            <w:tcW w:type="dxa" w:w="4680"/>
          </w:tcPr>
          <w:p>
            <w:pPr>
              <w:spacing w:line="240" w:lineRule="auto"/>
            </w:pPr>
            <w:r>
              <w:rPr>
                <w:sz w:val="18"/>
              </w:rPr>
            </w:r>
            <w:r>
              <w:rPr>
                <w:sz w:val="18"/>
              </w:rPr>
              <w:t>18</w:t>
            </w:r>
          </w:p>
        </w:tc>
      </w:tr>
      <w:tr>
        <w:tc>
          <w:tcPr>
            <w:tcW w:type="dxa" w:w="4680"/>
          </w:tcPr>
          <w:p>
            <w:pPr>
              <w:spacing w:line="240" w:lineRule="auto"/>
            </w:pPr>
            <w:r>
              <w:rPr>
                <w:sz w:val="18"/>
              </w:rPr>
            </w:r>
            <w:r>
              <w:rPr>
                <w:rFonts w:ascii="Consolas" w:hAnsi="Consolas"/>
                <w:color w:val="2F6F9F"/>
                <w:sz w:val="18"/>
              </w:rPr>
              <w:t>categories</w:t>
            </w:r>
          </w:p>
        </w:tc>
        <w:tc>
          <w:tcPr>
            <w:tcW w:type="dxa" w:w="4680"/>
          </w:tcPr>
          <w:p>
            <w:pPr>
              <w:spacing w:line="240" w:lineRule="auto"/>
            </w:pPr>
            <w:r>
              <w:rPr>
                <w:sz w:val="18"/>
              </w:rPr>
            </w:r>
            <w:r>
              <w:rPr>
                <w:sz w:val="18"/>
              </w:rPr>
              <w:t>3</w:t>
            </w:r>
          </w:p>
        </w:tc>
      </w:tr>
      <w:tr>
        <w:tc>
          <w:tcPr>
            <w:tcW w:type="dxa" w:w="4680"/>
          </w:tcPr>
          <w:p>
            <w:pPr>
              <w:spacing w:line="240" w:lineRule="auto"/>
            </w:pPr>
            <w:r>
              <w:rPr>
                <w:sz w:val="18"/>
              </w:rPr>
            </w:r>
            <w:r>
              <w:rPr>
                <w:rFonts w:ascii="Consolas" w:hAnsi="Consolas"/>
                <w:color w:val="2F6F9F"/>
                <w:sz w:val="18"/>
              </w:rPr>
              <w:t>sub_categories</w:t>
            </w:r>
          </w:p>
        </w:tc>
        <w:tc>
          <w:tcPr>
            <w:tcW w:type="dxa" w:w="4680"/>
          </w:tcPr>
          <w:p>
            <w:pPr>
              <w:spacing w:line="240" w:lineRule="auto"/>
            </w:pPr>
            <w:r>
              <w:rPr>
                <w:sz w:val="18"/>
              </w:rPr>
            </w:r>
            <w:r>
              <w:rPr>
                <w:sz w:val="18"/>
              </w:rPr>
              <w:t>12</w:t>
            </w:r>
          </w:p>
        </w:tc>
      </w:tr>
      <w:tr>
        <w:tc>
          <w:tcPr>
            <w:tcW w:type="dxa" w:w="4680"/>
          </w:tcPr>
          <w:p>
            <w:pPr>
              <w:spacing w:line="240" w:lineRule="auto"/>
            </w:pPr>
            <w:r>
              <w:rPr>
                <w:sz w:val="18"/>
              </w:rPr>
            </w:r>
            <w:r>
              <w:rPr>
                <w:rFonts w:ascii="Consolas" w:hAnsi="Consolas"/>
                <w:color w:val="2F6F9F"/>
                <w:sz w:val="18"/>
              </w:rPr>
              <w:t>payment_modes</w:t>
            </w:r>
          </w:p>
        </w:tc>
        <w:tc>
          <w:tcPr>
            <w:tcW w:type="dxa" w:w="4680"/>
          </w:tcPr>
          <w:p>
            <w:pPr>
              <w:spacing w:line="240" w:lineRule="auto"/>
            </w:pPr>
            <w:r>
              <w:rPr>
                <w:sz w:val="18"/>
              </w:rPr>
            </w:r>
            <w:r>
              <w:rPr>
                <w:sz w:val="18"/>
              </w:rPr>
              <w:t>5</w:t>
            </w:r>
          </w:p>
        </w:tc>
      </w:tr>
      <w:tr>
        <w:tc>
          <w:tcPr>
            <w:tcW w:type="dxa" w:w="4680"/>
          </w:tcPr>
          <w:p>
            <w:pPr>
              <w:spacing w:line="240" w:lineRule="auto"/>
            </w:pPr>
            <w:r>
              <w:rPr>
                <w:sz w:val="18"/>
              </w:rPr>
            </w:r>
            <w:r>
              <w:rPr>
                <w:rFonts w:ascii="Consolas" w:hAnsi="Consolas"/>
                <w:color w:val="2F6F9F"/>
                <w:sz w:val="18"/>
              </w:rPr>
              <w:t>customers</w:t>
            </w:r>
          </w:p>
        </w:tc>
        <w:tc>
          <w:tcPr>
            <w:tcW w:type="dxa" w:w="4680"/>
          </w:tcPr>
          <w:p>
            <w:pPr>
              <w:spacing w:line="240" w:lineRule="auto"/>
            </w:pPr>
            <w:r>
              <w:rPr>
                <w:sz w:val="18"/>
              </w:rPr>
            </w:r>
            <w:r>
              <w:rPr>
                <w:sz w:val="18"/>
              </w:rPr>
              <w:t>807</w:t>
            </w:r>
          </w:p>
        </w:tc>
      </w:tr>
      <w:tr>
        <w:tc>
          <w:tcPr>
            <w:tcW w:type="dxa" w:w="4680"/>
          </w:tcPr>
          <w:p>
            <w:pPr>
              <w:spacing w:line="240" w:lineRule="auto"/>
            </w:pPr>
            <w:r>
              <w:rPr>
                <w:sz w:val="18"/>
              </w:rPr>
            </w:r>
            <w:r>
              <w:rPr>
                <w:rFonts w:ascii="Consolas" w:hAnsi="Consolas"/>
                <w:color w:val="2F6F9F"/>
                <w:sz w:val="18"/>
              </w:rPr>
              <w:t>dates</w:t>
            </w:r>
          </w:p>
        </w:tc>
        <w:tc>
          <w:tcPr>
            <w:tcW w:type="dxa" w:w="4680"/>
          </w:tcPr>
          <w:p>
            <w:pPr>
              <w:spacing w:line="240" w:lineRule="auto"/>
            </w:pPr>
            <w:r>
              <w:rPr>
                <w:sz w:val="18"/>
              </w:rPr>
            </w:r>
            <w:r>
              <w:rPr>
                <w:sz w:val="18"/>
              </w:rPr>
              <w:t>648</w:t>
            </w:r>
          </w:p>
        </w:tc>
      </w:tr>
      <w:tr>
        <w:tc>
          <w:tcPr>
            <w:tcW w:type="dxa" w:w="4680"/>
          </w:tcPr>
          <w:p>
            <w:pPr>
              <w:spacing w:line="240" w:lineRule="auto"/>
            </w:pPr>
            <w:r>
              <w:rPr>
                <w:sz w:val="18"/>
              </w:rPr>
            </w:r>
            <w:r>
              <w:rPr>
                <w:rFonts w:ascii="Consolas" w:hAnsi="Consolas"/>
                <w:color w:val="2F6F9F"/>
                <w:sz w:val="18"/>
              </w:rPr>
              <w:t>sales</w:t>
            </w:r>
          </w:p>
        </w:tc>
        <w:tc>
          <w:tcPr>
            <w:tcW w:type="dxa" w:w="4680"/>
          </w:tcPr>
          <w:p>
            <w:pPr>
              <w:spacing w:line="240" w:lineRule="auto"/>
            </w:pPr>
            <w:r>
              <w:rPr>
                <w:sz w:val="18"/>
              </w:rPr>
            </w:r>
            <w:r>
              <w:rPr>
                <w:sz w:val="18"/>
              </w:rPr>
              <w:t>1,194</w:t>
            </w:r>
          </w:p>
        </w:tc>
      </w:tr>
    </w:tbl>
    <w:p>
      <w:pPr>
        <w:spacing w:after="200" w:line="240" w:lineRule="auto"/>
        <w:jc w:val="center"/>
      </w:pPr>
      <w:r>
        <w:rPr>
          <w:i/>
          <w:color w:val="7B8994"/>
          <w:sz w:val="20"/>
        </w:rPr>
        <w:t>Table 5. Populated row counts verified after load.</w:t>
      </w:r>
    </w:p>
    <w:p>
      <w:r>
        <w:t xml:space="preserve">The schema creates </w:t>
      </w:r>
      <w:r>
        <w:rPr>
          <w:b/>
        </w:rPr>
        <w:t>8 primary keys, 7 foreign keys, 6 unique constraints and 4 check constraints</w:t>
      </w:r>
      <w:r>
        <w:t xml:space="preserve">, all verified on a live MySQL-compatible server. Both foreign keys and check constraints were tested to confirm they reject invalid rows rather than assumed to. </w:t>
      </w:r>
      <w:r>
        <w:rPr>
          <w:rFonts w:ascii="Consolas" w:hAnsi="Consolas"/>
          <w:color w:val="2F6F9F"/>
          <w:sz w:val="18"/>
        </w:rPr>
        <w:t>sales</w:t>
      </w:r>
      <w:r>
        <w:t xml:space="preserve"> holds exactly the 1,194 rows of the raw file: nothing was lost or invented in normalisation.</w:t>
      </w:r>
    </w:p>
    <w:p>
      <w:r>
        <w:t xml:space="preserve">One implementation note worth recording: </w:t>
      </w:r>
      <w:r>
        <w:rPr>
          <w:b/>
        </w:rPr>
        <w:t>`year_month` is a reserved word in MySQL</w:t>
      </w:r>
      <w:r>
        <w:t xml:space="preserve">, and </w:t>
      </w:r>
      <w:r>
        <w:rPr>
          <w:rFonts w:ascii="Consolas" w:hAnsi="Consolas"/>
          <w:color w:val="2F6F9F"/>
          <w:sz w:val="18"/>
        </w:rPr>
        <w:t>CREATE TABLE dates</w:t>
      </w:r>
      <w:r>
        <w:t xml:space="preserve"> failed outright with a syntax error until it was backticked. This surfaced only because a real MySQL server was installed and the import actually run, rather than the file being assumed correct.</w:t>
      </w:r>
    </w:p>
    <w:p>
      <w:pPr>
        <w:pStyle w:val="Heading2"/>
      </w:pPr>
      <w:r>
        <w:t>4.3 SQL query results</w:t>
      </w:r>
    </w:p>
    <w:p>
      <w:r>
        <w:t xml:space="preserve">Eight queries in four groups: two basic retrievals using </w:t>
      </w:r>
      <w:r>
        <w:rPr>
          <w:rFonts w:ascii="Consolas" w:hAnsi="Consolas"/>
          <w:color w:val="2F6F9F"/>
          <w:sz w:val="18"/>
        </w:rPr>
        <w:t>WHERE</w:t>
      </w:r>
      <w:r>
        <w:t xml:space="preserve"> and </w:t>
      </w:r>
      <w:r>
        <w:rPr>
          <w:rFonts w:ascii="Consolas" w:hAnsi="Consolas"/>
          <w:color w:val="2F6F9F"/>
          <w:sz w:val="18"/>
        </w:rPr>
        <w:t>ORDER BY</w:t>
      </w:r>
      <w:r>
        <w:t xml:space="preserve">, two aggregates using </w:t>
      </w:r>
      <w:r>
        <w:rPr>
          <w:rFonts w:ascii="Consolas" w:hAnsi="Consolas"/>
          <w:color w:val="2F6F9F"/>
          <w:sz w:val="18"/>
        </w:rPr>
        <w:t>GROUP BY</w:t>
      </w:r>
      <w:r>
        <w:t xml:space="preserve">, two multi-table joins of four tables each, and two business-insight queries. Full SQL is in </w:t>
      </w:r>
      <w:r>
        <w:rPr>
          <w:rFonts w:ascii="Consolas" w:hAnsi="Consolas"/>
          <w:color w:val="2F6F9F"/>
          <w:sz w:val="18"/>
        </w:rPr>
        <w:t>sql/04_queries.sql</w:t>
      </w:r>
      <w:r>
        <w:t xml:space="preserve"> and every result table appears in the Checkpoint 1 report; the four findings are summarised here.</w:t>
      </w:r>
    </w:p>
    <w:p>
      <w:r>
        <w:rPr>
          <w:b/>
        </w:rPr>
        <w:t>Finding 1 — growth stopped in 2022, in a specific way.</w:t>
      </w:r>
    </w:p>
    <w:tbl>
      <w:tblPr>
        <w:tblStyle w:val="LightGrid-Accent1"/>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r>
            <w:r>
              <w:rPr>
                <w:b/>
              </w:rPr>
              <w:t>Year</w:t>
            </w:r>
          </w:p>
        </w:tc>
        <w:tc>
          <w:tcPr>
            <w:tcW w:type="dxa" w:w="1337"/>
          </w:tcPr>
          <w:p>
            <w:r>
              <w:rPr>
                <w:b/>
              </w:rPr>
            </w:r>
            <w:r>
              <w:rPr>
                <w:b/>
              </w:rPr>
              <w:t>Months</w:t>
            </w:r>
          </w:p>
        </w:tc>
        <w:tc>
          <w:tcPr>
            <w:tcW w:type="dxa" w:w="1337"/>
          </w:tcPr>
          <w:p>
            <w:r>
              <w:rPr>
                <w:b/>
              </w:rPr>
            </w:r>
            <w:r>
              <w:rPr>
                <w:b/>
              </w:rPr>
              <w:t>Lines</w:t>
            </w:r>
          </w:p>
        </w:tc>
        <w:tc>
          <w:tcPr>
            <w:tcW w:type="dxa" w:w="1337"/>
          </w:tcPr>
          <w:p>
            <w:r>
              <w:rPr>
                <w:b/>
              </w:rPr>
            </w:r>
            <w:r>
              <w:rPr>
                <w:b/>
              </w:rPr>
              <w:t>Revenue</w:t>
            </w:r>
          </w:p>
        </w:tc>
        <w:tc>
          <w:tcPr>
            <w:tcW w:type="dxa" w:w="1337"/>
          </w:tcPr>
          <w:p>
            <w:r>
              <w:rPr>
                <w:b/>
              </w:rPr>
            </w:r>
            <w:r>
              <w:rPr>
                <w:b/>
              </w:rPr>
              <w:t>Revenue/month</w:t>
            </w:r>
          </w:p>
        </w:tc>
        <w:tc>
          <w:tcPr>
            <w:tcW w:type="dxa" w:w="1337"/>
          </w:tcPr>
          <w:p>
            <w:r>
              <w:rPr>
                <w:b/>
              </w:rPr>
            </w:r>
            <w:r>
              <w:rPr>
                <w:b/>
              </w:rPr>
              <w:t>Avg line</w:t>
            </w:r>
          </w:p>
        </w:tc>
        <w:tc>
          <w:tcPr>
            <w:tcW w:type="dxa" w:w="1337"/>
          </w:tcPr>
          <w:p>
            <w:r>
              <w:rPr>
                <w:b/>
              </w:rPr>
            </w:r>
            <w:r>
              <w:rPr>
                <w:b/>
              </w:rPr>
              <w:t>Margin %</w:t>
            </w:r>
          </w:p>
        </w:tc>
      </w:tr>
      <w:tr>
        <w:tc>
          <w:tcPr>
            <w:tcW w:type="dxa" w:w="1337"/>
          </w:tcPr>
          <w:p>
            <w:pPr>
              <w:spacing w:line="240" w:lineRule="auto"/>
            </w:pPr>
            <w:r>
              <w:rPr>
                <w:sz w:val="18"/>
              </w:rPr>
            </w:r>
            <w:r>
              <w:rPr>
                <w:sz w:val="18"/>
              </w:rPr>
              <w:t>2020</w:t>
            </w:r>
          </w:p>
        </w:tc>
        <w:tc>
          <w:tcPr>
            <w:tcW w:type="dxa" w:w="1337"/>
          </w:tcPr>
          <w:p>
            <w:pPr>
              <w:spacing w:line="240" w:lineRule="auto"/>
            </w:pPr>
            <w:r>
              <w:rPr>
                <w:sz w:val="18"/>
              </w:rPr>
            </w:r>
            <w:r>
              <w:rPr>
                <w:sz w:val="18"/>
              </w:rPr>
              <w:t>9</w:t>
            </w:r>
          </w:p>
        </w:tc>
        <w:tc>
          <w:tcPr>
            <w:tcW w:type="dxa" w:w="1337"/>
          </w:tcPr>
          <w:p>
            <w:pPr>
              <w:spacing w:line="240" w:lineRule="auto"/>
            </w:pPr>
            <w:r>
              <w:rPr>
                <w:sz w:val="18"/>
              </w:rPr>
            </w:r>
            <w:r>
              <w:rPr>
                <w:sz w:val="18"/>
              </w:rPr>
              <w:t>167</w:t>
            </w:r>
          </w:p>
        </w:tc>
        <w:tc>
          <w:tcPr>
            <w:tcW w:type="dxa" w:w="1337"/>
          </w:tcPr>
          <w:p>
            <w:pPr>
              <w:spacing w:line="240" w:lineRule="auto"/>
            </w:pPr>
            <w:r>
              <w:rPr>
                <w:sz w:val="18"/>
              </w:rPr>
            </w:r>
            <w:r>
              <w:rPr>
                <w:sz w:val="18"/>
              </w:rPr>
              <w:t>836,410</w:t>
            </w:r>
          </w:p>
        </w:tc>
        <w:tc>
          <w:tcPr>
            <w:tcW w:type="dxa" w:w="1337"/>
          </w:tcPr>
          <w:p>
            <w:pPr>
              <w:spacing w:line="240" w:lineRule="auto"/>
            </w:pPr>
            <w:r>
              <w:rPr>
                <w:sz w:val="18"/>
              </w:rPr>
            </w:r>
            <w:r>
              <w:rPr>
                <w:sz w:val="18"/>
              </w:rPr>
              <w:t>92,934.44</w:t>
            </w:r>
          </w:p>
        </w:tc>
        <w:tc>
          <w:tcPr>
            <w:tcW w:type="dxa" w:w="1337"/>
          </w:tcPr>
          <w:p>
            <w:pPr>
              <w:spacing w:line="240" w:lineRule="auto"/>
            </w:pPr>
            <w:r>
              <w:rPr>
                <w:sz w:val="18"/>
              </w:rPr>
            </w:r>
            <w:r>
              <w:rPr>
                <w:sz w:val="18"/>
              </w:rPr>
              <w:t>5,008.44</w:t>
            </w:r>
          </w:p>
        </w:tc>
        <w:tc>
          <w:tcPr>
            <w:tcW w:type="dxa" w:w="1337"/>
          </w:tcPr>
          <w:p>
            <w:pPr>
              <w:spacing w:line="240" w:lineRule="auto"/>
            </w:pPr>
            <w:r>
              <w:rPr>
                <w:sz w:val="18"/>
              </w:rPr>
            </w:r>
            <w:r>
              <w:rPr>
                <w:sz w:val="18"/>
              </w:rPr>
              <w:t>26.05</w:t>
            </w:r>
          </w:p>
        </w:tc>
      </w:tr>
      <w:tr>
        <w:tc>
          <w:tcPr>
            <w:tcW w:type="dxa" w:w="1337"/>
          </w:tcPr>
          <w:p>
            <w:pPr>
              <w:spacing w:line="240" w:lineRule="auto"/>
            </w:pPr>
            <w:r>
              <w:rPr>
                <w:sz w:val="18"/>
              </w:rPr>
            </w:r>
            <w:r>
              <w:rPr>
                <w:sz w:val="18"/>
              </w:rPr>
              <w:t>2021</w:t>
            </w:r>
          </w:p>
        </w:tc>
        <w:tc>
          <w:tcPr>
            <w:tcW w:type="dxa" w:w="1337"/>
          </w:tcPr>
          <w:p>
            <w:pPr>
              <w:spacing w:line="240" w:lineRule="auto"/>
            </w:pPr>
            <w:r>
              <w:rPr>
                <w:sz w:val="18"/>
              </w:rPr>
            </w:r>
            <w:r>
              <w:rPr>
                <w:sz w:val="18"/>
              </w:rPr>
              <w:t>12</w:t>
            </w:r>
          </w:p>
        </w:tc>
        <w:tc>
          <w:tcPr>
            <w:tcW w:type="dxa" w:w="1337"/>
          </w:tcPr>
          <w:p>
            <w:pPr>
              <w:spacing w:line="240" w:lineRule="auto"/>
            </w:pPr>
            <w:r>
              <w:rPr>
                <w:sz w:val="18"/>
              </w:rPr>
            </w:r>
            <w:r>
              <w:rPr>
                <w:sz w:val="18"/>
              </w:rPr>
              <w:t>217</w:t>
            </w:r>
          </w:p>
        </w:tc>
        <w:tc>
          <w:tcPr>
            <w:tcW w:type="dxa" w:w="1337"/>
          </w:tcPr>
          <w:p>
            <w:pPr>
              <w:spacing w:line="240" w:lineRule="auto"/>
            </w:pPr>
            <w:r>
              <w:rPr>
                <w:sz w:val="18"/>
              </w:rPr>
            </w:r>
            <w:r>
              <w:rPr>
                <w:sz w:val="18"/>
              </w:rPr>
              <w:t>1,181,446</w:t>
            </w:r>
          </w:p>
        </w:tc>
        <w:tc>
          <w:tcPr>
            <w:tcW w:type="dxa" w:w="1337"/>
          </w:tcPr>
          <w:p>
            <w:pPr>
              <w:spacing w:line="240" w:lineRule="auto"/>
            </w:pPr>
            <w:r>
              <w:rPr>
                <w:sz w:val="18"/>
              </w:rPr>
            </w:r>
            <w:r>
              <w:rPr>
                <w:sz w:val="18"/>
              </w:rPr>
              <w:t>98,453.83</w:t>
            </w:r>
          </w:p>
        </w:tc>
        <w:tc>
          <w:tcPr>
            <w:tcW w:type="dxa" w:w="1337"/>
          </w:tcPr>
          <w:p>
            <w:pPr>
              <w:spacing w:line="240" w:lineRule="auto"/>
            </w:pPr>
            <w:r>
              <w:rPr>
                <w:sz w:val="18"/>
              </w:rPr>
            </w:r>
            <w:r>
              <w:rPr>
                <w:sz w:val="18"/>
              </w:rPr>
              <w:t>5,444.45</w:t>
            </w:r>
          </w:p>
        </w:tc>
        <w:tc>
          <w:tcPr>
            <w:tcW w:type="dxa" w:w="1337"/>
          </w:tcPr>
          <w:p>
            <w:pPr>
              <w:spacing w:line="240" w:lineRule="auto"/>
            </w:pPr>
            <w:r>
              <w:rPr>
                <w:sz w:val="18"/>
              </w:rPr>
            </w:r>
            <w:r>
              <w:rPr>
                <w:sz w:val="18"/>
              </w:rPr>
              <w:t>23.97</w:t>
            </w:r>
          </w:p>
        </w:tc>
      </w:tr>
      <w:tr>
        <w:tc>
          <w:tcPr>
            <w:tcW w:type="dxa" w:w="1337"/>
          </w:tcPr>
          <w:p>
            <w:pPr>
              <w:spacing w:line="240" w:lineRule="auto"/>
            </w:pPr>
            <w:r>
              <w:rPr>
                <w:sz w:val="18"/>
              </w:rPr>
            </w:r>
            <w:r>
              <w:rPr>
                <w:sz w:val="18"/>
              </w:rPr>
              <w:t>2022</w:t>
            </w:r>
          </w:p>
        </w:tc>
        <w:tc>
          <w:tcPr>
            <w:tcW w:type="dxa" w:w="1337"/>
          </w:tcPr>
          <w:p>
            <w:pPr>
              <w:spacing w:line="240" w:lineRule="auto"/>
            </w:pPr>
            <w:r>
              <w:rPr>
                <w:sz w:val="18"/>
              </w:rPr>
            </w:r>
            <w:r>
              <w:rPr>
                <w:sz w:val="18"/>
              </w:rPr>
              <w:t>12</w:t>
            </w:r>
          </w:p>
        </w:tc>
        <w:tc>
          <w:tcPr>
            <w:tcW w:type="dxa" w:w="1337"/>
          </w:tcPr>
          <w:p>
            <w:pPr>
              <w:spacing w:line="240" w:lineRule="auto"/>
            </w:pPr>
            <w:r>
              <w:rPr>
                <w:sz w:val="18"/>
              </w:rPr>
            </w:r>
            <w:r>
              <w:rPr>
                <w:sz w:val="18"/>
              </w:rPr>
              <w:t>288</w:t>
            </w:r>
          </w:p>
        </w:tc>
        <w:tc>
          <w:tcPr>
            <w:tcW w:type="dxa" w:w="1337"/>
          </w:tcPr>
          <w:p>
            <w:pPr>
              <w:spacing w:line="240" w:lineRule="auto"/>
            </w:pPr>
            <w:r>
              <w:rPr>
                <w:sz w:val="18"/>
              </w:rPr>
            </w:r>
            <w:r>
              <w:rPr>
                <w:sz w:val="18"/>
              </w:rPr>
              <w:t>1,459,775</w:t>
            </w:r>
          </w:p>
        </w:tc>
        <w:tc>
          <w:tcPr>
            <w:tcW w:type="dxa" w:w="1337"/>
          </w:tcPr>
          <w:p>
            <w:pPr>
              <w:spacing w:line="240" w:lineRule="auto"/>
            </w:pPr>
            <w:r>
              <w:rPr>
                <w:sz w:val="18"/>
              </w:rPr>
            </w:r>
            <w:r>
              <w:rPr>
                <w:b/>
                <w:sz w:val="18"/>
              </w:rPr>
              <w:t>121,647.92</w:t>
            </w:r>
          </w:p>
        </w:tc>
        <w:tc>
          <w:tcPr>
            <w:tcW w:type="dxa" w:w="1337"/>
          </w:tcPr>
          <w:p>
            <w:pPr>
              <w:spacing w:line="240" w:lineRule="auto"/>
            </w:pPr>
            <w:r>
              <w:rPr>
                <w:sz w:val="18"/>
              </w:rPr>
            </w:r>
            <w:r>
              <w:rPr>
                <w:sz w:val="18"/>
              </w:rPr>
              <w:t>5,068.66</w:t>
            </w:r>
          </w:p>
        </w:tc>
        <w:tc>
          <w:tcPr>
            <w:tcW w:type="dxa" w:w="1337"/>
          </w:tcPr>
          <w:p>
            <w:pPr>
              <w:spacing w:line="240" w:lineRule="auto"/>
            </w:pPr>
            <w:r>
              <w:rPr>
                <w:sz w:val="18"/>
              </w:rPr>
            </w:r>
            <w:r>
              <w:rPr>
                <w:sz w:val="18"/>
              </w:rPr>
              <w:t>26.93</w:t>
            </w:r>
          </w:p>
        </w:tc>
      </w:tr>
      <w:tr>
        <w:tc>
          <w:tcPr>
            <w:tcW w:type="dxa" w:w="1337"/>
          </w:tcPr>
          <w:p>
            <w:pPr>
              <w:spacing w:line="240" w:lineRule="auto"/>
            </w:pPr>
            <w:r>
              <w:rPr>
                <w:sz w:val="18"/>
              </w:rPr>
            </w:r>
            <w:r>
              <w:rPr>
                <w:sz w:val="18"/>
              </w:rPr>
              <w:t>2023</w:t>
            </w:r>
          </w:p>
        </w:tc>
        <w:tc>
          <w:tcPr>
            <w:tcW w:type="dxa" w:w="1337"/>
          </w:tcPr>
          <w:p>
            <w:pPr>
              <w:spacing w:line="240" w:lineRule="auto"/>
            </w:pPr>
            <w:r>
              <w:rPr>
                <w:sz w:val="18"/>
              </w:rPr>
            </w:r>
            <w:r>
              <w:rPr>
                <w:sz w:val="18"/>
              </w:rPr>
              <w:t>12</w:t>
            </w:r>
          </w:p>
        </w:tc>
        <w:tc>
          <w:tcPr>
            <w:tcW w:type="dxa" w:w="1337"/>
          </w:tcPr>
          <w:p>
            <w:pPr>
              <w:spacing w:line="240" w:lineRule="auto"/>
            </w:pPr>
            <w:r>
              <w:rPr>
                <w:sz w:val="18"/>
              </w:rPr>
            </w:r>
            <w:r>
              <w:rPr>
                <w:sz w:val="18"/>
              </w:rPr>
              <w:t>234</w:t>
            </w:r>
          </w:p>
        </w:tc>
        <w:tc>
          <w:tcPr>
            <w:tcW w:type="dxa" w:w="1337"/>
          </w:tcPr>
          <w:p>
            <w:pPr>
              <w:spacing w:line="240" w:lineRule="auto"/>
            </w:pPr>
            <w:r>
              <w:rPr>
                <w:sz w:val="18"/>
              </w:rPr>
            </w:r>
            <w:r>
              <w:rPr>
                <w:sz w:val="18"/>
              </w:rPr>
              <w:t>1,229,723</w:t>
            </w:r>
          </w:p>
        </w:tc>
        <w:tc>
          <w:tcPr>
            <w:tcW w:type="dxa" w:w="1337"/>
          </w:tcPr>
          <w:p>
            <w:pPr>
              <w:spacing w:line="240" w:lineRule="auto"/>
            </w:pPr>
            <w:r>
              <w:rPr>
                <w:sz w:val="18"/>
              </w:rPr>
            </w:r>
            <w:r>
              <w:rPr>
                <w:sz w:val="18"/>
              </w:rPr>
              <w:t>102,476.92</w:t>
            </w:r>
          </w:p>
        </w:tc>
        <w:tc>
          <w:tcPr>
            <w:tcW w:type="dxa" w:w="1337"/>
          </w:tcPr>
          <w:p>
            <w:pPr>
              <w:spacing w:line="240" w:lineRule="auto"/>
            </w:pPr>
            <w:r>
              <w:rPr>
                <w:sz w:val="18"/>
              </w:rPr>
            </w:r>
            <w:r>
              <w:rPr>
                <w:sz w:val="18"/>
              </w:rPr>
              <w:t>5,255.23</w:t>
            </w:r>
          </w:p>
        </w:tc>
        <w:tc>
          <w:tcPr>
            <w:tcW w:type="dxa" w:w="1337"/>
          </w:tcPr>
          <w:p>
            <w:pPr>
              <w:spacing w:line="240" w:lineRule="auto"/>
            </w:pPr>
            <w:r>
              <w:rPr>
                <w:sz w:val="18"/>
              </w:rPr>
            </w:r>
            <w:r>
              <w:rPr>
                <w:sz w:val="18"/>
              </w:rPr>
              <w:t>26.16</w:t>
            </w:r>
          </w:p>
        </w:tc>
      </w:tr>
      <w:tr>
        <w:tc>
          <w:tcPr>
            <w:tcW w:type="dxa" w:w="1337"/>
          </w:tcPr>
          <w:p>
            <w:pPr>
              <w:spacing w:line="240" w:lineRule="auto"/>
            </w:pPr>
            <w:r>
              <w:rPr>
                <w:sz w:val="18"/>
              </w:rPr>
            </w:r>
            <w:r>
              <w:rPr>
                <w:sz w:val="18"/>
              </w:rPr>
              <w:t>2024</w:t>
            </w:r>
          </w:p>
        </w:tc>
        <w:tc>
          <w:tcPr>
            <w:tcW w:type="dxa" w:w="1337"/>
          </w:tcPr>
          <w:p>
            <w:pPr>
              <w:spacing w:line="240" w:lineRule="auto"/>
            </w:pPr>
            <w:r>
              <w:rPr>
                <w:sz w:val="18"/>
              </w:rPr>
            </w:r>
            <w:r>
              <w:rPr>
                <w:sz w:val="18"/>
              </w:rPr>
              <w:t>12</w:t>
            </w:r>
          </w:p>
        </w:tc>
        <w:tc>
          <w:tcPr>
            <w:tcW w:type="dxa" w:w="1337"/>
          </w:tcPr>
          <w:p>
            <w:pPr>
              <w:spacing w:line="240" w:lineRule="auto"/>
            </w:pPr>
            <w:r>
              <w:rPr>
                <w:sz w:val="18"/>
              </w:rPr>
            </w:r>
            <w:r>
              <w:rPr>
                <w:sz w:val="18"/>
              </w:rPr>
              <w:t>240</w:t>
            </w:r>
          </w:p>
        </w:tc>
        <w:tc>
          <w:tcPr>
            <w:tcW w:type="dxa" w:w="1337"/>
          </w:tcPr>
          <w:p>
            <w:pPr>
              <w:spacing w:line="240" w:lineRule="auto"/>
            </w:pPr>
            <w:r>
              <w:rPr>
                <w:sz w:val="18"/>
              </w:rPr>
            </w:r>
            <w:r>
              <w:rPr>
                <w:sz w:val="18"/>
              </w:rPr>
              <w:t>1,202,478</w:t>
            </w:r>
          </w:p>
        </w:tc>
        <w:tc>
          <w:tcPr>
            <w:tcW w:type="dxa" w:w="1337"/>
          </w:tcPr>
          <w:p>
            <w:pPr>
              <w:spacing w:line="240" w:lineRule="auto"/>
            </w:pPr>
            <w:r>
              <w:rPr>
                <w:sz w:val="18"/>
              </w:rPr>
            </w:r>
            <w:r>
              <w:rPr>
                <w:sz w:val="18"/>
              </w:rPr>
              <w:t>100,206.50</w:t>
            </w:r>
          </w:p>
        </w:tc>
        <w:tc>
          <w:tcPr>
            <w:tcW w:type="dxa" w:w="1337"/>
          </w:tcPr>
          <w:p>
            <w:pPr>
              <w:spacing w:line="240" w:lineRule="auto"/>
            </w:pPr>
            <w:r>
              <w:rPr>
                <w:sz w:val="18"/>
              </w:rPr>
            </w:r>
            <w:r>
              <w:rPr>
                <w:sz w:val="18"/>
              </w:rPr>
              <w:t>5,010.33</w:t>
            </w:r>
          </w:p>
        </w:tc>
        <w:tc>
          <w:tcPr>
            <w:tcW w:type="dxa" w:w="1337"/>
          </w:tcPr>
          <w:p>
            <w:pPr>
              <w:spacing w:line="240" w:lineRule="auto"/>
            </w:pPr>
            <w:r>
              <w:rPr>
                <w:sz w:val="18"/>
              </w:rPr>
            </w:r>
            <w:r>
              <w:rPr>
                <w:sz w:val="18"/>
              </w:rPr>
              <w:t>25.64</w:t>
            </w:r>
          </w:p>
        </w:tc>
      </w:tr>
    </w:tbl>
    <w:p>
      <w:pPr>
        <w:spacing w:after="200" w:line="240" w:lineRule="auto"/>
        <w:jc w:val="center"/>
      </w:pPr>
      <w:r>
        <w:rPr>
          <w:i/>
          <w:color w:val="7B8994"/>
          <w:sz w:val="20"/>
        </w:rPr>
        <w:t>Table 6. Q3 — annual sales trend, measured per month so the nine-month 2020 compares fairly.</w:t>
      </w:r>
    </w:p>
    <w:p>
      <w:r>
        <w:t>Margin never leaves the 24–27% band and average line value never leaves 5,008–5,444, while revenue per month falls 17.6% from the peak. That combination is the diagnosis: fewer orders, not cheaper or less profitable ones, which points at demand generation rather than pricing.</w:t>
      </w:r>
    </w:p>
    <w:p>
      <w:r>
        <w:rPr>
          <w:b/>
        </w:rPr>
        <w:t>Finding 2 — one sub-category explains most of the gap.</w:t>
      </w:r>
    </w:p>
    <w:tbl>
      <w:tblPr>
        <w:tblStyle w:val="LightGrid-Accent1"/>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b/>
              </w:rPr>
            </w:r>
            <w:r>
              <w:rPr>
                <w:b/>
              </w:rPr>
              <w:t>Category</w:t>
            </w:r>
          </w:p>
        </w:tc>
        <w:tc>
          <w:tcPr>
            <w:tcW w:type="dxa" w:w="1560"/>
          </w:tcPr>
          <w:p>
            <w:r>
              <w:rPr>
                <w:b/>
              </w:rPr>
            </w:r>
            <w:r>
              <w:rPr>
                <w:b/>
              </w:rPr>
              <w:t>Sub-category</w:t>
            </w:r>
          </w:p>
        </w:tc>
        <w:tc>
          <w:tcPr>
            <w:tcW w:type="dxa" w:w="1560"/>
          </w:tcPr>
          <w:p>
            <w:r>
              <w:rPr>
                <w:b/>
              </w:rPr>
            </w:r>
            <w:r>
              <w:rPr>
                <w:b/>
              </w:rPr>
              <w:t>2023</w:t>
            </w:r>
          </w:p>
        </w:tc>
        <w:tc>
          <w:tcPr>
            <w:tcW w:type="dxa" w:w="1560"/>
          </w:tcPr>
          <w:p>
            <w:r>
              <w:rPr>
                <w:b/>
              </w:rPr>
            </w:r>
            <w:r>
              <w:rPr>
                <w:b/>
              </w:rPr>
              <w:t>2024</w:t>
            </w:r>
          </w:p>
        </w:tc>
        <w:tc>
          <w:tcPr>
            <w:tcW w:type="dxa" w:w="1560"/>
          </w:tcPr>
          <w:p>
            <w:r>
              <w:rPr>
                <w:b/>
              </w:rPr>
            </w:r>
            <w:r>
              <w:rPr>
                <w:b/>
              </w:rPr>
              <w:t>Change</w:t>
            </w:r>
          </w:p>
        </w:tc>
        <w:tc>
          <w:tcPr>
            <w:tcW w:type="dxa" w:w="1560"/>
          </w:tcPr>
          <w:p>
            <w:r>
              <w:rPr>
                <w:b/>
              </w:rPr>
            </w:r>
            <w:r>
              <w:rPr>
                <w:b/>
              </w:rPr>
              <w:t>%</w:t>
            </w:r>
          </w:p>
        </w:tc>
      </w:tr>
      <w:tr>
        <w:tc>
          <w:tcPr>
            <w:tcW w:type="dxa" w:w="1560"/>
          </w:tcPr>
          <w:p>
            <w:pPr>
              <w:spacing w:line="240" w:lineRule="auto"/>
            </w:pPr>
            <w:r>
              <w:rPr>
                <w:sz w:val="18"/>
              </w:rPr>
            </w:r>
            <w:r>
              <w:rPr>
                <w:sz w:val="18"/>
              </w:rPr>
              <w:t>Electronics</w:t>
            </w:r>
          </w:p>
        </w:tc>
        <w:tc>
          <w:tcPr>
            <w:tcW w:type="dxa" w:w="1560"/>
          </w:tcPr>
          <w:p>
            <w:pPr>
              <w:spacing w:line="240" w:lineRule="auto"/>
            </w:pPr>
            <w:r>
              <w:rPr>
                <w:sz w:val="18"/>
              </w:rPr>
            </w:r>
            <w:r>
              <w:rPr>
                <w:sz w:val="18"/>
              </w:rPr>
              <w:t>Printers</w:t>
            </w:r>
          </w:p>
        </w:tc>
        <w:tc>
          <w:tcPr>
            <w:tcW w:type="dxa" w:w="1560"/>
          </w:tcPr>
          <w:p>
            <w:pPr>
              <w:spacing w:line="240" w:lineRule="auto"/>
            </w:pPr>
            <w:r>
              <w:rPr>
                <w:sz w:val="18"/>
              </w:rPr>
            </w:r>
            <w:r>
              <w:rPr>
                <w:sz w:val="18"/>
              </w:rPr>
              <w:t>192,817</w:t>
            </w:r>
          </w:p>
        </w:tc>
        <w:tc>
          <w:tcPr>
            <w:tcW w:type="dxa" w:w="1560"/>
          </w:tcPr>
          <w:p>
            <w:pPr>
              <w:spacing w:line="240" w:lineRule="auto"/>
            </w:pPr>
            <w:r>
              <w:rPr>
                <w:sz w:val="18"/>
              </w:rPr>
            </w:r>
            <w:r>
              <w:rPr>
                <w:sz w:val="18"/>
              </w:rPr>
              <w:t>55,952</w:t>
            </w:r>
          </w:p>
        </w:tc>
        <w:tc>
          <w:tcPr>
            <w:tcW w:type="dxa" w:w="1560"/>
          </w:tcPr>
          <w:p>
            <w:pPr>
              <w:spacing w:line="240" w:lineRule="auto"/>
            </w:pPr>
            <w:r>
              <w:rPr>
                <w:sz w:val="18"/>
              </w:rPr>
            </w:r>
            <w:r>
              <w:rPr>
                <w:b/>
                <w:sz w:val="18"/>
              </w:rPr>
              <w:t>−136,865</w:t>
            </w:r>
          </w:p>
        </w:tc>
        <w:tc>
          <w:tcPr>
            <w:tcW w:type="dxa" w:w="1560"/>
          </w:tcPr>
          <w:p>
            <w:pPr>
              <w:spacing w:line="240" w:lineRule="auto"/>
            </w:pPr>
            <w:r>
              <w:rPr>
                <w:sz w:val="18"/>
              </w:rPr>
            </w:r>
            <w:r>
              <w:rPr>
                <w:b/>
                <w:sz w:val="18"/>
              </w:rPr>
              <w:t>−71.0</w:t>
            </w:r>
          </w:p>
        </w:tc>
      </w:tr>
      <w:tr>
        <w:tc>
          <w:tcPr>
            <w:tcW w:type="dxa" w:w="1560"/>
          </w:tcPr>
          <w:p>
            <w:pPr>
              <w:spacing w:line="240" w:lineRule="auto"/>
            </w:pPr>
            <w:r>
              <w:rPr>
                <w:sz w:val="18"/>
              </w:rPr>
            </w:r>
            <w:r>
              <w:rPr>
                <w:sz w:val="18"/>
              </w:rPr>
              <w:t>Electronics</w:t>
            </w:r>
          </w:p>
        </w:tc>
        <w:tc>
          <w:tcPr>
            <w:tcW w:type="dxa" w:w="1560"/>
          </w:tcPr>
          <w:p>
            <w:pPr>
              <w:spacing w:line="240" w:lineRule="auto"/>
            </w:pPr>
            <w:r>
              <w:rPr>
                <w:sz w:val="18"/>
              </w:rPr>
            </w:r>
            <w:r>
              <w:rPr>
                <w:sz w:val="18"/>
              </w:rPr>
              <w:t>Electronic Games</w:t>
            </w:r>
          </w:p>
        </w:tc>
        <w:tc>
          <w:tcPr>
            <w:tcW w:type="dxa" w:w="1560"/>
          </w:tcPr>
          <w:p>
            <w:pPr>
              <w:spacing w:line="240" w:lineRule="auto"/>
            </w:pPr>
            <w:r>
              <w:rPr>
                <w:sz w:val="18"/>
              </w:rPr>
            </w:r>
            <w:r>
              <w:rPr>
                <w:sz w:val="18"/>
              </w:rPr>
              <w:t>144,484</w:t>
            </w:r>
          </w:p>
        </w:tc>
        <w:tc>
          <w:tcPr>
            <w:tcW w:type="dxa" w:w="1560"/>
          </w:tcPr>
          <w:p>
            <w:pPr>
              <w:spacing w:line="240" w:lineRule="auto"/>
            </w:pPr>
            <w:r>
              <w:rPr>
                <w:sz w:val="18"/>
              </w:rPr>
            </w:r>
            <w:r>
              <w:rPr>
                <w:sz w:val="18"/>
              </w:rPr>
              <w:t>88,017</w:t>
            </w:r>
          </w:p>
        </w:tc>
        <w:tc>
          <w:tcPr>
            <w:tcW w:type="dxa" w:w="1560"/>
          </w:tcPr>
          <w:p>
            <w:pPr>
              <w:spacing w:line="240" w:lineRule="auto"/>
            </w:pPr>
            <w:r>
              <w:rPr>
                <w:sz w:val="18"/>
              </w:rPr>
            </w:r>
            <w:r>
              <w:rPr>
                <w:sz w:val="18"/>
              </w:rPr>
              <w:t>−56,467</w:t>
            </w:r>
          </w:p>
        </w:tc>
        <w:tc>
          <w:tcPr>
            <w:tcW w:type="dxa" w:w="1560"/>
          </w:tcPr>
          <w:p>
            <w:pPr>
              <w:spacing w:line="240" w:lineRule="auto"/>
            </w:pPr>
            <w:r>
              <w:rPr>
                <w:sz w:val="18"/>
              </w:rPr>
            </w:r>
            <w:r>
              <w:rPr>
                <w:sz w:val="18"/>
              </w:rPr>
              <w:t>−39.1</w:t>
            </w:r>
          </w:p>
        </w:tc>
      </w:tr>
      <w:tr>
        <w:tc>
          <w:tcPr>
            <w:tcW w:type="dxa" w:w="1560"/>
          </w:tcPr>
          <w:p>
            <w:pPr>
              <w:spacing w:line="240" w:lineRule="auto"/>
            </w:pPr>
            <w:r>
              <w:rPr>
                <w:sz w:val="18"/>
              </w:rPr>
            </w:r>
            <w:r>
              <w:rPr>
                <w:sz w:val="18"/>
              </w:rPr>
              <w:t>Electronics</w:t>
            </w:r>
          </w:p>
        </w:tc>
        <w:tc>
          <w:tcPr>
            <w:tcW w:type="dxa" w:w="1560"/>
          </w:tcPr>
          <w:p>
            <w:pPr>
              <w:spacing w:line="240" w:lineRule="auto"/>
            </w:pPr>
            <w:r>
              <w:rPr>
                <w:sz w:val="18"/>
              </w:rPr>
            </w:r>
            <w:r>
              <w:rPr>
                <w:sz w:val="18"/>
              </w:rPr>
              <w:t>Phones</w:t>
            </w:r>
          </w:p>
        </w:tc>
        <w:tc>
          <w:tcPr>
            <w:tcW w:type="dxa" w:w="1560"/>
          </w:tcPr>
          <w:p>
            <w:pPr>
              <w:spacing w:line="240" w:lineRule="auto"/>
            </w:pPr>
            <w:r>
              <w:rPr>
                <w:sz w:val="18"/>
              </w:rPr>
            </w:r>
            <w:r>
              <w:rPr>
                <w:sz w:val="18"/>
              </w:rPr>
              <w:t>115,909</w:t>
            </w:r>
          </w:p>
        </w:tc>
        <w:tc>
          <w:tcPr>
            <w:tcW w:type="dxa" w:w="1560"/>
          </w:tcPr>
          <w:p>
            <w:pPr>
              <w:spacing w:line="240" w:lineRule="auto"/>
            </w:pPr>
            <w:r>
              <w:rPr>
                <w:sz w:val="18"/>
              </w:rPr>
            </w:r>
            <w:r>
              <w:rPr>
                <w:sz w:val="18"/>
              </w:rPr>
              <w:t>99,526</w:t>
            </w:r>
          </w:p>
        </w:tc>
        <w:tc>
          <w:tcPr>
            <w:tcW w:type="dxa" w:w="1560"/>
          </w:tcPr>
          <w:p>
            <w:pPr>
              <w:spacing w:line="240" w:lineRule="auto"/>
            </w:pPr>
            <w:r>
              <w:rPr>
                <w:sz w:val="18"/>
              </w:rPr>
            </w:r>
            <w:r>
              <w:rPr>
                <w:sz w:val="18"/>
              </w:rPr>
              <w:t>−16,383</w:t>
            </w:r>
          </w:p>
        </w:tc>
        <w:tc>
          <w:tcPr>
            <w:tcW w:type="dxa" w:w="1560"/>
          </w:tcPr>
          <w:p>
            <w:pPr>
              <w:spacing w:line="240" w:lineRule="auto"/>
            </w:pPr>
            <w:r>
              <w:rPr>
                <w:sz w:val="18"/>
              </w:rPr>
            </w:r>
            <w:r>
              <w:rPr>
                <w:sz w:val="18"/>
              </w:rPr>
              <w:t>−14.1</w:t>
            </w:r>
          </w:p>
        </w:tc>
      </w:tr>
      <w:tr>
        <w:tc>
          <w:tcPr>
            <w:tcW w:type="dxa" w:w="1560"/>
          </w:tcPr>
          <w:p>
            <w:pPr>
              <w:spacing w:line="240" w:lineRule="auto"/>
            </w:pPr>
            <w:r>
              <w:rPr>
                <w:sz w:val="18"/>
              </w:rPr>
            </w:r>
            <w:r>
              <w:rPr>
                <w:sz w:val="18"/>
              </w:rPr>
              <w:t>Furniture</w:t>
            </w:r>
          </w:p>
        </w:tc>
        <w:tc>
          <w:tcPr>
            <w:tcW w:type="dxa" w:w="1560"/>
          </w:tcPr>
          <w:p>
            <w:pPr>
              <w:spacing w:line="240" w:lineRule="auto"/>
            </w:pPr>
            <w:r>
              <w:rPr>
                <w:sz w:val="18"/>
              </w:rPr>
            </w:r>
            <w:r>
              <w:rPr>
                <w:sz w:val="18"/>
              </w:rPr>
              <w:t>Bookcases</w:t>
            </w:r>
          </w:p>
        </w:tc>
        <w:tc>
          <w:tcPr>
            <w:tcW w:type="dxa" w:w="1560"/>
          </w:tcPr>
          <w:p>
            <w:pPr>
              <w:spacing w:line="240" w:lineRule="auto"/>
            </w:pPr>
            <w:r>
              <w:rPr>
                <w:sz w:val="18"/>
              </w:rPr>
            </w:r>
            <w:r>
              <w:rPr>
                <w:sz w:val="18"/>
              </w:rPr>
              <w:t>86,730</w:t>
            </w:r>
          </w:p>
        </w:tc>
        <w:tc>
          <w:tcPr>
            <w:tcW w:type="dxa" w:w="1560"/>
          </w:tcPr>
          <w:p>
            <w:pPr>
              <w:spacing w:line="240" w:lineRule="auto"/>
            </w:pPr>
            <w:r>
              <w:rPr>
                <w:sz w:val="18"/>
              </w:rPr>
            </w:r>
            <w:r>
              <w:rPr>
                <w:sz w:val="18"/>
              </w:rPr>
              <w:t>74,875</w:t>
            </w:r>
          </w:p>
        </w:tc>
        <w:tc>
          <w:tcPr>
            <w:tcW w:type="dxa" w:w="1560"/>
          </w:tcPr>
          <w:p>
            <w:pPr>
              <w:spacing w:line="240" w:lineRule="auto"/>
            </w:pPr>
            <w:r>
              <w:rPr>
                <w:sz w:val="18"/>
              </w:rPr>
            </w:r>
            <w:r>
              <w:rPr>
                <w:sz w:val="18"/>
              </w:rPr>
              <w:t>−11,855</w:t>
            </w:r>
          </w:p>
        </w:tc>
        <w:tc>
          <w:tcPr>
            <w:tcW w:type="dxa" w:w="1560"/>
          </w:tcPr>
          <w:p>
            <w:pPr>
              <w:spacing w:line="240" w:lineRule="auto"/>
            </w:pPr>
            <w:r>
              <w:rPr>
                <w:sz w:val="18"/>
              </w:rPr>
            </w:r>
            <w:r>
              <w:rPr>
                <w:sz w:val="18"/>
              </w:rPr>
              <w:t>−13.7</w:t>
            </w:r>
          </w:p>
        </w:tc>
      </w:tr>
      <w:tr>
        <w:tc>
          <w:tcPr>
            <w:tcW w:type="dxa" w:w="1560"/>
          </w:tcPr>
          <w:p>
            <w:pPr>
              <w:spacing w:line="240" w:lineRule="auto"/>
            </w:pPr>
            <w:r>
              <w:rPr>
                <w:sz w:val="18"/>
              </w:rPr>
            </w:r>
            <w:r>
              <w:rPr>
                <w:sz w:val="18"/>
              </w:rPr>
              <w:t>Electronics</w:t>
            </w:r>
          </w:p>
        </w:tc>
        <w:tc>
          <w:tcPr>
            <w:tcW w:type="dxa" w:w="1560"/>
          </w:tcPr>
          <w:p>
            <w:pPr>
              <w:spacing w:line="240" w:lineRule="auto"/>
            </w:pPr>
            <w:r>
              <w:rPr>
                <w:sz w:val="18"/>
              </w:rPr>
            </w:r>
            <w:r>
              <w:rPr>
                <w:sz w:val="18"/>
              </w:rPr>
              <w:t>Laptops</w:t>
            </w:r>
          </w:p>
        </w:tc>
        <w:tc>
          <w:tcPr>
            <w:tcW w:type="dxa" w:w="1560"/>
          </w:tcPr>
          <w:p>
            <w:pPr>
              <w:spacing w:line="240" w:lineRule="auto"/>
            </w:pPr>
            <w:r>
              <w:rPr>
                <w:sz w:val="18"/>
              </w:rPr>
            </w:r>
            <w:r>
              <w:rPr>
                <w:sz w:val="18"/>
              </w:rPr>
              <w:t>85,109</w:t>
            </w:r>
          </w:p>
        </w:tc>
        <w:tc>
          <w:tcPr>
            <w:tcW w:type="dxa" w:w="1560"/>
          </w:tcPr>
          <w:p>
            <w:pPr>
              <w:spacing w:line="240" w:lineRule="auto"/>
            </w:pPr>
            <w:r>
              <w:rPr>
                <w:sz w:val="18"/>
              </w:rPr>
            </w:r>
            <w:r>
              <w:rPr>
                <w:sz w:val="18"/>
              </w:rPr>
              <w:t>75,135</w:t>
            </w:r>
          </w:p>
        </w:tc>
        <w:tc>
          <w:tcPr>
            <w:tcW w:type="dxa" w:w="1560"/>
          </w:tcPr>
          <w:p>
            <w:pPr>
              <w:spacing w:line="240" w:lineRule="auto"/>
            </w:pPr>
            <w:r>
              <w:rPr>
                <w:sz w:val="18"/>
              </w:rPr>
            </w:r>
            <w:r>
              <w:rPr>
                <w:sz w:val="18"/>
              </w:rPr>
              <w:t>−9,974</w:t>
            </w:r>
          </w:p>
        </w:tc>
        <w:tc>
          <w:tcPr>
            <w:tcW w:type="dxa" w:w="1560"/>
          </w:tcPr>
          <w:p>
            <w:pPr>
              <w:spacing w:line="240" w:lineRule="auto"/>
            </w:pPr>
            <w:r>
              <w:rPr>
                <w:sz w:val="18"/>
              </w:rPr>
            </w:r>
            <w:r>
              <w:rPr>
                <w:sz w:val="18"/>
              </w:rPr>
              <w:t>−11.7</w:t>
            </w:r>
          </w:p>
        </w:tc>
      </w:tr>
      <w:tr>
        <w:tc>
          <w:tcPr>
            <w:tcW w:type="dxa" w:w="1560"/>
          </w:tcPr>
          <w:p>
            <w:pPr>
              <w:spacing w:line="240" w:lineRule="auto"/>
            </w:pPr>
            <w:r>
              <w:rPr>
                <w:sz w:val="18"/>
              </w:rPr>
            </w:r>
            <w:r>
              <w:rPr>
                <w:sz w:val="18"/>
              </w:rPr>
              <w:t>Furniture</w:t>
            </w:r>
          </w:p>
        </w:tc>
        <w:tc>
          <w:tcPr>
            <w:tcW w:type="dxa" w:w="1560"/>
          </w:tcPr>
          <w:p>
            <w:pPr>
              <w:spacing w:line="240" w:lineRule="auto"/>
            </w:pPr>
            <w:r>
              <w:rPr>
                <w:sz w:val="18"/>
              </w:rPr>
            </w:r>
            <w:r>
              <w:rPr>
                <w:sz w:val="18"/>
              </w:rPr>
              <w:t>Chairs</w:t>
            </w:r>
          </w:p>
        </w:tc>
        <w:tc>
          <w:tcPr>
            <w:tcW w:type="dxa" w:w="1560"/>
          </w:tcPr>
          <w:p>
            <w:pPr>
              <w:spacing w:line="240" w:lineRule="auto"/>
            </w:pPr>
            <w:r>
              <w:rPr>
                <w:sz w:val="18"/>
              </w:rPr>
            </w:r>
            <w:r>
              <w:rPr>
                <w:sz w:val="18"/>
              </w:rPr>
              <w:t>87,711</w:t>
            </w:r>
          </w:p>
        </w:tc>
        <w:tc>
          <w:tcPr>
            <w:tcW w:type="dxa" w:w="1560"/>
          </w:tcPr>
          <w:p>
            <w:pPr>
              <w:spacing w:line="240" w:lineRule="auto"/>
            </w:pPr>
            <w:r>
              <w:rPr>
                <w:sz w:val="18"/>
              </w:rPr>
            </w:r>
            <w:r>
              <w:rPr>
                <w:sz w:val="18"/>
              </w:rPr>
              <w:t>86,185</w:t>
            </w:r>
          </w:p>
        </w:tc>
        <w:tc>
          <w:tcPr>
            <w:tcW w:type="dxa" w:w="1560"/>
          </w:tcPr>
          <w:p>
            <w:pPr>
              <w:spacing w:line="240" w:lineRule="auto"/>
            </w:pPr>
            <w:r>
              <w:rPr>
                <w:sz w:val="18"/>
              </w:rPr>
            </w:r>
            <w:r>
              <w:rPr>
                <w:sz w:val="18"/>
              </w:rPr>
              <w:t>−1,526</w:t>
            </w:r>
          </w:p>
        </w:tc>
        <w:tc>
          <w:tcPr>
            <w:tcW w:type="dxa" w:w="1560"/>
          </w:tcPr>
          <w:p>
            <w:pPr>
              <w:spacing w:line="240" w:lineRule="auto"/>
            </w:pPr>
            <w:r>
              <w:rPr>
                <w:sz w:val="18"/>
              </w:rPr>
            </w:r>
            <w:r>
              <w:rPr>
                <w:sz w:val="18"/>
              </w:rPr>
              <w:t>−1.7</w:t>
            </w:r>
          </w:p>
        </w:tc>
      </w:tr>
      <w:tr>
        <w:tc>
          <w:tcPr>
            <w:tcW w:type="dxa" w:w="1560"/>
          </w:tcPr>
          <w:p>
            <w:pPr>
              <w:spacing w:line="240" w:lineRule="auto"/>
            </w:pPr>
            <w:r>
              <w:rPr>
                <w:sz w:val="18"/>
              </w:rPr>
            </w:r>
            <w:r>
              <w:rPr>
                <w:sz w:val="18"/>
              </w:rPr>
              <w:t>Furniture</w:t>
            </w:r>
          </w:p>
        </w:tc>
        <w:tc>
          <w:tcPr>
            <w:tcW w:type="dxa" w:w="1560"/>
          </w:tcPr>
          <w:p>
            <w:pPr>
              <w:spacing w:line="240" w:lineRule="auto"/>
            </w:pPr>
            <w:r>
              <w:rPr>
                <w:sz w:val="18"/>
              </w:rPr>
            </w:r>
            <w:r>
              <w:rPr>
                <w:sz w:val="18"/>
              </w:rPr>
              <w:t>Sofas</w:t>
            </w:r>
          </w:p>
        </w:tc>
        <w:tc>
          <w:tcPr>
            <w:tcW w:type="dxa" w:w="1560"/>
          </w:tcPr>
          <w:p>
            <w:pPr>
              <w:spacing w:line="240" w:lineRule="auto"/>
            </w:pPr>
            <w:r>
              <w:rPr>
                <w:sz w:val="18"/>
              </w:rPr>
            </w:r>
            <w:r>
              <w:rPr>
                <w:sz w:val="18"/>
              </w:rPr>
              <w:t>92,052</w:t>
            </w:r>
          </w:p>
        </w:tc>
        <w:tc>
          <w:tcPr>
            <w:tcW w:type="dxa" w:w="1560"/>
          </w:tcPr>
          <w:p>
            <w:pPr>
              <w:spacing w:line="240" w:lineRule="auto"/>
            </w:pPr>
            <w:r>
              <w:rPr>
                <w:sz w:val="18"/>
              </w:rPr>
            </w:r>
            <w:r>
              <w:rPr>
                <w:sz w:val="18"/>
              </w:rPr>
              <w:t>98,984</w:t>
            </w:r>
          </w:p>
        </w:tc>
        <w:tc>
          <w:tcPr>
            <w:tcW w:type="dxa" w:w="1560"/>
          </w:tcPr>
          <w:p>
            <w:pPr>
              <w:spacing w:line="240" w:lineRule="auto"/>
            </w:pPr>
            <w:r>
              <w:rPr>
                <w:sz w:val="18"/>
              </w:rPr>
            </w:r>
            <w:r>
              <w:rPr>
                <w:sz w:val="18"/>
              </w:rPr>
              <w:t>+6,932</w:t>
            </w:r>
          </w:p>
        </w:tc>
        <w:tc>
          <w:tcPr>
            <w:tcW w:type="dxa" w:w="1560"/>
          </w:tcPr>
          <w:p>
            <w:pPr>
              <w:spacing w:line="240" w:lineRule="auto"/>
            </w:pPr>
            <w:r>
              <w:rPr>
                <w:sz w:val="18"/>
              </w:rPr>
            </w:r>
            <w:r>
              <w:rPr>
                <w:sz w:val="18"/>
              </w:rPr>
              <w:t>+7.5</w:t>
            </w:r>
          </w:p>
        </w:tc>
      </w:tr>
      <w:tr>
        <w:tc>
          <w:tcPr>
            <w:tcW w:type="dxa" w:w="1560"/>
          </w:tcPr>
          <w:p>
            <w:pPr>
              <w:spacing w:line="240" w:lineRule="auto"/>
            </w:pPr>
            <w:r>
              <w:rPr>
                <w:sz w:val="18"/>
              </w:rPr>
            </w:r>
            <w:r>
              <w:rPr>
                <w:sz w:val="18"/>
              </w:rPr>
              <w:t>Office Supplies</w:t>
            </w:r>
          </w:p>
        </w:tc>
        <w:tc>
          <w:tcPr>
            <w:tcW w:type="dxa" w:w="1560"/>
          </w:tcPr>
          <w:p>
            <w:pPr>
              <w:spacing w:line="240" w:lineRule="auto"/>
            </w:pPr>
            <w:r>
              <w:rPr>
                <w:sz w:val="18"/>
              </w:rPr>
            </w:r>
            <w:r>
              <w:rPr>
                <w:sz w:val="18"/>
              </w:rPr>
              <w:t>Markers</w:t>
            </w:r>
          </w:p>
        </w:tc>
        <w:tc>
          <w:tcPr>
            <w:tcW w:type="dxa" w:w="1560"/>
          </w:tcPr>
          <w:p>
            <w:pPr>
              <w:spacing w:line="240" w:lineRule="auto"/>
            </w:pPr>
            <w:r>
              <w:rPr>
                <w:sz w:val="18"/>
              </w:rPr>
            </w:r>
            <w:r>
              <w:rPr>
                <w:sz w:val="18"/>
              </w:rPr>
              <w:t>100,742</w:t>
            </w:r>
          </w:p>
        </w:tc>
        <w:tc>
          <w:tcPr>
            <w:tcW w:type="dxa" w:w="1560"/>
          </w:tcPr>
          <w:p>
            <w:pPr>
              <w:spacing w:line="240" w:lineRule="auto"/>
            </w:pPr>
            <w:r>
              <w:rPr>
                <w:sz w:val="18"/>
              </w:rPr>
            </w:r>
            <w:r>
              <w:rPr>
                <w:sz w:val="18"/>
              </w:rPr>
              <w:t>120,002</w:t>
            </w:r>
          </w:p>
        </w:tc>
        <w:tc>
          <w:tcPr>
            <w:tcW w:type="dxa" w:w="1560"/>
          </w:tcPr>
          <w:p>
            <w:pPr>
              <w:spacing w:line="240" w:lineRule="auto"/>
            </w:pPr>
            <w:r>
              <w:rPr>
                <w:sz w:val="18"/>
              </w:rPr>
            </w:r>
            <w:r>
              <w:rPr>
                <w:sz w:val="18"/>
              </w:rPr>
              <w:t>+19,260</w:t>
            </w:r>
          </w:p>
        </w:tc>
        <w:tc>
          <w:tcPr>
            <w:tcW w:type="dxa" w:w="1560"/>
          </w:tcPr>
          <w:p>
            <w:pPr>
              <w:spacing w:line="240" w:lineRule="auto"/>
            </w:pPr>
            <w:r>
              <w:rPr>
                <w:sz w:val="18"/>
              </w:rPr>
            </w:r>
            <w:r>
              <w:rPr>
                <w:sz w:val="18"/>
              </w:rPr>
              <w:t>+19.1</w:t>
            </w:r>
          </w:p>
        </w:tc>
      </w:tr>
      <w:tr>
        <w:tc>
          <w:tcPr>
            <w:tcW w:type="dxa" w:w="1560"/>
          </w:tcPr>
          <w:p>
            <w:pPr>
              <w:spacing w:line="240" w:lineRule="auto"/>
            </w:pPr>
            <w:r>
              <w:rPr>
                <w:sz w:val="18"/>
              </w:rPr>
            </w:r>
            <w:r>
              <w:rPr>
                <w:sz w:val="18"/>
              </w:rPr>
              <w:t>Office Supplies</w:t>
            </w:r>
          </w:p>
        </w:tc>
        <w:tc>
          <w:tcPr>
            <w:tcW w:type="dxa" w:w="1560"/>
          </w:tcPr>
          <w:p>
            <w:pPr>
              <w:spacing w:line="240" w:lineRule="auto"/>
            </w:pPr>
            <w:r>
              <w:rPr>
                <w:sz w:val="18"/>
              </w:rPr>
            </w:r>
            <w:r>
              <w:rPr>
                <w:sz w:val="18"/>
              </w:rPr>
              <w:t>Binders</w:t>
            </w:r>
          </w:p>
        </w:tc>
        <w:tc>
          <w:tcPr>
            <w:tcW w:type="dxa" w:w="1560"/>
          </w:tcPr>
          <w:p>
            <w:pPr>
              <w:spacing w:line="240" w:lineRule="auto"/>
            </w:pPr>
            <w:r>
              <w:rPr>
                <w:sz w:val="18"/>
              </w:rPr>
            </w:r>
            <w:r>
              <w:rPr>
                <w:sz w:val="18"/>
              </w:rPr>
              <w:t>64,442</w:t>
            </w:r>
          </w:p>
        </w:tc>
        <w:tc>
          <w:tcPr>
            <w:tcW w:type="dxa" w:w="1560"/>
          </w:tcPr>
          <w:p>
            <w:pPr>
              <w:spacing w:line="240" w:lineRule="auto"/>
            </w:pPr>
            <w:r>
              <w:rPr>
                <w:sz w:val="18"/>
              </w:rPr>
            </w:r>
            <w:r>
              <w:rPr>
                <w:sz w:val="18"/>
              </w:rPr>
              <w:t>88,011</w:t>
            </w:r>
          </w:p>
        </w:tc>
        <w:tc>
          <w:tcPr>
            <w:tcW w:type="dxa" w:w="1560"/>
          </w:tcPr>
          <w:p>
            <w:pPr>
              <w:spacing w:line="240" w:lineRule="auto"/>
            </w:pPr>
            <w:r>
              <w:rPr>
                <w:sz w:val="18"/>
              </w:rPr>
            </w:r>
            <w:r>
              <w:rPr>
                <w:sz w:val="18"/>
              </w:rPr>
              <w:t>+23,569</w:t>
            </w:r>
          </w:p>
        </w:tc>
        <w:tc>
          <w:tcPr>
            <w:tcW w:type="dxa" w:w="1560"/>
          </w:tcPr>
          <w:p>
            <w:pPr>
              <w:spacing w:line="240" w:lineRule="auto"/>
            </w:pPr>
            <w:r>
              <w:rPr>
                <w:sz w:val="18"/>
              </w:rPr>
            </w:r>
            <w:r>
              <w:rPr>
                <w:sz w:val="18"/>
              </w:rPr>
              <w:t>+36.6</w:t>
            </w:r>
          </w:p>
        </w:tc>
      </w:tr>
      <w:tr>
        <w:tc>
          <w:tcPr>
            <w:tcW w:type="dxa" w:w="1560"/>
          </w:tcPr>
          <w:p>
            <w:pPr>
              <w:spacing w:line="240" w:lineRule="auto"/>
            </w:pPr>
            <w:r>
              <w:rPr>
                <w:sz w:val="18"/>
              </w:rPr>
            </w:r>
            <w:r>
              <w:rPr>
                <w:sz w:val="18"/>
              </w:rPr>
              <w:t>Office Supplies</w:t>
            </w:r>
          </w:p>
        </w:tc>
        <w:tc>
          <w:tcPr>
            <w:tcW w:type="dxa" w:w="1560"/>
          </w:tcPr>
          <w:p>
            <w:pPr>
              <w:spacing w:line="240" w:lineRule="auto"/>
            </w:pPr>
            <w:r>
              <w:rPr>
                <w:sz w:val="18"/>
              </w:rPr>
            </w:r>
            <w:r>
              <w:rPr>
                <w:sz w:val="18"/>
              </w:rPr>
              <w:t>Pens</w:t>
            </w:r>
          </w:p>
        </w:tc>
        <w:tc>
          <w:tcPr>
            <w:tcW w:type="dxa" w:w="1560"/>
          </w:tcPr>
          <w:p>
            <w:pPr>
              <w:spacing w:line="240" w:lineRule="auto"/>
            </w:pPr>
            <w:r>
              <w:rPr>
                <w:sz w:val="18"/>
              </w:rPr>
            </w:r>
            <w:r>
              <w:rPr>
                <w:sz w:val="18"/>
              </w:rPr>
              <w:t>82,959</w:t>
            </w:r>
          </w:p>
        </w:tc>
        <w:tc>
          <w:tcPr>
            <w:tcW w:type="dxa" w:w="1560"/>
          </w:tcPr>
          <w:p>
            <w:pPr>
              <w:spacing w:line="240" w:lineRule="auto"/>
            </w:pPr>
            <w:r>
              <w:rPr>
                <w:sz w:val="18"/>
              </w:rPr>
            </w:r>
            <w:r>
              <w:rPr>
                <w:sz w:val="18"/>
              </w:rPr>
              <w:t>116,900</w:t>
            </w:r>
          </w:p>
        </w:tc>
        <w:tc>
          <w:tcPr>
            <w:tcW w:type="dxa" w:w="1560"/>
          </w:tcPr>
          <w:p>
            <w:pPr>
              <w:spacing w:line="240" w:lineRule="auto"/>
            </w:pPr>
            <w:r>
              <w:rPr>
                <w:sz w:val="18"/>
              </w:rPr>
            </w:r>
            <w:r>
              <w:rPr>
                <w:sz w:val="18"/>
              </w:rPr>
              <w:t>+33,941</w:t>
            </w:r>
          </w:p>
        </w:tc>
        <w:tc>
          <w:tcPr>
            <w:tcW w:type="dxa" w:w="1560"/>
          </w:tcPr>
          <w:p>
            <w:pPr>
              <w:spacing w:line="240" w:lineRule="auto"/>
            </w:pPr>
            <w:r>
              <w:rPr>
                <w:sz w:val="18"/>
              </w:rPr>
            </w:r>
            <w:r>
              <w:rPr>
                <w:sz w:val="18"/>
              </w:rPr>
              <w:t>+40.9</w:t>
            </w:r>
          </w:p>
        </w:tc>
      </w:tr>
      <w:tr>
        <w:tc>
          <w:tcPr>
            <w:tcW w:type="dxa" w:w="1560"/>
          </w:tcPr>
          <w:p>
            <w:pPr>
              <w:spacing w:line="240" w:lineRule="auto"/>
            </w:pPr>
            <w:r>
              <w:rPr>
                <w:sz w:val="18"/>
              </w:rPr>
            </w:r>
            <w:r>
              <w:rPr>
                <w:sz w:val="18"/>
              </w:rPr>
              <w:t>Furniture</w:t>
            </w:r>
          </w:p>
        </w:tc>
        <w:tc>
          <w:tcPr>
            <w:tcW w:type="dxa" w:w="1560"/>
          </w:tcPr>
          <w:p>
            <w:pPr>
              <w:spacing w:line="240" w:lineRule="auto"/>
            </w:pPr>
            <w:r>
              <w:rPr>
                <w:sz w:val="18"/>
              </w:rPr>
            </w:r>
            <w:r>
              <w:rPr>
                <w:sz w:val="18"/>
              </w:rPr>
              <w:t>Tables</w:t>
            </w:r>
          </w:p>
        </w:tc>
        <w:tc>
          <w:tcPr>
            <w:tcW w:type="dxa" w:w="1560"/>
          </w:tcPr>
          <w:p>
            <w:pPr>
              <w:spacing w:line="240" w:lineRule="auto"/>
            </w:pPr>
            <w:r>
              <w:rPr>
                <w:sz w:val="18"/>
              </w:rPr>
            </w:r>
            <w:r>
              <w:rPr>
                <w:sz w:val="18"/>
              </w:rPr>
              <w:t>119,400</w:t>
            </w:r>
          </w:p>
        </w:tc>
        <w:tc>
          <w:tcPr>
            <w:tcW w:type="dxa" w:w="1560"/>
          </w:tcPr>
          <w:p>
            <w:pPr>
              <w:spacing w:line="240" w:lineRule="auto"/>
            </w:pPr>
            <w:r>
              <w:rPr>
                <w:sz w:val="18"/>
              </w:rPr>
            </w:r>
            <w:r>
              <w:rPr>
                <w:sz w:val="18"/>
              </w:rPr>
              <w:t>155,834</w:t>
            </w:r>
          </w:p>
        </w:tc>
        <w:tc>
          <w:tcPr>
            <w:tcW w:type="dxa" w:w="1560"/>
          </w:tcPr>
          <w:p>
            <w:pPr>
              <w:spacing w:line="240" w:lineRule="auto"/>
            </w:pPr>
            <w:r>
              <w:rPr>
                <w:sz w:val="18"/>
              </w:rPr>
            </w:r>
            <w:r>
              <w:rPr>
                <w:sz w:val="18"/>
              </w:rPr>
              <w:t>+36,434</w:t>
            </w:r>
          </w:p>
        </w:tc>
        <w:tc>
          <w:tcPr>
            <w:tcW w:type="dxa" w:w="1560"/>
          </w:tcPr>
          <w:p>
            <w:pPr>
              <w:spacing w:line="240" w:lineRule="auto"/>
            </w:pPr>
            <w:r>
              <w:rPr>
                <w:sz w:val="18"/>
              </w:rPr>
            </w:r>
            <w:r>
              <w:rPr>
                <w:sz w:val="18"/>
              </w:rPr>
              <w:t>+30.5</w:t>
            </w:r>
          </w:p>
        </w:tc>
      </w:tr>
      <w:tr>
        <w:tc>
          <w:tcPr>
            <w:tcW w:type="dxa" w:w="1560"/>
          </w:tcPr>
          <w:p>
            <w:pPr>
              <w:spacing w:line="240" w:lineRule="auto"/>
            </w:pPr>
            <w:r>
              <w:rPr>
                <w:sz w:val="18"/>
              </w:rPr>
            </w:r>
            <w:r>
              <w:rPr>
                <w:sz w:val="18"/>
              </w:rPr>
              <w:t>Office Supplies</w:t>
            </w:r>
          </w:p>
        </w:tc>
        <w:tc>
          <w:tcPr>
            <w:tcW w:type="dxa" w:w="1560"/>
          </w:tcPr>
          <w:p>
            <w:pPr>
              <w:spacing w:line="240" w:lineRule="auto"/>
            </w:pPr>
            <w:r>
              <w:rPr>
                <w:sz w:val="18"/>
              </w:rPr>
            </w:r>
            <w:r>
              <w:rPr>
                <w:sz w:val="18"/>
              </w:rPr>
              <w:t>Paper</w:t>
            </w:r>
          </w:p>
        </w:tc>
        <w:tc>
          <w:tcPr>
            <w:tcW w:type="dxa" w:w="1560"/>
          </w:tcPr>
          <w:p>
            <w:pPr>
              <w:spacing w:line="240" w:lineRule="auto"/>
            </w:pPr>
            <w:r>
              <w:rPr>
                <w:sz w:val="18"/>
              </w:rPr>
            </w:r>
            <w:r>
              <w:rPr>
                <w:sz w:val="18"/>
              </w:rPr>
              <w:t>57,368</w:t>
            </w:r>
          </w:p>
        </w:tc>
        <w:tc>
          <w:tcPr>
            <w:tcW w:type="dxa" w:w="1560"/>
          </w:tcPr>
          <w:p>
            <w:pPr>
              <w:spacing w:line="240" w:lineRule="auto"/>
            </w:pPr>
            <w:r>
              <w:rPr>
                <w:sz w:val="18"/>
              </w:rPr>
            </w:r>
            <w:r>
              <w:rPr>
                <w:sz w:val="18"/>
              </w:rPr>
              <w:t>143,057</w:t>
            </w:r>
          </w:p>
        </w:tc>
        <w:tc>
          <w:tcPr>
            <w:tcW w:type="dxa" w:w="1560"/>
          </w:tcPr>
          <w:p>
            <w:pPr>
              <w:spacing w:line="240" w:lineRule="auto"/>
            </w:pPr>
            <w:r>
              <w:rPr>
                <w:sz w:val="18"/>
              </w:rPr>
            </w:r>
            <w:r>
              <w:rPr>
                <w:b/>
                <w:sz w:val="18"/>
              </w:rPr>
              <w:t>+85,689</w:t>
            </w:r>
          </w:p>
        </w:tc>
        <w:tc>
          <w:tcPr>
            <w:tcW w:type="dxa" w:w="1560"/>
          </w:tcPr>
          <w:p>
            <w:pPr>
              <w:spacing w:line="240" w:lineRule="auto"/>
            </w:pPr>
            <w:r>
              <w:rPr>
                <w:sz w:val="18"/>
              </w:rPr>
            </w:r>
            <w:r>
              <w:rPr>
                <w:b/>
                <w:sz w:val="18"/>
              </w:rPr>
              <w:t>+149.4</w:t>
            </w:r>
          </w:p>
        </w:tc>
      </w:tr>
    </w:tbl>
    <w:p>
      <w:pPr>
        <w:spacing w:after="200" w:line="240" w:lineRule="auto"/>
        <w:jc w:val="center"/>
      </w:pPr>
      <w:r>
        <w:rPr>
          <w:i/>
          <w:color w:val="7B8994"/>
          <w:sz w:val="20"/>
        </w:rPr>
        <w:t>Table 7. Q7 — sub-category revenue change, 2023 against 2024.</w:t>
      </w:r>
    </w:p>
    <w:p>
      <w:r>
        <w:t>Printers alone account for more than half the entire peak-to-2024 gap of 257,297. Electronics as a category is down 40.8%; every Office Supplies line grew. This is the most useful single thing Checkpoint 1 produced, and it is invisible at company level.</w:t>
      </w:r>
    </w:p>
    <w:p>
      <w:r>
        <w:rPr>
          <w:b/>
        </w:rPr>
        <w:t>Finding 3 — seasonality is category-specific.</w:t>
      </w:r>
    </w:p>
    <w:tbl>
      <w:tblPr>
        <w:tblStyle w:val="LightGrid-Accent1"/>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Pr>
          <w:p>
            <w:r>
              <w:rPr>
                <w:b/>
              </w:rPr>
            </w:r>
            <w:r>
              <w:rPr>
                <w:b/>
              </w:rPr>
              <w:t>Category</w:t>
            </w:r>
          </w:p>
        </w:tc>
        <w:tc>
          <w:tcPr>
            <w:tcW w:type="dxa" w:w="1872"/>
          </w:tcPr>
          <w:p>
            <w:r>
              <w:rPr>
                <w:b/>
              </w:rPr>
            </w:r>
            <w:r>
              <w:rPr>
                <w:b/>
              </w:rPr>
              <w:t>Q1</w:t>
            </w:r>
          </w:p>
        </w:tc>
        <w:tc>
          <w:tcPr>
            <w:tcW w:type="dxa" w:w="1872"/>
          </w:tcPr>
          <w:p>
            <w:r>
              <w:rPr>
                <w:b/>
              </w:rPr>
            </w:r>
            <w:r>
              <w:rPr>
                <w:b/>
              </w:rPr>
              <w:t>Q2</w:t>
            </w:r>
          </w:p>
        </w:tc>
        <w:tc>
          <w:tcPr>
            <w:tcW w:type="dxa" w:w="1872"/>
          </w:tcPr>
          <w:p>
            <w:r>
              <w:rPr>
                <w:b/>
              </w:rPr>
            </w:r>
            <w:r>
              <w:rPr>
                <w:b/>
              </w:rPr>
              <w:t>Q3</w:t>
            </w:r>
          </w:p>
        </w:tc>
        <w:tc>
          <w:tcPr>
            <w:tcW w:type="dxa" w:w="1872"/>
          </w:tcPr>
          <w:p>
            <w:r>
              <w:rPr>
                <w:b/>
              </w:rPr>
            </w:r>
            <w:r>
              <w:rPr>
                <w:b/>
              </w:rPr>
              <w:t>Q4</w:t>
            </w:r>
          </w:p>
        </w:tc>
      </w:tr>
      <w:tr>
        <w:tc>
          <w:tcPr>
            <w:tcW w:type="dxa" w:w="1872"/>
          </w:tcPr>
          <w:p>
            <w:pPr>
              <w:spacing w:line="240" w:lineRule="auto"/>
            </w:pPr>
            <w:r>
              <w:rPr>
                <w:sz w:val="18"/>
              </w:rPr>
            </w:r>
            <w:r>
              <w:rPr>
                <w:sz w:val="18"/>
              </w:rPr>
              <w:t>Electronics</w:t>
            </w:r>
          </w:p>
        </w:tc>
        <w:tc>
          <w:tcPr>
            <w:tcW w:type="dxa" w:w="1872"/>
          </w:tcPr>
          <w:p>
            <w:pPr>
              <w:spacing w:line="240" w:lineRule="auto"/>
            </w:pPr>
            <w:r>
              <w:rPr>
                <w:sz w:val="18"/>
              </w:rPr>
            </w:r>
            <w:r>
              <w:rPr>
                <w:sz w:val="18"/>
              </w:rPr>
              <w:t>20.28%</w:t>
            </w:r>
          </w:p>
        </w:tc>
        <w:tc>
          <w:tcPr>
            <w:tcW w:type="dxa" w:w="1872"/>
          </w:tcPr>
          <w:p>
            <w:pPr>
              <w:spacing w:line="240" w:lineRule="auto"/>
            </w:pPr>
            <w:r>
              <w:rPr>
                <w:sz w:val="18"/>
              </w:rPr>
            </w:r>
            <w:r>
              <w:rPr>
                <w:b/>
                <w:sz w:val="18"/>
              </w:rPr>
              <w:t>30.79%</w:t>
            </w:r>
          </w:p>
        </w:tc>
        <w:tc>
          <w:tcPr>
            <w:tcW w:type="dxa" w:w="1872"/>
          </w:tcPr>
          <w:p>
            <w:pPr>
              <w:spacing w:line="240" w:lineRule="auto"/>
            </w:pPr>
            <w:r>
              <w:rPr>
                <w:sz w:val="18"/>
              </w:rPr>
            </w:r>
            <w:r>
              <w:rPr>
                <w:sz w:val="18"/>
              </w:rPr>
              <w:t>23.69%</w:t>
            </w:r>
          </w:p>
        </w:tc>
        <w:tc>
          <w:tcPr>
            <w:tcW w:type="dxa" w:w="1872"/>
          </w:tcPr>
          <w:p>
            <w:pPr>
              <w:spacing w:line="240" w:lineRule="auto"/>
            </w:pPr>
            <w:r>
              <w:rPr>
                <w:sz w:val="18"/>
              </w:rPr>
            </w:r>
            <w:r>
              <w:rPr>
                <w:sz w:val="18"/>
              </w:rPr>
              <w:t>25.24%</w:t>
            </w:r>
          </w:p>
        </w:tc>
      </w:tr>
      <w:tr>
        <w:tc>
          <w:tcPr>
            <w:tcW w:type="dxa" w:w="1872"/>
          </w:tcPr>
          <w:p>
            <w:pPr>
              <w:spacing w:line="240" w:lineRule="auto"/>
            </w:pPr>
            <w:r>
              <w:rPr>
                <w:sz w:val="18"/>
              </w:rPr>
            </w:r>
            <w:r>
              <w:rPr>
                <w:sz w:val="18"/>
              </w:rPr>
              <w:t>Furniture</w:t>
            </w:r>
          </w:p>
        </w:tc>
        <w:tc>
          <w:tcPr>
            <w:tcW w:type="dxa" w:w="1872"/>
          </w:tcPr>
          <w:p>
            <w:pPr>
              <w:spacing w:line="240" w:lineRule="auto"/>
            </w:pPr>
            <w:r>
              <w:rPr>
                <w:sz w:val="18"/>
              </w:rPr>
            </w:r>
            <w:r>
              <w:rPr>
                <w:sz w:val="18"/>
              </w:rPr>
              <w:t>16.96%</w:t>
            </w:r>
          </w:p>
        </w:tc>
        <w:tc>
          <w:tcPr>
            <w:tcW w:type="dxa" w:w="1872"/>
          </w:tcPr>
          <w:p>
            <w:pPr>
              <w:spacing w:line="240" w:lineRule="auto"/>
            </w:pPr>
            <w:r>
              <w:rPr>
                <w:sz w:val="18"/>
              </w:rPr>
            </w:r>
            <w:r>
              <w:rPr>
                <w:sz w:val="18"/>
              </w:rPr>
              <w:t>29.46%</w:t>
            </w:r>
          </w:p>
        </w:tc>
        <w:tc>
          <w:tcPr>
            <w:tcW w:type="dxa" w:w="1872"/>
          </w:tcPr>
          <w:p>
            <w:pPr>
              <w:spacing w:line="240" w:lineRule="auto"/>
            </w:pPr>
            <w:r>
              <w:rPr>
                <w:sz w:val="18"/>
              </w:rPr>
            </w:r>
            <w:r>
              <w:rPr>
                <w:sz w:val="18"/>
              </w:rPr>
              <w:t>22.74%</w:t>
            </w:r>
          </w:p>
        </w:tc>
        <w:tc>
          <w:tcPr>
            <w:tcW w:type="dxa" w:w="1872"/>
          </w:tcPr>
          <w:p>
            <w:pPr>
              <w:spacing w:line="240" w:lineRule="auto"/>
            </w:pPr>
            <w:r>
              <w:rPr>
                <w:sz w:val="18"/>
              </w:rPr>
            </w:r>
            <w:r>
              <w:rPr>
                <w:b/>
                <w:sz w:val="18"/>
              </w:rPr>
              <w:t>30.84%</w:t>
            </w:r>
          </w:p>
        </w:tc>
      </w:tr>
      <w:tr>
        <w:tc>
          <w:tcPr>
            <w:tcW w:type="dxa" w:w="1872"/>
          </w:tcPr>
          <w:p>
            <w:pPr>
              <w:spacing w:line="240" w:lineRule="auto"/>
            </w:pPr>
            <w:r>
              <w:rPr>
                <w:sz w:val="18"/>
              </w:rPr>
            </w:r>
            <w:r>
              <w:rPr>
                <w:sz w:val="18"/>
              </w:rPr>
              <w:t>Office Supplies</w:t>
            </w:r>
          </w:p>
        </w:tc>
        <w:tc>
          <w:tcPr>
            <w:tcW w:type="dxa" w:w="1872"/>
          </w:tcPr>
          <w:p>
            <w:pPr>
              <w:spacing w:line="240" w:lineRule="auto"/>
            </w:pPr>
            <w:r>
              <w:rPr>
                <w:sz w:val="18"/>
              </w:rPr>
            </w:r>
            <w:r>
              <w:rPr>
                <w:sz w:val="18"/>
              </w:rPr>
              <w:t>17.01%</w:t>
            </w:r>
          </w:p>
        </w:tc>
        <w:tc>
          <w:tcPr>
            <w:tcW w:type="dxa" w:w="1872"/>
          </w:tcPr>
          <w:p>
            <w:pPr>
              <w:spacing w:line="240" w:lineRule="auto"/>
            </w:pPr>
            <w:r>
              <w:rPr>
                <w:sz w:val="18"/>
              </w:rPr>
            </w:r>
            <w:r>
              <w:rPr>
                <w:sz w:val="18"/>
              </w:rPr>
              <w:t>25.00%</w:t>
            </w:r>
          </w:p>
        </w:tc>
        <w:tc>
          <w:tcPr>
            <w:tcW w:type="dxa" w:w="1872"/>
          </w:tcPr>
          <w:p>
            <w:pPr>
              <w:spacing w:line="240" w:lineRule="auto"/>
            </w:pPr>
            <w:r>
              <w:rPr>
                <w:sz w:val="18"/>
              </w:rPr>
            </w:r>
            <w:r>
              <w:rPr>
                <w:sz w:val="18"/>
              </w:rPr>
              <w:t>25.83%</w:t>
            </w:r>
          </w:p>
        </w:tc>
        <w:tc>
          <w:tcPr>
            <w:tcW w:type="dxa" w:w="1872"/>
          </w:tcPr>
          <w:p>
            <w:pPr>
              <w:spacing w:line="240" w:lineRule="auto"/>
            </w:pPr>
            <w:r>
              <w:rPr>
                <w:sz w:val="18"/>
              </w:rPr>
            </w:r>
            <w:r>
              <w:rPr>
                <w:b/>
                <w:sz w:val="18"/>
              </w:rPr>
              <w:t>32.16%</w:t>
            </w:r>
          </w:p>
        </w:tc>
      </w:tr>
    </w:tbl>
    <w:p>
      <w:pPr>
        <w:spacing w:after="200" w:line="240" w:lineRule="auto"/>
        <w:jc w:val="center"/>
      </w:pPr>
      <w:r>
        <w:rPr>
          <w:i/>
          <w:color w:val="7B8994"/>
          <w:sz w:val="20"/>
        </w:rPr>
        <w:t>Table 8. Q8 — each quarter's share of its own category's annual revenue.</w:t>
      </w:r>
    </w:p>
    <w:p>
      <w:r>
        <w:t>The blended company figure says Q4. Split by category, Electronics actually peaks in Q2. A single planning curve over-stocks Electronics in Q4 and under-stocks it in Q2 — mistiming roughly a third of the business.</w:t>
      </w:r>
    </w:p>
    <w:p>
      <w:r>
        <w:rPr>
          <w:b/>
        </w:rPr>
        <w:t>Finding 4 — geography is not a factor.</w:t>
      </w:r>
      <w:r>
        <w:t xml:space="preserve"> Across five years, state revenue spans only 28% between highest and lowest, with no state trending against the others (Q6). Not every finding is a discovery; this one tells the business where </w:t>
      </w:r>
      <w:r>
        <w:rPr>
          <w:i/>
        </w:rPr>
        <w:t>not</w:t>
      </w:r>
      <w:r>
        <w:t xml:space="preserve"> to spend analytical effort, and it is reported for that reason.</w:t>
      </w:r>
    </w:p>
    <w:p>
      <w:pPr>
        <w:pStyle w:val="Heading2"/>
      </w:pPr>
      <w:r>
        <w:t>4.4 Figures</w:t>
      </w:r>
    </w:p>
    <w:p>
      <w:pPr>
        <w:jc w:val="center"/>
      </w:pPr>
      <w:r>
        <w:drawing>
          <wp:inline xmlns:a="http://schemas.openxmlformats.org/drawingml/2006/main" xmlns:pic="http://schemas.openxmlformats.org/drawingml/2006/picture">
            <wp:extent cx="5486400" cy="3612614"/>
            <wp:docPr id="2" name="Picture 2"/>
            <wp:cNvGraphicFramePr>
              <a:graphicFrameLocks noChangeAspect="1"/>
            </wp:cNvGraphicFramePr>
            <a:graphic>
              <a:graphicData uri="http://schemas.openxmlformats.org/drawingml/2006/picture">
                <pic:pic>
                  <pic:nvPicPr>
                    <pic:cNvPr id="0" name="fig1_annual_trend.png"/>
                    <pic:cNvPicPr/>
                  </pic:nvPicPr>
                  <pic:blipFill>
                    <a:blip r:embed="rId10"/>
                    <a:stretch>
                      <a:fillRect/>
                    </a:stretch>
                  </pic:blipFill>
                  <pic:spPr>
                    <a:xfrm>
                      <a:off x="0" y="0"/>
                      <a:ext cx="5486400" cy="3612614"/>
                    </a:xfrm>
                    <a:prstGeom prst="rect"/>
                  </pic:spPr>
                </pic:pic>
              </a:graphicData>
            </a:graphic>
          </wp:inline>
        </w:drawing>
      </w:r>
    </w:p>
    <w:p>
      <w:pPr>
        <w:spacing w:after="200" w:line="240" w:lineRule="auto"/>
        <w:jc w:val="center"/>
      </w:pPr>
      <w:r>
        <w:rPr>
          <w:i/>
          <w:color w:val="7B8994"/>
          <w:sz w:val="20"/>
        </w:rPr>
        <w:t>Figure 2. The sales trend in two regimes, measured per month: growth of 30.9% to the 2022 peak, then a 17.6% fall to a plateau.</w:t>
      </w:r>
    </w:p>
    <w:p>
      <w:pPr>
        <w:jc w:val="center"/>
      </w:pPr>
      <w:r>
        <w:drawing>
          <wp:inline xmlns:a="http://schemas.openxmlformats.org/drawingml/2006/main" xmlns:pic="http://schemas.openxmlformats.org/drawingml/2006/picture">
            <wp:extent cx="5486400" cy="3083180"/>
            <wp:docPr id="3" name="Picture 3"/>
            <wp:cNvGraphicFramePr>
              <a:graphicFrameLocks noChangeAspect="1"/>
            </wp:cNvGraphicFramePr>
            <a:graphic>
              <a:graphicData uri="http://schemas.openxmlformats.org/drawingml/2006/picture">
                <pic:pic>
                  <pic:nvPicPr>
                    <pic:cNvPr id="0" name="fig3_category_trend.png"/>
                    <pic:cNvPicPr/>
                  </pic:nvPicPr>
                  <pic:blipFill>
                    <a:blip r:embed="rId11"/>
                    <a:stretch>
                      <a:fillRect/>
                    </a:stretch>
                  </pic:blipFill>
                  <pic:spPr>
                    <a:xfrm>
                      <a:off x="0" y="0"/>
                      <a:ext cx="5486400" cy="3083180"/>
                    </a:xfrm>
                    <a:prstGeom prst="rect"/>
                  </pic:spPr>
                </pic:pic>
              </a:graphicData>
            </a:graphic>
          </wp:inline>
        </w:drawing>
      </w:r>
    </w:p>
    <w:p>
      <w:pPr>
        <w:spacing w:after="200" w:line="240" w:lineRule="auto"/>
        <w:jc w:val="center"/>
      </w:pPr>
      <w:r>
        <w:rPr>
          <w:i/>
          <w:color w:val="7B8994"/>
          <w:sz w:val="20"/>
        </w:rPr>
        <w:t>Figure 3. Revenue by product category per year. Electronics reversed in 2024 while Office Supplies rebounded.</w:t>
      </w:r>
    </w:p>
    <w:p>
      <w:pPr>
        <w:pStyle w:val="Heading2"/>
      </w:pPr>
      <w:r>
        <w:t>4.5 A correction we made to our own work</w:t>
      </w:r>
    </w:p>
    <w:p>
      <w:r>
        <w:t xml:space="preserve">Building the Checkpoint 2 monthly series exposed an error in Checkpoint 1. </w:t>
      </w:r>
      <w:r>
        <w:rPr>
          <w:b/>
        </w:rPr>
        <w:t>2020 was treated as a full year.</w:t>
      </w:r>
      <w:r>
        <w:t xml:space="preserve"> The file begins on 22 March, so 2020 holds only nine months of trading. Comparing its part-year total against a full 2021 overstated 2020-to-2022 growth as </w:t>
      </w:r>
      <w:r>
        <w:rPr>
          <w:b/>
        </w:rPr>
        <w:t>69.9%</w:t>
      </w:r>
      <w:r>
        <w:t xml:space="preserve"> when the like-for-like figure is </w:t>
      </w:r>
      <w:r>
        <w:rPr>
          <w:b/>
        </w:rPr>
        <w:t>30.9%</w:t>
      </w:r>
      <w:r>
        <w:t>. It also distorted March's seasonal index, from 1.025 down to 0.876.</w:t>
      </w:r>
    </w:p>
    <w:tbl>
      <w:tblPr>
        <w:tblStyle w:val="LightGrid-Accent1"/>
        <w:tblW w:type="auto" w:w="0"/>
        <w:jc w:val="center"/>
        <w:tblLayout w:type="autofit"/>
        <w:tblLook w:firstColumn="1" w:firstRow="1" w:lastColumn="0" w:lastRow="0" w:noHBand="0" w:noVBand="1" w:val="04A0"/>
      </w:tblPr>
      <w:tblGrid>
        <w:gridCol w:w="4680"/>
        <w:gridCol w:w="4680"/>
      </w:tblGrid>
      <w:tr>
        <w:tc>
          <w:tcPr>
            <w:tcW w:type="dxa" w:w="4680"/>
          </w:tcPr>
          <w:p>
            <w:r>
              <w:rPr>
                <w:b/>
              </w:rPr>
            </w:r>
            <w:r>
              <w:rPr>
                <w:b/>
              </w:rPr>
              <w:t>Affected</w:t>
            </w:r>
          </w:p>
        </w:tc>
        <w:tc>
          <w:tcPr>
            <w:tcW w:type="dxa" w:w="4680"/>
          </w:tcPr>
          <w:p>
            <w:r>
              <w:rPr>
                <w:b/>
              </w:rPr>
            </w:r>
            <w:r>
              <w:rPr>
                <w:b/>
              </w:rPr>
              <w:t>Unaffected</w:t>
            </w:r>
          </w:p>
        </w:tc>
      </w:tr>
      <w:tr>
        <w:tc>
          <w:tcPr>
            <w:tcW w:type="dxa" w:w="4680"/>
          </w:tcPr>
          <w:p>
            <w:pPr>
              <w:spacing w:line="240" w:lineRule="auto"/>
            </w:pPr>
            <w:r>
              <w:rPr>
                <w:sz w:val="18"/>
              </w:rPr>
            </w:r>
            <w:r>
              <w:rPr>
                <w:sz w:val="18"/>
              </w:rPr>
              <w:t>The 2020→2022 growth figure</w:t>
            </w:r>
          </w:p>
        </w:tc>
        <w:tc>
          <w:tcPr>
            <w:tcW w:type="dxa" w:w="4680"/>
          </w:tcPr>
          <w:p>
            <w:pPr>
              <w:spacing w:line="240" w:lineRule="auto"/>
            </w:pPr>
            <w:r>
              <w:rPr>
                <w:sz w:val="18"/>
              </w:rPr>
            </w:r>
            <w:r>
              <w:rPr>
                <w:sz w:val="18"/>
              </w:rPr>
              <w:t>The −17.6% peak-to-2024 decline — both are full years</w:t>
            </w:r>
          </w:p>
        </w:tc>
      </w:tr>
      <w:tr>
        <w:tc>
          <w:tcPr>
            <w:tcW w:type="dxa" w:w="4680"/>
          </w:tcPr>
          <w:p>
            <w:pPr>
              <w:spacing w:line="240" w:lineRule="auto"/>
            </w:pPr>
            <w:r>
              <w:rPr>
                <w:sz w:val="18"/>
              </w:rPr>
            </w:r>
            <w:r>
              <w:rPr>
                <w:sz w:val="18"/>
              </w:rPr>
              <w:t>March's seasonal index</w:t>
            </w:r>
          </w:p>
        </w:tc>
        <w:tc>
          <w:tcPr>
            <w:tcW w:type="dxa" w:w="4680"/>
          </w:tcPr>
          <w:p>
            <w:pPr>
              <w:spacing w:line="240" w:lineRule="auto"/>
            </w:pPr>
            <w:r>
              <w:rPr>
                <w:sz w:val="18"/>
              </w:rPr>
            </w:r>
            <w:r>
              <w:rPr>
                <w:sz w:val="18"/>
              </w:rPr>
              <w:t>Printers −136,865; Electronics −40.8%</w:t>
            </w:r>
          </w:p>
        </w:tc>
      </w:tr>
      <w:tr>
        <w:tc>
          <w:tcPr>
            <w:tcW w:type="dxa" w:w="4680"/>
          </w:tcPr>
          <w:p>
            <w:pPr>
              <w:spacing w:line="240" w:lineRule="auto"/>
            </w:pPr>
            <w:r>
              <w:rPr>
                <w:sz w:val="18"/>
              </w:rPr>
            </w:r>
          </w:p>
        </w:tc>
        <w:tc>
          <w:tcPr>
            <w:tcW w:type="dxa" w:w="4680"/>
          </w:tcPr>
          <w:p>
            <w:pPr>
              <w:spacing w:line="240" w:lineRule="auto"/>
            </w:pPr>
            <w:r>
              <w:rPr>
                <w:sz w:val="18"/>
              </w:rPr>
            </w:r>
            <w:r>
              <w:rPr>
                <w:sz w:val="18"/>
              </w:rPr>
              <w:t>Category-specific seasonality; the geography finding</w:t>
            </w:r>
          </w:p>
        </w:tc>
      </w:tr>
    </w:tbl>
    <w:p>
      <w:pPr>
        <w:spacing w:after="200" w:line="240" w:lineRule="auto"/>
        <w:jc w:val="center"/>
      </w:pPr>
      <w:r>
        <w:rPr>
          <w:i/>
          <w:color w:val="7B8994"/>
          <w:sz w:val="20"/>
        </w:rPr>
        <w:t>Table 9. Which Checkpoint 1 findings the correction affects.</w:t>
      </w:r>
    </w:p>
    <w:p>
      <w:r>
        <w:t xml:space="preserve">The central thesis is unchanged; one supporting number was overstated. Checkpoint 1 was reissued with the </w:t>
      </w:r>
      <w:r>
        <w:rPr>
          <w:rFonts w:ascii="Consolas" w:hAnsi="Consolas"/>
          <w:color w:val="2F6F9F"/>
          <w:sz w:val="18"/>
        </w:rPr>
        <w:t>is_complete_month</w:t>
      </w:r>
      <w:r>
        <w:t xml:space="preserve"> flag and a per-month column in Query 3, so the mistake is now structurally prevented rather than merely fixed. Every per-month measure built since — in Excel, in Power BI and in the predictive model — divides by months actually covered, never by twelve.</w:t>
      </w:r>
    </w:p>
    <w:p>
      <w:r>
        <w:br w:type="page"/>
      </w:r>
    </w:p>
    <w:p>
      <w:pPr>
        <w:pStyle w:val="Heading1"/>
      </w:pPr>
      <w:r>
        <w:t>5. Statistical Analysis</w:t>
      </w:r>
    </w:p>
    <w:p>
      <w:r>
        <w:t>Computed in Excel against the same database extract, with all working visible as live formulas rather than pasted values. Full detail in the Checkpoint 2 report; the results are summarised here.</w:t>
      </w:r>
    </w:p>
    <w:p>
      <w:pPr>
        <w:pStyle w:val="Heading2"/>
      </w:pPr>
      <w:r>
        <w:t>5.1 Descriptive statistics</w:t>
      </w:r>
    </w:p>
    <w:tbl>
      <w:tblPr>
        <w:tblStyle w:val="LightGrid-Accent1"/>
        <w:tblW w:type="auto" w:w="0"/>
        <w:jc w:val="center"/>
        <w:tblLayout w:type="autofit"/>
        <w:tblLook w:firstColumn="1" w:firstRow="1" w:lastColumn="0" w:lastRow="0" w:noHBand="0" w:noVBand="1" w:val="04A0"/>
      </w:tblPr>
      <w:tblGrid>
        <w:gridCol w:w="2340"/>
        <w:gridCol w:w="2340"/>
        <w:gridCol w:w="2340"/>
        <w:gridCol w:w="2340"/>
      </w:tblGrid>
      <w:tr>
        <w:tc>
          <w:tcPr>
            <w:tcW w:type="dxa" w:w="2340"/>
          </w:tcPr>
          <w:p>
            <w:r>
              <w:rPr>
                <w:b/>
              </w:rPr>
            </w:r>
            <w:r>
              <w:rPr>
                <w:b/>
              </w:rPr>
              <w:t>Statistic</w:t>
            </w:r>
          </w:p>
        </w:tc>
        <w:tc>
          <w:tcPr>
            <w:tcW w:type="dxa" w:w="2340"/>
          </w:tcPr>
          <w:p>
            <w:r>
              <w:rPr>
                <w:b/>
              </w:rPr>
            </w:r>
            <w:r>
              <w:rPr>
                <w:b/>
              </w:rPr>
              <w:t>Amount</w:t>
            </w:r>
          </w:p>
        </w:tc>
        <w:tc>
          <w:tcPr>
            <w:tcW w:type="dxa" w:w="2340"/>
          </w:tcPr>
          <w:p>
            <w:r>
              <w:rPr>
                <w:b/>
              </w:rPr>
            </w:r>
            <w:r>
              <w:rPr>
                <w:b/>
              </w:rPr>
              <w:t>Profit</w:t>
            </w:r>
          </w:p>
        </w:tc>
        <w:tc>
          <w:tcPr>
            <w:tcW w:type="dxa" w:w="2340"/>
          </w:tcPr>
          <w:p>
            <w:r>
              <w:rPr>
                <w:b/>
              </w:rPr>
            </w:r>
            <w:r>
              <w:rPr>
                <w:b/>
              </w:rPr>
              <w:t>Quantity</w:t>
            </w:r>
          </w:p>
        </w:tc>
      </w:tr>
      <w:tr>
        <w:tc>
          <w:tcPr>
            <w:tcW w:type="dxa" w:w="2340"/>
          </w:tcPr>
          <w:p>
            <w:pPr>
              <w:spacing w:line="240" w:lineRule="auto"/>
            </w:pPr>
            <w:r>
              <w:rPr>
                <w:sz w:val="18"/>
              </w:rPr>
            </w:r>
            <w:r>
              <w:rPr>
                <w:sz w:val="18"/>
              </w:rPr>
              <w:t>Mean</w:t>
            </w:r>
          </w:p>
        </w:tc>
        <w:tc>
          <w:tcPr>
            <w:tcW w:type="dxa" w:w="2340"/>
          </w:tcPr>
          <w:p>
            <w:pPr>
              <w:spacing w:line="240" w:lineRule="auto"/>
            </w:pPr>
            <w:r>
              <w:rPr>
                <w:sz w:val="18"/>
              </w:rPr>
            </w:r>
            <w:r>
              <w:rPr>
                <w:sz w:val="18"/>
              </w:rPr>
              <w:t>5,178.09</w:t>
            </w:r>
          </w:p>
        </w:tc>
        <w:tc>
          <w:tcPr>
            <w:tcW w:type="dxa" w:w="2340"/>
          </w:tcPr>
          <w:p>
            <w:pPr>
              <w:spacing w:line="240" w:lineRule="auto"/>
            </w:pPr>
            <w:r>
              <w:rPr>
                <w:sz w:val="18"/>
              </w:rPr>
            </w:r>
            <w:r>
              <w:rPr>
                <w:sz w:val="18"/>
              </w:rPr>
              <w:t>1,348.99</w:t>
            </w:r>
          </w:p>
        </w:tc>
        <w:tc>
          <w:tcPr>
            <w:tcW w:type="dxa" w:w="2340"/>
          </w:tcPr>
          <w:p>
            <w:pPr>
              <w:spacing w:line="240" w:lineRule="auto"/>
            </w:pPr>
            <w:r>
              <w:rPr>
                <w:sz w:val="18"/>
              </w:rPr>
            </w:r>
            <w:r>
              <w:rPr>
                <w:sz w:val="18"/>
              </w:rPr>
              <w:t>10.67</w:t>
            </w:r>
          </w:p>
        </w:tc>
      </w:tr>
      <w:tr>
        <w:tc>
          <w:tcPr>
            <w:tcW w:type="dxa" w:w="2340"/>
          </w:tcPr>
          <w:p>
            <w:pPr>
              <w:spacing w:line="240" w:lineRule="auto"/>
            </w:pPr>
            <w:r>
              <w:rPr>
                <w:sz w:val="18"/>
              </w:rPr>
            </w:r>
            <w:r>
              <w:rPr>
                <w:sz w:val="18"/>
              </w:rPr>
              <w:t>Median</w:t>
            </w:r>
          </w:p>
        </w:tc>
        <w:tc>
          <w:tcPr>
            <w:tcW w:type="dxa" w:w="2340"/>
          </w:tcPr>
          <w:p>
            <w:pPr>
              <w:spacing w:line="240" w:lineRule="auto"/>
            </w:pPr>
            <w:r>
              <w:rPr>
                <w:sz w:val="18"/>
              </w:rPr>
            </w:r>
            <w:r>
              <w:rPr>
                <w:sz w:val="18"/>
              </w:rPr>
              <w:t>5,152.00</w:t>
            </w:r>
          </w:p>
        </w:tc>
        <w:tc>
          <w:tcPr>
            <w:tcW w:type="dxa" w:w="2340"/>
          </w:tcPr>
          <w:p>
            <w:pPr>
              <w:spacing w:line="240" w:lineRule="auto"/>
            </w:pPr>
            <w:r>
              <w:rPr>
                <w:sz w:val="18"/>
              </w:rPr>
            </w:r>
            <w:r>
              <w:rPr>
                <w:sz w:val="18"/>
              </w:rPr>
              <w:t>1,014.00</w:t>
            </w:r>
          </w:p>
        </w:tc>
        <w:tc>
          <w:tcPr>
            <w:tcW w:type="dxa" w:w="2340"/>
          </w:tcPr>
          <w:p>
            <w:pPr>
              <w:spacing w:line="240" w:lineRule="auto"/>
            </w:pPr>
            <w:r>
              <w:rPr>
                <w:sz w:val="18"/>
              </w:rPr>
            </w:r>
            <w:r>
              <w:rPr>
                <w:sz w:val="18"/>
              </w:rPr>
              <w:t>11.00</w:t>
            </w:r>
          </w:p>
        </w:tc>
      </w:tr>
      <w:tr>
        <w:tc>
          <w:tcPr>
            <w:tcW w:type="dxa" w:w="2340"/>
          </w:tcPr>
          <w:p>
            <w:pPr>
              <w:spacing w:line="240" w:lineRule="auto"/>
            </w:pPr>
            <w:r>
              <w:rPr>
                <w:sz w:val="18"/>
              </w:rPr>
            </w:r>
            <w:r>
              <w:rPr>
                <w:sz w:val="18"/>
              </w:rPr>
              <w:t>Standard deviation</w:t>
            </w:r>
          </w:p>
        </w:tc>
        <w:tc>
          <w:tcPr>
            <w:tcW w:type="dxa" w:w="2340"/>
          </w:tcPr>
          <w:p>
            <w:pPr>
              <w:spacing w:line="240" w:lineRule="auto"/>
            </w:pPr>
            <w:r>
              <w:rPr>
                <w:sz w:val="18"/>
              </w:rPr>
            </w:r>
            <w:r>
              <w:rPr>
                <w:sz w:val="18"/>
              </w:rPr>
              <w:t>2,804.92</w:t>
            </w:r>
          </w:p>
        </w:tc>
        <w:tc>
          <w:tcPr>
            <w:tcW w:type="dxa" w:w="2340"/>
          </w:tcPr>
          <w:p>
            <w:pPr>
              <w:spacing w:line="240" w:lineRule="auto"/>
            </w:pPr>
            <w:r>
              <w:rPr>
                <w:sz w:val="18"/>
              </w:rPr>
            </w:r>
            <w:r>
              <w:rPr>
                <w:sz w:val="18"/>
              </w:rPr>
              <w:t>1,117.99</w:t>
            </w:r>
          </w:p>
        </w:tc>
        <w:tc>
          <w:tcPr>
            <w:tcW w:type="dxa" w:w="2340"/>
          </w:tcPr>
          <w:p>
            <w:pPr>
              <w:spacing w:line="240" w:lineRule="auto"/>
            </w:pPr>
            <w:r>
              <w:rPr>
                <w:sz w:val="18"/>
              </w:rPr>
            </w:r>
            <w:r>
              <w:rPr>
                <w:sz w:val="18"/>
              </w:rPr>
              <w:t>5.78</w:t>
            </w:r>
          </w:p>
        </w:tc>
      </w:tr>
      <w:tr>
        <w:tc>
          <w:tcPr>
            <w:tcW w:type="dxa" w:w="2340"/>
          </w:tcPr>
          <w:p>
            <w:pPr>
              <w:spacing w:line="240" w:lineRule="auto"/>
            </w:pPr>
            <w:r>
              <w:rPr>
                <w:sz w:val="18"/>
              </w:rPr>
            </w:r>
            <w:r>
              <w:rPr>
                <w:sz w:val="18"/>
              </w:rPr>
              <w:t>Minimum</w:t>
            </w:r>
          </w:p>
        </w:tc>
        <w:tc>
          <w:tcPr>
            <w:tcW w:type="dxa" w:w="2340"/>
          </w:tcPr>
          <w:p>
            <w:pPr>
              <w:spacing w:line="240" w:lineRule="auto"/>
            </w:pPr>
            <w:r>
              <w:rPr>
                <w:sz w:val="18"/>
              </w:rPr>
            </w:r>
            <w:r>
              <w:rPr>
                <w:sz w:val="18"/>
              </w:rPr>
              <w:t>508</w:t>
            </w:r>
          </w:p>
        </w:tc>
        <w:tc>
          <w:tcPr>
            <w:tcW w:type="dxa" w:w="2340"/>
          </w:tcPr>
          <w:p>
            <w:pPr>
              <w:spacing w:line="240" w:lineRule="auto"/>
            </w:pPr>
            <w:r>
              <w:rPr>
                <w:sz w:val="18"/>
              </w:rPr>
            </w:r>
            <w:r>
              <w:rPr>
                <w:sz w:val="18"/>
              </w:rPr>
              <w:t>50</w:t>
            </w:r>
          </w:p>
        </w:tc>
        <w:tc>
          <w:tcPr>
            <w:tcW w:type="dxa" w:w="2340"/>
          </w:tcPr>
          <w:p>
            <w:pPr>
              <w:spacing w:line="240" w:lineRule="auto"/>
            </w:pPr>
            <w:r>
              <w:rPr>
                <w:sz w:val="18"/>
              </w:rPr>
            </w:r>
            <w:r>
              <w:rPr>
                <w:sz w:val="18"/>
              </w:rPr>
              <w:t>1</w:t>
            </w:r>
          </w:p>
        </w:tc>
      </w:tr>
      <w:tr>
        <w:tc>
          <w:tcPr>
            <w:tcW w:type="dxa" w:w="2340"/>
          </w:tcPr>
          <w:p>
            <w:pPr>
              <w:spacing w:line="240" w:lineRule="auto"/>
            </w:pPr>
            <w:r>
              <w:rPr>
                <w:sz w:val="18"/>
              </w:rPr>
            </w:r>
            <w:r>
              <w:rPr>
                <w:sz w:val="18"/>
              </w:rPr>
              <w:t>Maximum</w:t>
            </w:r>
          </w:p>
        </w:tc>
        <w:tc>
          <w:tcPr>
            <w:tcW w:type="dxa" w:w="2340"/>
          </w:tcPr>
          <w:p>
            <w:pPr>
              <w:spacing w:line="240" w:lineRule="auto"/>
            </w:pPr>
            <w:r>
              <w:rPr>
                <w:sz w:val="18"/>
              </w:rPr>
            </w:r>
            <w:r>
              <w:rPr>
                <w:sz w:val="18"/>
              </w:rPr>
              <w:t>9,992</w:t>
            </w:r>
          </w:p>
        </w:tc>
        <w:tc>
          <w:tcPr>
            <w:tcW w:type="dxa" w:w="2340"/>
          </w:tcPr>
          <w:p>
            <w:pPr>
              <w:spacing w:line="240" w:lineRule="auto"/>
            </w:pPr>
            <w:r>
              <w:rPr>
                <w:sz w:val="18"/>
              </w:rPr>
            </w:r>
            <w:r>
              <w:rPr>
                <w:sz w:val="18"/>
              </w:rPr>
              <w:t>4,930</w:t>
            </w:r>
          </w:p>
        </w:tc>
        <w:tc>
          <w:tcPr>
            <w:tcW w:type="dxa" w:w="2340"/>
          </w:tcPr>
          <w:p>
            <w:pPr>
              <w:spacing w:line="240" w:lineRule="auto"/>
            </w:pPr>
            <w:r>
              <w:rPr>
                <w:sz w:val="18"/>
              </w:rPr>
            </w:r>
            <w:r>
              <w:rPr>
                <w:sz w:val="18"/>
              </w:rPr>
              <w:t>20</w:t>
            </w:r>
          </w:p>
        </w:tc>
      </w:tr>
      <w:tr>
        <w:tc>
          <w:tcPr>
            <w:tcW w:type="dxa" w:w="2340"/>
          </w:tcPr>
          <w:p>
            <w:pPr>
              <w:spacing w:line="240" w:lineRule="auto"/>
            </w:pPr>
            <w:r>
              <w:rPr>
                <w:sz w:val="18"/>
              </w:rPr>
            </w:r>
            <w:r>
              <w:rPr>
                <w:sz w:val="18"/>
              </w:rPr>
              <w:t>Interquartile range</w:t>
            </w:r>
          </w:p>
        </w:tc>
        <w:tc>
          <w:tcPr>
            <w:tcW w:type="dxa" w:w="2340"/>
          </w:tcPr>
          <w:p>
            <w:pPr>
              <w:spacing w:line="240" w:lineRule="auto"/>
            </w:pPr>
            <w:r>
              <w:rPr>
                <w:sz w:val="18"/>
              </w:rPr>
            </w:r>
            <w:r>
              <w:rPr>
                <w:sz w:val="18"/>
              </w:rPr>
              <w:t>4,827.00</w:t>
            </w:r>
          </w:p>
        </w:tc>
        <w:tc>
          <w:tcPr>
            <w:tcW w:type="dxa" w:w="2340"/>
          </w:tcPr>
          <w:p>
            <w:pPr>
              <w:spacing w:line="240" w:lineRule="auto"/>
            </w:pPr>
            <w:r>
              <w:rPr>
                <w:sz w:val="18"/>
              </w:rPr>
            </w:r>
            <w:r>
              <w:rPr>
                <w:sz w:val="18"/>
              </w:rPr>
              <w:t>1,625.00</w:t>
            </w:r>
          </w:p>
        </w:tc>
        <w:tc>
          <w:tcPr>
            <w:tcW w:type="dxa" w:w="2340"/>
          </w:tcPr>
          <w:p>
            <w:pPr>
              <w:spacing w:line="240" w:lineRule="auto"/>
            </w:pPr>
            <w:r>
              <w:rPr>
                <w:sz w:val="18"/>
              </w:rPr>
            </w:r>
            <w:r>
              <w:rPr>
                <w:sz w:val="18"/>
              </w:rPr>
              <w:t>10.00</w:t>
            </w:r>
          </w:p>
        </w:tc>
      </w:tr>
      <w:tr>
        <w:tc>
          <w:tcPr>
            <w:tcW w:type="dxa" w:w="2340"/>
          </w:tcPr>
          <w:p>
            <w:pPr>
              <w:spacing w:line="240" w:lineRule="auto"/>
            </w:pPr>
            <w:r>
              <w:rPr>
                <w:sz w:val="18"/>
              </w:rPr>
            </w:r>
            <w:r>
              <w:rPr>
                <w:sz w:val="18"/>
              </w:rPr>
              <w:t>Coefficient of variation</w:t>
            </w:r>
          </w:p>
        </w:tc>
        <w:tc>
          <w:tcPr>
            <w:tcW w:type="dxa" w:w="2340"/>
          </w:tcPr>
          <w:p>
            <w:pPr>
              <w:spacing w:line="240" w:lineRule="auto"/>
            </w:pPr>
            <w:r>
              <w:rPr>
                <w:sz w:val="18"/>
              </w:rPr>
            </w:r>
            <w:r>
              <w:rPr>
                <w:sz w:val="18"/>
              </w:rPr>
              <w:t>54.2%</w:t>
            </w:r>
          </w:p>
        </w:tc>
        <w:tc>
          <w:tcPr>
            <w:tcW w:type="dxa" w:w="2340"/>
          </w:tcPr>
          <w:p>
            <w:pPr>
              <w:spacing w:line="240" w:lineRule="auto"/>
            </w:pPr>
            <w:r>
              <w:rPr>
                <w:sz w:val="18"/>
              </w:rPr>
            </w:r>
            <w:r>
              <w:rPr>
                <w:b/>
                <w:sz w:val="18"/>
              </w:rPr>
              <w:t>82.9%</w:t>
            </w:r>
          </w:p>
        </w:tc>
        <w:tc>
          <w:tcPr>
            <w:tcW w:type="dxa" w:w="2340"/>
          </w:tcPr>
          <w:p>
            <w:pPr>
              <w:spacing w:line="240" w:lineRule="auto"/>
            </w:pPr>
            <w:r>
              <w:rPr>
                <w:sz w:val="18"/>
              </w:rPr>
            </w:r>
            <w:r>
              <w:rPr>
                <w:sz w:val="18"/>
              </w:rPr>
              <w:t>54.1%</w:t>
            </w:r>
          </w:p>
        </w:tc>
      </w:tr>
    </w:tbl>
    <w:p>
      <w:pPr>
        <w:spacing w:after="200" w:line="240" w:lineRule="auto"/>
        <w:jc w:val="center"/>
      </w:pPr>
      <w:r>
        <w:rPr>
          <w:i/>
          <w:color w:val="7B8994"/>
          <w:sz w:val="20"/>
        </w:rPr>
        <w:t>Table 10. Descriptive statistics for the three numerical variables, n = 1,194.</w:t>
      </w:r>
    </w:p>
    <w:p>
      <w:r>
        <w:rPr>
          <w:b/>
        </w:rPr>
        <w:t>Profit is far less predictable than revenue.</w:t>
      </w:r>
      <w:r>
        <w:t xml:space="preserve"> Its coefficient of variation is 82.9% against Amount's 54.2%, with a skew of +0.94 — more variable </w:t>
      </w:r>
      <w:r>
        <w:rPr>
          <w:i/>
        </w:rPr>
        <w:t>and</w:t>
      </w:r>
      <w:r>
        <w:t xml:space="preserve"> asymmetric, with a long right tail of a few very profitable lines. The practical consequence is that a revenue target does not manage profit: the two do not move together tightly enough for one to stand in for the other. This observation recurs in the regression (Section 5.3) and again in the customer segmentation (Section 6.3).</w:t>
      </w:r>
    </w:p>
    <w:p>
      <w:pPr>
        <w:jc w:val="center"/>
      </w:pPr>
      <w:r>
        <w:drawing>
          <wp:inline xmlns:a="http://schemas.openxmlformats.org/drawingml/2006/main" xmlns:pic="http://schemas.openxmlformats.org/drawingml/2006/picture">
            <wp:extent cx="5486400" cy="3207838"/>
            <wp:docPr id="4" name="Picture 4"/>
            <wp:cNvGraphicFramePr>
              <a:graphicFrameLocks noChangeAspect="1"/>
            </wp:cNvGraphicFramePr>
            <a:graphic>
              <a:graphicData uri="http://schemas.openxmlformats.org/drawingml/2006/picture">
                <pic:pic>
                  <pic:nvPicPr>
                    <pic:cNvPr id="0" name="cp2_fig1_histogram.png"/>
                    <pic:cNvPicPr/>
                  </pic:nvPicPr>
                  <pic:blipFill>
                    <a:blip r:embed="rId12"/>
                    <a:stretch>
                      <a:fillRect/>
                    </a:stretch>
                  </pic:blipFill>
                  <pic:spPr>
                    <a:xfrm>
                      <a:off x="0" y="0"/>
                      <a:ext cx="5486400" cy="3207838"/>
                    </a:xfrm>
                    <a:prstGeom prst="rect"/>
                  </pic:spPr>
                </pic:pic>
              </a:graphicData>
            </a:graphic>
          </wp:inline>
        </w:drawing>
      </w:r>
    </w:p>
    <w:p>
      <w:pPr>
        <w:spacing w:after="200" w:line="240" w:lineRule="auto"/>
        <w:jc w:val="center"/>
      </w:pPr>
      <w:r>
        <w:rPr>
          <w:i/>
          <w:color w:val="7B8994"/>
          <w:sz w:val="20"/>
        </w:rPr>
        <w:t>Figure 4. Frequency distribution of transaction Amount. The flat shape indicates a uniform, not normal, distribution.</w:t>
      </w:r>
    </w:p>
    <w:p>
      <w:r>
        <w:t>The histogram is itself a finding. No bin holds more than 11.4% of rows and none less than 7.0%. A normal distribution concentrates around the mean and thins at the tails; this is close to flat, which is what a random number generator produces — independent confirmation of Section 3.4.</w:t>
      </w:r>
    </w:p>
    <w:p>
      <w:pPr>
        <w:pStyle w:val="Heading2"/>
      </w:pPr>
      <w:r>
        <w:t>5.2 Correlation</w:t>
      </w:r>
    </w:p>
    <w:tbl>
      <w:tblPr>
        <w:tblStyle w:val="LightGrid-Accent1"/>
        <w:tblW w:type="auto" w:w="0"/>
        <w:jc w:val="center"/>
        <w:tblLayout w:type="autofit"/>
        <w:tblLook w:firstColumn="1" w:firstRow="1" w:lastColumn="0" w:lastRow="0" w:noHBand="0" w:noVBand="1" w:val="04A0"/>
      </w:tblPr>
      <w:tblGrid>
        <w:gridCol w:w="3120"/>
        <w:gridCol w:w="3120"/>
        <w:gridCol w:w="3120"/>
      </w:tblGrid>
      <w:tr>
        <w:tc>
          <w:tcPr>
            <w:tcW w:type="dxa" w:w="3120"/>
          </w:tcPr>
          <w:p>
            <w:r>
              <w:rPr>
                <w:b/>
              </w:rPr>
            </w:r>
            <w:r>
              <w:rPr>
                <w:b/>
              </w:rPr>
              <w:t>Measure</w:t>
            </w:r>
          </w:p>
        </w:tc>
        <w:tc>
          <w:tcPr>
            <w:tcW w:type="dxa" w:w="3120"/>
          </w:tcPr>
          <w:p>
            <w:r>
              <w:rPr>
                <w:b/>
              </w:rPr>
            </w:r>
            <w:r>
              <w:rPr>
                <w:b/>
              </w:rPr>
              <w:t>Monthly orders vs revenue</w:t>
            </w:r>
          </w:p>
        </w:tc>
        <w:tc>
          <w:tcPr>
            <w:tcW w:type="dxa" w:w="3120"/>
          </w:tcPr>
          <w:p>
            <w:r>
              <w:rPr>
                <w:b/>
              </w:rPr>
            </w:r>
            <w:r>
              <w:rPr>
                <w:b/>
              </w:rPr>
              <w:t>Line quantity vs amount</w:t>
            </w:r>
          </w:p>
        </w:tc>
      </w:tr>
      <w:tr>
        <w:tc>
          <w:tcPr>
            <w:tcW w:type="dxa" w:w="3120"/>
          </w:tcPr>
          <w:p>
            <w:pPr>
              <w:spacing w:line="240" w:lineRule="auto"/>
            </w:pPr>
            <w:r>
              <w:rPr>
                <w:sz w:val="18"/>
              </w:rPr>
            </w:r>
            <w:r>
              <w:rPr>
                <w:sz w:val="18"/>
              </w:rPr>
              <w:t>Pearson r</w:t>
            </w:r>
          </w:p>
        </w:tc>
        <w:tc>
          <w:tcPr>
            <w:tcW w:type="dxa" w:w="3120"/>
          </w:tcPr>
          <w:p>
            <w:pPr>
              <w:spacing w:line="240" w:lineRule="auto"/>
            </w:pPr>
            <w:r>
              <w:rPr>
                <w:sz w:val="18"/>
              </w:rPr>
            </w:r>
            <w:r>
              <w:rPr>
                <w:b/>
                <w:sz w:val="18"/>
              </w:rPr>
              <w:t>+0.9227</w:t>
            </w:r>
          </w:p>
        </w:tc>
        <w:tc>
          <w:tcPr>
            <w:tcW w:type="dxa" w:w="3120"/>
          </w:tcPr>
          <w:p>
            <w:pPr>
              <w:spacing w:line="240" w:lineRule="auto"/>
            </w:pPr>
            <w:r>
              <w:rPr>
                <w:sz w:val="18"/>
              </w:rPr>
            </w:r>
            <w:r>
              <w:rPr>
                <w:b/>
                <w:sz w:val="18"/>
              </w:rPr>
              <w:t>+0.0446</w:t>
            </w:r>
          </w:p>
        </w:tc>
      </w:tr>
      <w:tr>
        <w:tc>
          <w:tcPr>
            <w:tcW w:type="dxa" w:w="3120"/>
          </w:tcPr>
          <w:p>
            <w:pPr>
              <w:spacing w:line="240" w:lineRule="auto"/>
            </w:pPr>
            <w:r>
              <w:rPr>
                <w:sz w:val="18"/>
              </w:rPr>
            </w:r>
            <w:r>
              <w:rPr>
                <w:sz w:val="18"/>
              </w:rPr>
              <w:t>r²</w:t>
            </w:r>
          </w:p>
        </w:tc>
        <w:tc>
          <w:tcPr>
            <w:tcW w:type="dxa" w:w="3120"/>
          </w:tcPr>
          <w:p>
            <w:pPr>
              <w:spacing w:line="240" w:lineRule="auto"/>
            </w:pPr>
            <w:r>
              <w:rPr>
                <w:sz w:val="18"/>
              </w:rPr>
            </w:r>
            <w:r>
              <w:rPr>
                <w:sz w:val="18"/>
              </w:rPr>
              <w:t>0.8514</w:t>
            </w:r>
          </w:p>
        </w:tc>
        <w:tc>
          <w:tcPr>
            <w:tcW w:type="dxa" w:w="3120"/>
          </w:tcPr>
          <w:p>
            <w:pPr>
              <w:spacing w:line="240" w:lineRule="auto"/>
            </w:pPr>
            <w:r>
              <w:rPr>
                <w:sz w:val="18"/>
              </w:rPr>
            </w:r>
            <w:r>
              <w:rPr>
                <w:sz w:val="18"/>
              </w:rPr>
              <w:t>0.0020</w:t>
            </w:r>
          </w:p>
        </w:tc>
      </w:tr>
      <w:tr>
        <w:tc>
          <w:tcPr>
            <w:tcW w:type="dxa" w:w="3120"/>
          </w:tcPr>
          <w:p>
            <w:pPr>
              <w:spacing w:line="240" w:lineRule="auto"/>
            </w:pPr>
            <w:r>
              <w:rPr>
                <w:sz w:val="18"/>
              </w:rPr>
            </w:r>
            <w:r>
              <w:rPr>
                <w:sz w:val="18"/>
              </w:rPr>
              <w:t>p-value</w:t>
            </w:r>
          </w:p>
        </w:tc>
        <w:tc>
          <w:tcPr>
            <w:tcW w:type="dxa" w:w="3120"/>
          </w:tcPr>
          <w:p>
            <w:pPr>
              <w:spacing w:line="240" w:lineRule="auto"/>
            </w:pPr>
            <w:r>
              <w:rPr>
                <w:sz w:val="18"/>
              </w:rPr>
            </w:r>
            <w:r>
              <w:rPr>
                <w:sz w:val="18"/>
              </w:rPr>
              <w:t>1.98 × 10⁻²⁴</w:t>
            </w:r>
          </w:p>
        </w:tc>
        <w:tc>
          <w:tcPr>
            <w:tcW w:type="dxa" w:w="3120"/>
          </w:tcPr>
          <w:p>
            <w:pPr>
              <w:spacing w:line="240" w:lineRule="auto"/>
            </w:pPr>
            <w:r>
              <w:rPr>
                <w:sz w:val="18"/>
              </w:rPr>
            </w:r>
            <w:r>
              <w:rPr>
                <w:sz w:val="18"/>
              </w:rPr>
              <w:t>0.123</w:t>
            </w:r>
          </w:p>
        </w:tc>
      </w:tr>
      <w:tr>
        <w:tc>
          <w:tcPr>
            <w:tcW w:type="dxa" w:w="3120"/>
          </w:tcPr>
          <w:p>
            <w:pPr>
              <w:spacing w:line="240" w:lineRule="auto"/>
            </w:pPr>
            <w:r>
              <w:rPr>
                <w:sz w:val="18"/>
              </w:rPr>
            </w:r>
            <w:r>
              <w:rPr>
                <w:sz w:val="18"/>
              </w:rPr>
              <w:t>n</w:t>
            </w:r>
          </w:p>
        </w:tc>
        <w:tc>
          <w:tcPr>
            <w:tcW w:type="dxa" w:w="3120"/>
          </w:tcPr>
          <w:p>
            <w:pPr>
              <w:spacing w:line="240" w:lineRule="auto"/>
            </w:pPr>
            <w:r>
              <w:rPr>
                <w:sz w:val="18"/>
              </w:rPr>
            </w:r>
            <w:r>
              <w:rPr>
                <w:sz w:val="18"/>
              </w:rPr>
              <w:t>57 months</w:t>
            </w:r>
          </w:p>
        </w:tc>
        <w:tc>
          <w:tcPr>
            <w:tcW w:type="dxa" w:w="3120"/>
          </w:tcPr>
          <w:p>
            <w:pPr>
              <w:spacing w:line="240" w:lineRule="auto"/>
            </w:pPr>
            <w:r>
              <w:rPr>
                <w:sz w:val="18"/>
              </w:rPr>
            </w:r>
            <w:r>
              <w:rPr>
                <w:sz w:val="18"/>
              </w:rPr>
              <w:t>1,194 lines</w:t>
            </w:r>
          </w:p>
        </w:tc>
      </w:tr>
      <w:tr>
        <w:tc>
          <w:tcPr>
            <w:tcW w:type="dxa" w:w="3120"/>
          </w:tcPr>
          <w:p>
            <w:pPr>
              <w:spacing w:line="240" w:lineRule="auto"/>
            </w:pPr>
            <w:r>
              <w:rPr>
                <w:sz w:val="18"/>
              </w:rPr>
            </w:r>
            <w:r>
              <w:rPr>
                <w:sz w:val="18"/>
              </w:rPr>
              <w:t>Strength</w:t>
            </w:r>
          </w:p>
        </w:tc>
        <w:tc>
          <w:tcPr>
            <w:tcW w:type="dxa" w:w="3120"/>
          </w:tcPr>
          <w:p>
            <w:pPr>
              <w:spacing w:line="240" w:lineRule="auto"/>
            </w:pPr>
            <w:r>
              <w:rPr>
                <w:sz w:val="18"/>
              </w:rPr>
            </w:r>
            <w:r>
              <w:rPr>
                <w:b/>
                <w:sz w:val="18"/>
              </w:rPr>
              <w:t>Strong</w:t>
            </w:r>
          </w:p>
        </w:tc>
        <w:tc>
          <w:tcPr>
            <w:tcW w:type="dxa" w:w="3120"/>
          </w:tcPr>
          <w:p>
            <w:pPr>
              <w:spacing w:line="240" w:lineRule="auto"/>
            </w:pPr>
            <w:r>
              <w:rPr>
                <w:sz w:val="18"/>
              </w:rPr>
            </w:r>
            <w:r>
              <w:rPr>
                <w:b/>
                <w:sz w:val="18"/>
              </w:rPr>
              <w:t>Negligible — not significant at 5%</w:t>
            </w:r>
          </w:p>
        </w:tc>
      </w:tr>
    </w:tbl>
    <w:p>
      <w:pPr>
        <w:spacing w:after="200" w:line="240" w:lineRule="auto"/>
        <w:jc w:val="center"/>
      </w:pPr>
      <w:r>
        <w:rPr>
          <w:i/>
          <w:color w:val="7B8994"/>
          <w:sz w:val="20"/>
        </w:rPr>
        <w:t>Table 11. The two required correlation pairs.</w:t>
      </w:r>
    </w:p>
    <w:p>
      <w:r>
        <w:t>The first pair converts a Checkpoint 1 inference into a measurement: revenue falls because order count falls, and order count accounts for about 85% of monthly variation.</w:t>
      </w:r>
    </w:p>
    <w:p>
      <w:r>
        <w:t xml:space="preserve">The second is a </w:t>
      </w:r>
      <w:r>
        <w:rPr>
          <w:b/>
        </w:rPr>
        <w:t>negative result we are keeping</w:t>
      </w:r>
      <w:r>
        <w:t>, because it kills an obvious strategy. Quantity and order value are unrelated and the relationship is not statistically significant, so a "sell more units" target would not move revenue in this business. Price per line varies far more than units per line.</w:t>
      </w:r>
    </w:p>
    <w:p>
      <w:r>
        <w:t>A supporting third pair, amount against profit, gives r = 0.6753 — about 46% of profit variation tracking revenue. Moderate, not strong, and the same conclusion as the coefficients of variation reached by a different route.</w:t>
      </w:r>
    </w:p>
    <w:p>
      <w:r>
        <w:rPr>
          <w:b/>
        </w:rPr>
        <w:t>Correlation is not causation.</w:t>
      </w:r>
      <w:r>
        <w:t xml:space="preserve"> Order count and revenue could both respond to demand we cannot observe. What the data supports is that the association is strong and consistent across 57 months.</w:t>
      </w:r>
    </w:p>
    <w:p>
      <w:pPr>
        <w:pStyle w:val="Heading2"/>
      </w:pPr>
      <w:r>
        <w:t>5.3 Simple linear regression</w:t>
      </w:r>
    </w:p>
    <w:p>
      <w:r>
        <w:t>Monthly revenue regressed on monthly order count across the 57 complete months from April 2020 to December 2024.</w:t>
      </w:r>
    </w:p>
    <w:p>
      <w:pPr>
        <w:ind w:left="432"/>
      </w:pPr>
      <w:r>
        <w:rPr>
          <w:b/>
          <w:i/>
        </w:rPr>
        <w:t>Monthly Revenue = −1,353.65 + 5,224.25 × (Orders in month)</w:t>
      </w:r>
    </w:p>
    <w:tbl>
      <w:tblPr>
        <w:tblStyle w:val="LightGrid-Accent1"/>
        <w:tblW w:type="auto" w:w="0"/>
        <w:jc w:val="center"/>
        <w:tblLayout w:type="autofit"/>
        <w:tblLook w:firstColumn="1" w:firstRow="1" w:lastColumn="0" w:lastRow="0" w:noHBand="0" w:noVBand="1" w:val="04A0"/>
      </w:tblPr>
      <w:tblGrid>
        <w:gridCol w:w="4680"/>
        <w:gridCol w:w="4680"/>
      </w:tblGrid>
      <w:tr>
        <w:tc>
          <w:tcPr>
            <w:tcW w:type="dxa" w:w="4680"/>
          </w:tcPr>
          <w:p>
            <w:r>
              <w:rPr>
                <w:b/>
              </w:rPr>
            </w:r>
            <w:r>
              <w:rPr>
                <w:b/>
              </w:rPr>
              <w:t>Statistic</w:t>
            </w:r>
          </w:p>
        </w:tc>
        <w:tc>
          <w:tcPr>
            <w:tcW w:type="dxa" w:w="4680"/>
          </w:tcPr>
          <w:p>
            <w:r>
              <w:rPr>
                <w:b/>
              </w:rPr>
            </w:r>
            <w:r>
              <w:rPr>
                <w:b/>
              </w:rPr>
              <w:t>Value</w:t>
            </w:r>
          </w:p>
        </w:tc>
      </w:tr>
      <w:tr>
        <w:tc>
          <w:tcPr>
            <w:tcW w:type="dxa" w:w="4680"/>
          </w:tcPr>
          <w:p>
            <w:pPr>
              <w:spacing w:line="240" w:lineRule="auto"/>
            </w:pPr>
            <w:r>
              <w:rPr>
                <w:sz w:val="18"/>
              </w:rPr>
            </w:r>
            <w:r>
              <w:rPr>
                <w:sz w:val="18"/>
              </w:rPr>
              <w:t>Sample size n</w:t>
            </w:r>
          </w:p>
        </w:tc>
        <w:tc>
          <w:tcPr>
            <w:tcW w:type="dxa" w:w="4680"/>
          </w:tcPr>
          <w:p>
            <w:pPr>
              <w:spacing w:line="240" w:lineRule="auto"/>
            </w:pPr>
            <w:r>
              <w:rPr>
                <w:sz w:val="18"/>
              </w:rPr>
            </w:r>
            <w:r>
              <w:rPr>
                <w:sz w:val="18"/>
              </w:rPr>
              <w:t>57 months</w:t>
            </w:r>
          </w:p>
        </w:tc>
      </w:tr>
      <w:tr>
        <w:tc>
          <w:tcPr>
            <w:tcW w:type="dxa" w:w="4680"/>
          </w:tcPr>
          <w:p>
            <w:pPr>
              <w:spacing w:line="240" w:lineRule="auto"/>
            </w:pPr>
            <w:r>
              <w:rPr>
                <w:sz w:val="18"/>
              </w:rPr>
            </w:r>
            <w:r>
              <w:rPr>
                <w:sz w:val="18"/>
              </w:rPr>
              <w:t>Slope (b)</w:t>
            </w:r>
          </w:p>
        </w:tc>
        <w:tc>
          <w:tcPr>
            <w:tcW w:type="dxa" w:w="4680"/>
          </w:tcPr>
          <w:p>
            <w:pPr>
              <w:spacing w:line="240" w:lineRule="auto"/>
            </w:pPr>
            <w:r>
              <w:rPr>
                <w:sz w:val="18"/>
              </w:rPr>
            </w:r>
            <w:r>
              <w:rPr>
                <w:b/>
                <w:sz w:val="18"/>
              </w:rPr>
              <w:t>5,224.25</w:t>
            </w:r>
          </w:p>
        </w:tc>
      </w:tr>
      <w:tr>
        <w:tc>
          <w:tcPr>
            <w:tcW w:type="dxa" w:w="4680"/>
          </w:tcPr>
          <w:p>
            <w:pPr>
              <w:spacing w:line="240" w:lineRule="auto"/>
            </w:pPr>
            <w:r>
              <w:rPr>
                <w:sz w:val="18"/>
              </w:rPr>
            </w:r>
            <w:r>
              <w:rPr>
                <w:sz w:val="18"/>
              </w:rPr>
              <w:t>Intercept (a)</w:t>
            </w:r>
          </w:p>
        </w:tc>
        <w:tc>
          <w:tcPr>
            <w:tcW w:type="dxa" w:w="4680"/>
          </w:tcPr>
          <w:p>
            <w:pPr>
              <w:spacing w:line="240" w:lineRule="auto"/>
            </w:pPr>
            <w:r>
              <w:rPr>
                <w:sz w:val="18"/>
              </w:rPr>
            </w:r>
            <w:r>
              <w:rPr>
                <w:sz w:val="18"/>
              </w:rPr>
              <w:t>−1,353.65</w:t>
            </w:r>
          </w:p>
        </w:tc>
      </w:tr>
      <w:tr>
        <w:tc>
          <w:tcPr>
            <w:tcW w:type="dxa" w:w="4680"/>
          </w:tcPr>
          <w:p>
            <w:pPr>
              <w:spacing w:line="240" w:lineRule="auto"/>
            </w:pPr>
            <w:r>
              <w:rPr>
                <w:sz w:val="18"/>
              </w:rPr>
            </w:r>
            <w:r>
              <w:rPr>
                <w:b/>
                <w:sz w:val="18"/>
              </w:rPr>
              <w:t>R²</w:t>
            </w:r>
          </w:p>
        </w:tc>
        <w:tc>
          <w:tcPr>
            <w:tcW w:type="dxa" w:w="4680"/>
          </w:tcPr>
          <w:p>
            <w:pPr>
              <w:spacing w:line="240" w:lineRule="auto"/>
            </w:pPr>
            <w:r>
              <w:rPr>
                <w:sz w:val="18"/>
              </w:rPr>
            </w:r>
            <w:r>
              <w:rPr>
                <w:b/>
                <w:sz w:val="18"/>
              </w:rPr>
              <w:t>0.8514</w:t>
            </w:r>
          </w:p>
        </w:tc>
      </w:tr>
      <w:tr>
        <w:tc>
          <w:tcPr>
            <w:tcW w:type="dxa" w:w="4680"/>
          </w:tcPr>
          <w:p>
            <w:pPr>
              <w:spacing w:line="240" w:lineRule="auto"/>
            </w:pPr>
            <w:r>
              <w:rPr>
                <w:sz w:val="18"/>
              </w:rPr>
            </w:r>
            <w:r>
              <w:rPr>
                <w:b/>
                <w:sz w:val="18"/>
              </w:rPr>
              <w:t>t statistic</w:t>
            </w:r>
          </w:p>
        </w:tc>
        <w:tc>
          <w:tcPr>
            <w:tcW w:type="dxa" w:w="4680"/>
          </w:tcPr>
          <w:p>
            <w:pPr>
              <w:spacing w:line="240" w:lineRule="auto"/>
            </w:pPr>
            <w:r>
              <w:rPr>
                <w:sz w:val="18"/>
              </w:rPr>
            </w:r>
            <w:r>
              <w:rPr>
                <w:b/>
                <w:sz w:val="18"/>
              </w:rPr>
              <w:t>17.75</w:t>
            </w:r>
          </w:p>
        </w:tc>
      </w:tr>
      <w:tr>
        <w:tc>
          <w:tcPr>
            <w:tcW w:type="dxa" w:w="4680"/>
          </w:tcPr>
          <w:p>
            <w:pPr>
              <w:spacing w:line="240" w:lineRule="auto"/>
            </w:pPr>
            <w:r>
              <w:rPr>
                <w:sz w:val="18"/>
              </w:rPr>
            </w:r>
            <w:r>
              <w:rPr>
                <w:sz w:val="18"/>
              </w:rPr>
              <w:t>Degrees of freedom</w:t>
            </w:r>
          </w:p>
        </w:tc>
        <w:tc>
          <w:tcPr>
            <w:tcW w:type="dxa" w:w="4680"/>
          </w:tcPr>
          <w:p>
            <w:pPr>
              <w:spacing w:line="240" w:lineRule="auto"/>
            </w:pPr>
            <w:r>
              <w:rPr>
                <w:sz w:val="18"/>
              </w:rPr>
            </w:r>
            <w:r>
              <w:rPr>
                <w:sz w:val="18"/>
              </w:rPr>
              <w:t>55</w:t>
            </w:r>
          </w:p>
        </w:tc>
      </w:tr>
      <w:tr>
        <w:tc>
          <w:tcPr>
            <w:tcW w:type="dxa" w:w="4680"/>
          </w:tcPr>
          <w:p>
            <w:pPr>
              <w:spacing w:line="240" w:lineRule="auto"/>
            </w:pPr>
            <w:r>
              <w:rPr>
                <w:sz w:val="18"/>
              </w:rPr>
            </w:r>
            <w:r>
              <w:rPr>
                <w:b/>
                <w:sz w:val="18"/>
              </w:rPr>
              <w:t>p-value</w:t>
            </w:r>
          </w:p>
        </w:tc>
        <w:tc>
          <w:tcPr>
            <w:tcW w:type="dxa" w:w="4680"/>
          </w:tcPr>
          <w:p>
            <w:pPr>
              <w:spacing w:line="240" w:lineRule="auto"/>
            </w:pPr>
            <w:r>
              <w:rPr>
                <w:sz w:val="18"/>
              </w:rPr>
            </w:r>
            <w:r>
              <w:rPr>
                <w:b/>
                <w:sz w:val="18"/>
              </w:rPr>
              <w:t>1.98 × 10⁻²⁴</w:t>
            </w:r>
          </w:p>
        </w:tc>
      </w:tr>
    </w:tbl>
    <w:p>
      <w:pPr>
        <w:spacing w:after="200" w:line="240" w:lineRule="auto"/>
        <w:jc w:val="center"/>
      </w:pPr>
      <w:r>
        <w:rPr>
          <w:i/>
          <w:color w:val="7B8994"/>
          <w:sz w:val="20"/>
        </w:rPr>
        <w:t>Table 12. Simple linear regression of monthly revenue on monthly order count.</w:t>
      </w:r>
    </w:p>
    <w:p>
      <w:r>
        <w:rPr>
          <w:b/>
        </w:rPr>
        <w:t>The slope is the check that makes this convincing.</w:t>
      </w:r>
      <w:r>
        <w:t xml:space="preserve"> One additional order in a month is associated with about 5,224 more revenue. The plain mean order value in the data is </w:t>
      </w:r>
      <w:r>
        <w:rPr>
          <w:b/>
        </w:rPr>
        <w:t>5,178.09</w:t>
      </w:r>
      <w:r>
        <w:t xml:space="preserve"> — the regression rediscovered it to within 0.9% without being told what it was.</w:t>
      </w:r>
    </w:p>
    <w:p>
      <w:r>
        <w:rPr>
          <w:b/>
        </w:rPr>
        <w:t>The intercept is not meaningful.</w:t>
      </w:r>
      <w:r>
        <w:t xml:space="preserve"> Zero orders cannot produce negative revenue; it is where the fitted line crosses the axis, extrapolated far outside the observed data, and it is not interpreted.</w:t>
      </w:r>
    </w:p>
    <w:p>
      <w:r>
        <w:rPr>
          <w:b/>
        </w:rPr>
        <w:t>The business forecast.</w:t>
      </w:r>
      <w:r>
        <w:t xml:space="preserve"> The company runs about four orders per month below its 2022 level. At 5,224 per order, closing that gap is worth roughly </w:t>
      </w:r>
      <w:r>
        <w:rPr>
          <w:b/>
        </w:rPr>
        <w:t>250,000 a year</w:t>
      </w:r>
      <w:r>
        <w:t xml:space="preserve">. Checkpoint 1 reached </w:t>
      </w:r>
      <w:r>
        <w:rPr>
          <w:b/>
        </w:rPr>
        <w:t>257,297</w:t>
      </w:r>
      <w:r>
        <w:t xml:space="preserve"> by an entirely different route — summing actual category shortfalls. Two independent methods agreeing within 3% is the strongest single piece of evidence in this project.</w:t>
      </w:r>
    </w:p>
    <w:p>
      <w:pPr>
        <w:jc w:val="center"/>
      </w:pPr>
      <w:r>
        <w:drawing>
          <wp:inline xmlns:a="http://schemas.openxmlformats.org/drawingml/2006/main" xmlns:pic="http://schemas.openxmlformats.org/drawingml/2006/picture">
            <wp:extent cx="5486400" cy="3363469"/>
            <wp:docPr id="5" name="Picture 5"/>
            <wp:cNvGraphicFramePr>
              <a:graphicFrameLocks noChangeAspect="1"/>
            </wp:cNvGraphicFramePr>
            <a:graphic>
              <a:graphicData uri="http://schemas.openxmlformats.org/drawingml/2006/picture">
                <pic:pic>
                  <pic:nvPicPr>
                    <pic:cNvPr id="0" name="cp2_fig2_regression.png"/>
                    <pic:cNvPicPr/>
                  </pic:nvPicPr>
                  <pic:blipFill>
                    <a:blip r:embed="rId13"/>
                    <a:stretch>
                      <a:fillRect/>
                    </a:stretch>
                  </pic:blipFill>
                  <pic:spPr>
                    <a:xfrm>
                      <a:off x="0" y="0"/>
                      <a:ext cx="5486400" cy="3363469"/>
                    </a:xfrm>
                    <a:prstGeom prst="rect"/>
                  </pic:spPr>
                </pic:pic>
              </a:graphicData>
            </a:graphic>
          </wp:inline>
        </w:drawing>
      </w:r>
    </w:p>
    <w:p>
      <w:pPr>
        <w:spacing w:after="200" w:line="240" w:lineRule="auto"/>
        <w:jc w:val="center"/>
      </w:pPr>
      <w:r>
        <w:rPr>
          <w:i/>
          <w:color w:val="7B8994"/>
          <w:sz w:val="20"/>
        </w:rPr>
        <w:t>Figure 5. Monthly orders against monthly revenue, with the fitted regression line.</w:t>
      </w:r>
    </w:p>
    <w:p>
      <w:pPr>
        <w:pStyle w:val="Heading2"/>
      </w:pPr>
      <w:r>
        <w:t>5.4 Trend and seasonality</w:t>
      </w:r>
    </w:p>
    <w:p>
      <w:r>
        <w:rPr>
          <w:b/>
        </w:rPr>
        <w:t>The trend is real, and it runs in two regimes.</w:t>
      </w:r>
      <w:r>
        <w:t xml:space="preserve"> Growth from 2020 to 2022, 92,934 to 121,648 per month (+30.9%); then a plateau from 2022 to 2024, down to 100,207 (−17.6%).</w:t>
      </w:r>
    </w:p>
    <w:p>
      <w:r>
        <w:t xml:space="preserve">A straight line fitted across all 57 months explains </w:t>
      </w:r>
      <w:r>
        <w:rPr>
          <w:b/>
        </w:rPr>
        <w:t>under 1% of the variation — R² = 0.0078, p = 0.515</w:t>
      </w:r>
      <w:r>
        <w:t xml:space="preserve"> — and the same result holds across four different windows. That is </w:t>
      </w:r>
      <w:r>
        <w:rPr>
          <w:i/>
        </w:rPr>
        <w:t>not</w:t>
      </w:r>
      <w:r>
        <w:t xml:space="preserve"> "no trend". It is that </w:t>
      </w:r>
      <w:r>
        <w:rPr>
          <w:b/>
        </w:rPr>
        <w:t>no single straight line fits both regimes</w:t>
      </w:r>
      <w:r>
        <w:t>: the up-slope and the flat cancel out, and their average is nearly horizontal. Projecting a growth rate we tested for and did not find would be inventing a number, so the forecast is built from level and seasonality instead.</w:t>
      </w:r>
    </w:p>
    <w:tbl>
      <w:tblPr>
        <w:tblStyle w:val="LightGrid-Accent1"/>
        <w:tblW w:type="auto" w:w="0"/>
        <w:jc w:val="center"/>
        <w:tblLayout w:type="autofit"/>
        <w:tblLook w:firstColumn="1" w:firstRow="1" w:lastColumn="0" w:lastRow="0" w:noHBand="0" w:noVBand="1" w:val="04A0"/>
      </w:tblPr>
      <w:tblGrid>
        <w:gridCol w:w="2340"/>
        <w:gridCol w:w="2340"/>
        <w:gridCol w:w="2340"/>
        <w:gridCol w:w="2340"/>
      </w:tblGrid>
      <w:tr>
        <w:tc>
          <w:tcPr>
            <w:tcW w:type="dxa" w:w="2340"/>
          </w:tcPr>
          <w:p>
            <w:r>
              <w:rPr>
                <w:b/>
              </w:rPr>
            </w:r>
            <w:r>
              <w:rPr>
                <w:b/>
              </w:rPr>
              <w:t>Month</w:t>
            </w:r>
          </w:p>
        </w:tc>
        <w:tc>
          <w:tcPr>
            <w:tcW w:type="dxa" w:w="2340"/>
          </w:tcPr>
          <w:p>
            <w:r>
              <w:rPr>
                <w:b/>
              </w:rPr>
            </w:r>
            <w:r>
              <w:rPr>
                <w:b/>
              </w:rPr>
              <w:t>Index</w:t>
            </w:r>
          </w:p>
        </w:tc>
        <w:tc>
          <w:tcPr>
            <w:tcW w:type="dxa" w:w="2340"/>
          </w:tcPr>
          <w:p>
            <w:r>
              <w:rPr>
                <w:b/>
              </w:rPr>
            </w:r>
            <w:r>
              <w:rPr>
                <w:b/>
              </w:rPr>
              <w:t>Month</w:t>
            </w:r>
          </w:p>
        </w:tc>
        <w:tc>
          <w:tcPr>
            <w:tcW w:type="dxa" w:w="2340"/>
          </w:tcPr>
          <w:p>
            <w:r>
              <w:rPr>
                <w:b/>
              </w:rPr>
            </w:r>
            <w:r>
              <w:rPr>
                <w:b/>
              </w:rPr>
              <w:t>Index</w:t>
            </w:r>
          </w:p>
        </w:tc>
      </w:tr>
      <w:tr>
        <w:tc>
          <w:tcPr>
            <w:tcW w:type="dxa" w:w="2340"/>
          </w:tcPr>
          <w:p>
            <w:pPr>
              <w:spacing w:line="240" w:lineRule="auto"/>
            </w:pPr>
            <w:r>
              <w:rPr>
                <w:sz w:val="18"/>
              </w:rPr>
            </w:r>
            <w:r>
              <w:rPr>
                <w:sz w:val="18"/>
              </w:rPr>
              <w:t>January</w:t>
            </w:r>
          </w:p>
        </w:tc>
        <w:tc>
          <w:tcPr>
            <w:tcW w:type="dxa" w:w="2340"/>
          </w:tcPr>
          <w:p>
            <w:pPr>
              <w:spacing w:line="240" w:lineRule="auto"/>
            </w:pPr>
            <w:r>
              <w:rPr>
                <w:sz w:val="18"/>
              </w:rPr>
            </w:r>
            <w:r>
              <w:rPr>
                <w:sz w:val="18"/>
              </w:rPr>
              <w:t>0.679</w:t>
            </w:r>
          </w:p>
        </w:tc>
        <w:tc>
          <w:tcPr>
            <w:tcW w:type="dxa" w:w="2340"/>
          </w:tcPr>
          <w:p>
            <w:pPr>
              <w:spacing w:line="240" w:lineRule="auto"/>
            </w:pPr>
            <w:r>
              <w:rPr>
                <w:sz w:val="18"/>
              </w:rPr>
            </w:r>
            <w:r>
              <w:rPr>
                <w:sz w:val="18"/>
              </w:rPr>
              <w:t>July</w:t>
            </w:r>
          </w:p>
        </w:tc>
        <w:tc>
          <w:tcPr>
            <w:tcW w:type="dxa" w:w="2340"/>
          </w:tcPr>
          <w:p>
            <w:pPr>
              <w:spacing w:line="240" w:lineRule="auto"/>
            </w:pPr>
            <w:r>
              <w:rPr>
                <w:sz w:val="18"/>
              </w:rPr>
            </w:r>
            <w:r>
              <w:rPr>
                <w:sz w:val="18"/>
              </w:rPr>
              <w:t>0.966</w:t>
            </w:r>
          </w:p>
        </w:tc>
      </w:tr>
      <w:tr>
        <w:tc>
          <w:tcPr>
            <w:tcW w:type="dxa" w:w="2340"/>
          </w:tcPr>
          <w:p>
            <w:pPr>
              <w:spacing w:line="240" w:lineRule="auto"/>
            </w:pPr>
            <w:r>
              <w:rPr>
                <w:sz w:val="18"/>
              </w:rPr>
            </w:r>
            <w:r>
              <w:rPr>
                <w:sz w:val="18"/>
              </w:rPr>
              <w:t>February</w:t>
            </w:r>
          </w:p>
        </w:tc>
        <w:tc>
          <w:tcPr>
            <w:tcW w:type="dxa" w:w="2340"/>
          </w:tcPr>
          <w:p>
            <w:pPr>
              <w:spacing w:line="240" w:lineRule="auto"/>
            </w:pPr>
            <w:r>
              <w:rPr>
                <w:sz w:val="18"/>
              </w:rPr>
            </w:r>
            <w:r>
              <w:rPr>
                <w:sz w:val="18"/>
              </w:rPr>
              <w:t>0.889</w:t>
            </w:r>
          </w:p>
        </w:tc>
        <w:tc>
          <w:tcPr>
            <w:tcW w:type="dxa" w:w="2340"/>
          </w:tcPr>
          <w:p>
            <w:pPr>
              <w:spacing w:line="240" w:lineRule="auto"/>
            </w:pPr>
            <w:r>
              <w:rPr>
                <w:sz w:val="18"/>
              </w:rPr>
            </w:r>
            <w:r>
              <w:rPr>
                <w:sz w:val="18"/>
              </w:rPr>
              <w:t>August</w:t>
            </w:r>
          </w:p>
        </w:tc>
        <w:tc>
          <w:tcPr>
            <w:tcW w:type="dxa" w:w="2340"/>
          </w:tcPr>
          <w:p>
            <w:pPr>
              <w:spacing w:line="240" w:lineRule="auto"/>
            </w:pPr>
            <w:r>
              <w:rPr>
                <w:sz w:val="18"/>
              </w:rPr>
            </w:r>
            <w:r>
              <w:rPr>
                <w:sz w:val="18"/>
              </w:rPr>
              <w:t>1.006</w:t>
            </w:r>
          </w:p>
        </w:tc>
      </w:tr>
      <w:tr>
        <w:tc>
          <w:tcPr>
            <w:tcW w:type="dxa" w:w="2340"/>
          </w:tcPr>
          <w:p>
            <w:pPr>
              <w:spacing w:line="240" w:lineRule="auto"/>
            </w:pPr>
            <w:r>
              <w:rPr>
                <w:sz w:val="18"/>
              </w:rPr>
            </w:r>
            <w:r>
              <w:rPr>
                <w:sz w:val="18"/>
              </w:rPr>
              <w:t>March</w:t>
            </w:r>
          </w:p>
        </w:tc>
        <w:tc>
          <w:tcPr>
            <w:tcW w:type="dxa" w:w="2340"/>
          </w:tcPr>
          <w:p>
            <w:pPr>
              <w:spacing w:line="240" w:lineRule="auto"/>
            </w:pPr>
            <w:r>
              <w:rPr>
                <w:sz w:val="18"/>
              </w:rPr>
            </w:r>
            <w:r>
              <w:rPr>
                <w:sz w:val="18"/>
              </w:rPr>
              <w:t>1.025</w:t>
            </w:r>
          </w:p>
        </w:tc>
        <w:tc>
          <w:tcPr>
            <w:tcW w:type="dxa" w:w="2340"/>
          </w:tcPr>
          <w:p>
            <w:pPr>
              <w:spacing w:line="240" w:lineRule="auto"/>
            </w:pPr>
            <w:r>
              <w:rPr>
                <w:sz w:val="18"/>
              </w:rPr>
            </w:r>
            <w:r>
              <w:rPr>
                <w:sz w:val="18"/>
              </w:rPr>
              <w:t>September</w:t>
            </w:r>
          </w:p>
        </w:tc>
        <w:tc>
          <w:tcPr>
            <w:tcW w:type="dxa" w:w="2340"/>
          </w:tcPr>
          <w:p>
            <w:pPr>
              <w:spacing w:line="240" w:lineRule="auto"/>
            </w:pPr>
            <w:r>
              <w:rPr>
                <w:sz w:val="18"/>
              </w:rPr>
            </w:r>
            <w:r>
              <w:rPr>
                <w:sz w:val="18"/>
              </w:rPr>
              <w:t>0.793</w:t>
            </w:r>
          </w:p>
        </w:tc>
      </w:tr>
      <w:tr>
        <w:tc>
          <w:tcPr>
            <w:tcW w:type="dxa" w:w="2340"/>
          </w:tcPr>
          <w:p>
            <w:pPr>
              <w:spacing w:line="240" w:lineRule="auto"/>
            </w:pPr>
            <w:r>
              <w:rPr>
                <w:sz w:val="18"/>
              </w:rPr>
            </w:r>
            <w:r>
              <w:rPr>
                <w:sz w:val="18"/>
              </w:rPr>
              <w:t>April</w:t>
            </w:r>
          </w:p>
        </w:tc>
        <w:tc>
          <w:tcPr>
            <w:tcW w:type="dxa" w:w="2340"/>
          </w:tcPr>
          <w:p>
            <w:pPr>
              <w:spacing w:line="240" w:lineRule="auto"/>
            </w:pPr>
            <w:r>
              <w:rPr>
                <w:sz w:val="18"/>
              </w:rPr>
            </w:r>
            <w:r>
              <w:rPr>
                <w:sz w:val="18"/>
              </w:rPr>
              <w:t>1.103</w:t>
            </w:r>
          </w:p>
        </w:tc>
        <w:tc>
          <w:tcPr>
            <w:tcW w:type="dxa" w:w="2340"/>
          </w:tcPr>
          <w:p>
            <w:pPr>
              <w:spacing w:line="240" w:lineRule="auto"/>
            </w:pPr>
            <w:r>
              <w:rPr>
                <w:sz w:val="18"/>
              </w:rPr>
            </w:r>
            <w:r>
              <w:rPr>
                <w:sz w:val="18"/>
              </w:rPr>
              <w:t>October</w:t>
            </w:r>
          </w:p>
        </w:tc>
        <w:tc>
          <w:tcPr>
            <w:tcW w:type="dxa" w:w="2340"/>
          </w:tcPr>
          <w:p>
            <w:pPr>
              <w:spacing w:line="240" w:lineRule="auto"/>
            </w:pPr>
            <w:r>
              <w:rPr>
                <w:sz w:val="18"/>
              </w:rPr>
            </w:r>
            <w:r>
              <w:rPr>
                <w:sz w:val="18"/>
              </w:rPr>
              <w:t>1.229</w:t>
            </w:r>
          </w:p>
        </w:tc>
      </w:tr>
      <w:tr>
        <w:tc>
          <w:tcPr>
            <w:tcW w:type="dxa" w:w="2340"/>
          </w:tcPr>
          <w:p>
            <w:pPr>
              <w:spacing w:line="240" w:lineRule="auto"/>
            </w:pPr>
            <w:r>
              <w:rPr>
                <w:sz w:val="18"/>
              </w:rPr>
            </w:r>
            <w:r>
              <w:rPr>
                <w:sz w:val="18"/>
              </w:rPr>
              <w:t>May</w:t>
            </w:r>
          </w:p>
        </w:tc>
        <w:tc>
          <w:tcPr>
            <w:tcW w:type="dxa" w:w="2340"/>
          </w:tcPr>
          <w:p>
            <w:pPr>
              <w:spacing w:line="240" w:lineRule="auto"/>
            </w:pPr>
            <w:r>
              <w:rPr>
                <w:sz w:val="18"/>
              </w:rPr>
            </w:r>
            <w:r>
              <w:rPr>
                <w:sz w:val="18"/>
              </w:rPr>
              <w:t>1.131</w:t>
            </w:r>
          </w:p>
        </w:tc>
        <w:tc>
          <w:tcPr>
            <w:tcW w:type="dxa" w:w="2340"/>
          </w:tcPr>
          <w:p>
            <w:pPr>
              <w:spacing w:line="240" w:lineRule="auto"/>
            </w:pPr>
            <w:r>
              <w:rPr>
                <w:sz w:val="18"/>
              </w:rPr>
            </w:r>
            <w:r>
              <w:rPr>
                <w:sz w:val="18"/>
              </w:rPr>
              <w:t>November</w:t>
            </w:r>
          </w:p>
        </w:tc>
        <w:tc>
          <w:tcPr>
            <w:tcW w:type="dxa" w:w="2340"/>
          </w:tcPr>
          <w:p>
            <w:pPr>
              <w:spacing w:line="240" w:lineRule="auto"/>
            </w:pPr>
            <w:r>
              <w:rPr>
                <w:sz w:val="18"/>
              </w:rPr>
            </w:r>
            <w:r>
              <w:rPr>
                <w:sz w:val="18"/>
              </w:rPr>
              <w:t>0.878</w:t>
            </w:r>
          </w:p>
        </w:tc>
      </w:tr>
      <w:tr>
        <w:tc>
          <w:tcPr>
            <w:tcW w:type="dxa" w:w="2340"/>
          </w:tcPr>
          <w:p>
            <w:pPr>
              <w:spacing w:line="240" w:lineRule="auto"/>
            </w:pPr>
            <w:r>
              <w:rPr>
                <w:sz w:val="18"/>
              </w:rPr>
            </w:r>
            <w:r>
              <w:rPr>
                <w:sz w:val="18"/>
              </w:rPr>
              <w:t>June</w:t>
            </w:r>
          </w:p>
        </w:tc>
        <w:tc>
          <w:tcPr>
            <w:tcW w:type="dxa" w:w="2340"/>
          </w:tcPr>
          <w:p>
            <w:pPr>
              <w:spacing w:line="240" w:lineRule="auto"/>
            </w:pPr>
            <w:r>
              <w:rPr>
                <w:sz w:val="18"/>
              </w:rPr>
            </w:r>
            <w:r>
              <w:rPr>
                <w:sz w:val="18"/>
              </w:rPr>
              <w:t>1.028</w:t>
            </w:r>
          </w:p>
        </w:tc>
        <w:tc>
          <w:tcPr>
            <w:tcW w:type="dxa" w:w="2340"/>
          </w:tcPr>
          <w:p>
            <w:pPr>
              <w:spacing w:line="240" w:lineRule="auto"/>
            </w:pPr>
            <w:r>
              <w:rPr>
                <w:sz w:val="18"/>
              </w:rPr>
            </w:r>
            <w:r>
              <w:rPr>
                <w:sz w:val="18"/>
              </w:rPr>
              <w:t>December</w:t>
            </w:r>
          </w:p>
        </w:tc>
        <w:tc>
          <w:tcPr>
            <w:tcW w:type="dxa" w:w="2340"/>
          </w:tcPr>
          <w:p>
            <w:pPr>
              <w:spacing w:line="240" w:lineRule="auto"/>
            </w:pPr>
            <w:r>
              <w:rPr>
                <w:sz w:val="18"/>
              </w:rPr>
            </w:r>
            <w:r>
              <w:rPr>
                <w:sz w:val="18"/>
              </w:rPr>
              <w:t>1.273</w:t>
            </w:r>
          </w:p>
        </w:tc>
      </w:tr>
    </w:tbl>
    <w:p>
      <w:pPr>
        <w:spacing w:after="200" w:line="240" w:lineRule="auto"/>
        <w:jc w:val="center"/>
      </w:pPr>
      <w:r>
        <w:rPr>
          <w:i/>
          <w:color w:val="7B8994"/>
          <w:sz w:val="20"/>
        </w:rPr>
        <w:t>Table 13. Seasonal index by calendar month, April 2020 to December 2024.</w:t>
      </w:r>
    </w:p>
    <w:p>
      <w:r>
        <w:rPr>
          <w:b/>
        </w:rPr>
        <w:t>The forecast was tested, and it lost.</w:t>
      </w:r>
      <w:r>
        <w:t xml:space="preserve"> Holding out the two months that could be verified and comparing against a naive flat average:</w:t>
      </w:r>
    </w:p>
    <w:tbl>
      <w:tblPr>
        <w:tblStyle w:val="LightGrid-Accent1"/>
        <w:tblW w:type="auto" w:w="0"/>
        <w:jc w:val="center"/>
        <w:tblLayout w:type="autofit"/>
        <w:tblLook w:firstColumn="1" w:firstRow="1" w:lastColumn="0" w:lastRow="0" w:noHBand="0" w:noVBand="1" w:val="04A0"/>
      </w:tblPr>
      <w:tblGrid>
        <w:gridCol w:w="2340"/>
        <w:gridCol w:w="2340"/>
        <w:gridCol w:w="2340"/>
        <w:gridCol w:w="2340"/>
      </w:tblGrid>
      <w:tr>
        <w:tc>
          <w:tcPr>
            <w:tcW w:type="dxa" w:w="2340"/>
          </w:tcPr>
          <w:p>
            <w:r>
              <w:rPr>
                <w:b/>
              </w:rPr>
            </w:r>
            <w:r>
              <w:rPr>
                <w:b/>
              </w:rPr>
              <w:t>Model</w:t>
            </w:r>
          </w:p>
        </w:tc>
        <w:tc>
          <w:tcPr>
            <w:tcW w:type="dxa" w:w="2340"/>
          </w:tcPr>
          <w:p>
            <w:r>
              <w:rPr>
                <w:b/>
              </w:rPr>
            </w:r>
            <w:r>
              <w:rPr>
                <w:b/>
              </w:rPr>
              <w:t>Jan error</w:t>
            </w:r>
          </w:p>
        </w:tc>
        <w:tc>
          <w:tcPr>
            <w:tcW w:type="dxa" w:w="2340"/>
          </w:tcPr>
          <w:p>
            <w:r>
              <w:rPr>
                <w:b/>
              </w:rPr>
            </w:r>
            <w:r>
              <w:rPr>
                <w:b/>
              </w:rPr>
              <w:t>Feb error</w:t>
            </w:r>
          </w:p>
        </w:tc>
        <w:tc>
          <w:tcPr>
            <w:tcW w:type="dxa" w:w="2340"/>
          </w:tcPr>
          <w:p>
            <w:r>
              <w:rPr>
                <w:b/>
              </w:rPr>
            </w:r>
            <w:r>
              <w:rPr>
                <w:b/>
              </w:rPr>
              <w:t>Mean absolute error</w:t>
            </w:r>
          </w:p>
        </w:tc>
      </w:tr>
      <w:tr>
        <w:tc>
          <w:tcPr>
            <w:tcW w:type="dxa" w:w="2340"/>
          </w:tcPr>
          <w:p>
            <w:pPr>
              <w:spacing w:line="240" w:lineRule="auto"/>
            </w:pPr>
            <w:r>
              <w:rPr>
                <w:sz w:val="18"/>
              </w:rPr>
            </w:r>
            <w:r>
              <w:rPr>
                <w:sz w:val="18"/>
              </w:rPr>
              <w:t>Seasonal (level × index)</w:t>
            </w:r>
          </w:p>
        </w:tc>
        <w:tc>
          <w:tcPr>
            <w:tcW w:type="dxa" w:w="2340"/>
          </w:tcPr>
          <w:p>
            <w:pPr>
              <w:spacing w:line="240" w:lineRule="auto"/>
            </w:pPr>
            <w:r>
              <w:rPr>
                <w:sz w:val="18"/>
              </w:rPr>
            </w:r>
            <w:r>
              <w:rPr>
                <w:sz w:val="18"/>
              </w:rPr>
              <w:t>−39.0%</w:t>
            </w:r>
          </w:p>
        </w:tc>
        <w:tc>
          <w:tcPr>
            <w:tcW w:type="dxa" w:w="2340"/>
          </w:tcPr>
          <w:p>
            <w:pPr>
              <w:spacing w:line="240" w:lineRule="auto"/>
            </w:pPr>
            <w:r>
              <w:rPr>
                <w:sz w:val="18"/>
              </w:rPr>
            </w:r>
            <w:r>
              <w:rPr>
                <w:sz w:val="18"/>
              </w:rPr>
              <w:t>+6.3%</w:t>
            </w:r>
          </w:p>
        </w:tc>
        <w:tc>
          <w:tcPr>
            <w:tcW w:type="dxa" w:w="2340"/>
          </w:tcPr>
          <w:p>
            <w:pPr>
              <w:spacing w:line="240" w:lineRule="auto"/>
            </w:pPr>
            <w:r>
              <w:rPr>
                <w:sz w:val="18"/>
              </w:rPr>
            </w:r>
            <w:r>
              <w:rPr>
                <w:b/>
                <w:sz w:val="18"/>
              </w:rPr>
              <w:t>22.7%</w:t>
            </w:r>
          </w:p>
        </w:tc>
      </w:tr>
      <w:tr>
        <w:tc>
          <w:tcPr>
            <w:tcW w:type="dxa" w:w="2340"/>
          </w:tcPr>
          <w:p>
            <w:pPr>
              <w:spacing w:line="240" w:lineRule="auto"/>
            </w:pPr>
            <w:r>
              <w:rPr>
                <w:sz w:val="18"/>
              </w:rPr>
            </w:r>
            <w:r>
              <w:rPr>
                <w:sz w:val="18"/>
              </w:rPr>
              <w:t>Flat (level only)</w:t>
            </w:r>
          </w:p>
        </w:tc>
        <w:tc>
          <w:tcPr>
            <w:tcW w:type="dxa" w:w="2340"/>
          </w:tcPr>
          <w:p>
            <w:pPr>
              <w:spacing w:line="240" w:lineRule="auto"/>
            </w:pPr>
            <w:r>
              <w:rPr>
                <w:sz w:val="18"/>
              </w:rPr>
            </w:r>
            <w:r>
              <w:rPr>
                <w:sz w:val="18"/>
              </w:rPr>
              <w:t>−10.2%</w:t>
            </w:r>
          </w:p>
        </w:tc>
        <w:tc>
          <w:tcPr>
            <w:tcW w:type="dxa" w:w="2340"/>
          </w:tcPr>
          <w:p>
            <w:pPr>
              <w:spacing w:line="240" w:lineRule="auto"/>
            </w:pPr>
            <w:r>
              <w:rPr>
                <w:sz w:val="18"/>
              </w:rPr>
            </w:r>
            <w:r>
              <w:rPr>
                <w:sz w:val="18"/>
              </w:rPr>
              <w:t>+19.6%</w:t>
            </w:r>
          </w:p>
        </w:tc>
        <w:tc>
          <w:tcPr>
            <w:tcW w:type="dxa" w:w="2340"/>
          </w:tcPr>
          <w:p>
            <w:pPr>
              <w:spacing w:line="240" w:lineRule="auto"/>
            </w:pPr>
            <w:r>
              <w:rPr>
                <w:sz w:val="18"/>
              </w:rPr>
            </w:r>
            <w:r>
              <w:rPr>
                <w:b/>
                <w:sz w:val="18"/>
              </w:rPr>
              <w:t>14.9%</w:t>
            </w:r>
          </w:p>
        </w:tc>
      </w:tr>
    </w:tbl>
    <w:p>
      <w:pPr>
        <w:spacing w:after="200" w:line="240" w:lineRule="auto"/>
        <w:jc w:val="center"/>
      </w:pPr>
      <w:r>
        <w:rPr>
          <w:i/>
          <w:color w:val="7B8994"/>
          <w:sz w:val="20"/>
        </w:rPr>
        <w:t>Table 14. Forecast accuracy over the two complete holdout months.</w:t>
      </w:r>
    </w:p>
    <w:p>
      <w:r>
        <w:t>The seasonal model ranks fifth of the eight methods tested. The reason is visible: January 2025 came in at 112,906 against a prediction of 68,853 — January's index says it is the weakest month of the year, and this January was not. We keep the method and report the loss, because choosing a model on the strength of two observations is overfitting the holdout. The honest statement is that forecast reliability over this horizon is weak, and we measured our own error rather than asserting confidence.</w:t>
      </w:r>
    </w:p>
    <w:p>
      <w:pPr>
        <w:jc w:val="center"/>
      </w:pPr>
      <w:r>
        <w:drawing>
          <wp:inline xmlns:a="http://schemas.openxmlformats.org/drawingml/2006/main" xmlns:pic="http://schemas.openxmlformats.org/drawingml/2006/picture">
            <wp:extent cx="5486400" cy="2787343"/>
            <wp:docPr id="6" name="Picture 6"/>
            <wp:cNvGraphicFramePr>
              <a:graphicFrameLocks noChangeAspect="1"/>
            </wp:cNvGraphicFramePr>
            <a:graphic>
              <a:graphicData uri="http://schemas.openxmlformats.org/drawingml/2006/picture">
                <pic:pic>
                  <pic:nvPicPr>
                    <pic:cNvPr id="0" name="cp2_fig4_forecast.png"/>
                    <pic:cNvPicPr/>
                  </pic:nvPicPr>
                  <pic:blipFill>
                    <a:blip r:embed="rId14"/>
                    <a:stretch>
                      <a:fillRect/>
                    </a:stretch>
                  </pic:blipFill>
                  <pic:spPr>
                    <a:xfrm>
                      <a:off x="0" y="0"/>
                      <a:ext cx="5486400" cy="2787343"/>
                    </a:xfrm>
                    <a:prstGeom prst="rect"/>
                  </pic:spPr>
                </pic:pic>
              </a:graphicData>
            </a:graphic>
          </wp:inline>
        </w:drawing>
      </w:r>
    </w:p>
    <w:p>
      <w:pPr>
        <w:spacing w:after="200" w:line="240" w:lineRule="auto"/>
        <w:jc w:val="center"/>
      </w:pPr>
      <w:r>
        <w:rPr>
          <w:i/>
          <w:color w:val="7B8994"/>
          <w:sz w:val="20"/>
        </w:rPr>
        <w:t>Figure 6. The sales trend in two regimes, with the six-month forecast and the two holdout months at the right.</w:t>
      </w:r>
    </w:p>
    <w:p>
      <w:r>
        <w:br w:type="page"/>
      </w:r>
    </w:p>
    <w:p>
      <w:pPr>
        <w:pStyle w:val="Heading1"/>
      </w:pPr>
      <w:r>
        <w:t>6. BI Dashboard Summary</w:t>
      </w:r>
    </w:p>
    <w:p>
      <w:r>
        <w:t>An interactive three-page dashboard built in Power BI Desktop on the same database, reading five purpose-built SQL views rather than the raw tables.</w:t>
      </w:r>
    </w:p>
    <w:p>
      <w:pPr>
        <w:pStyle w:val="Heading2"/>
      </w:pPr>
      <w:r>
        <w:t>6.1 Design decisions</w:t>
      </w:r>
    </w:p>
    <w:p>
      <w:r>
        <w:t>Three decisions shaped the dashboard, and each one came out of the earlier analysis rather than out of preference.</w:t>
      </w:r>
    </w:p>
    <w:p>
      <w:r>
        <w:rPr>
          <w:b/>
        </w:rPr>
        <w:t>Order count is the primary KPI, not revenue.</w:t>
      </w:r>
      <w:r>
        <w:t xml:space="preserve"> Section 5.2 established that order count explains 85% of revenue variation and Section 7 confirms it is the only predictor that survives a multiple regression. Revenue is the lagging indicator; order count is the leading one, and it is the thing the business can act on. The four KPI cards on Page 1 lead with orders per month.</w:t>
      </w:r>
    </w:p>
    <w:p>
      <w:r>
        <w:rPr>
          <w:b/>
        </w:rPr>
        <w:t>Segmentation is by margin, not revenue.</w:t>
      </w:r>
      <w:r>
        <w:t xml:space="preserve"> Only about 46% of profit variation tracks revenue, and profit is far more variable than revenue (CV 82.9% against 54.2%). A dashboard ranking anything by revenue alone points management at the wrong accounts — Query 1 found lines returning 414 and 4,339 profit on near-identical revenue.</w:t>
      </w:r>
    </w:p>
    <w:p>
      <w:r>
        <w:rPr>
          <w:b/>
        </w:rPr>
        <w:t>No single blended seasonality curve appears anywhere.</w:t>
      </w:r>
      <w:r>
        <w:t xml:space="preserve"> Electronics peaks in Q2 and the other two categories in Q4, so one curve is wrong for all three. Page 2 shows quarterly revenue as small multiples, one panel per category.</w:t>
      </w:r>
    </w:p>
    <w:p>
      <w:pPr>
        <w:pStyle w:val="Heading2"/>
      </w:pPr>
      <w:r>
        <w:t>6.2 Page structure</w:t>
      </w:r>
    </w:p>
    <w:tbl>
      <w:tblPr>
        <w:tblStyle w:val="LightGrid-Accent1"/>
        <w:tblW w:type="auto" w:w="0"/>
        <w:jc w:val="center"/>
        <w:tblLayout w:type="autofit"/>
        <w:tblLook w:firstColumn="1" w:firstRow="1" w:lastColumn="0" w:lastRow="0" w:noHBand="0" w:noVBand="1" w:val="04A0"/>
      </w:tblPr>
      <w:tblGrid>
        <w:gridCol w:w="3120"/>
        <w:gridCol w:w="3120"/>
        <w:gridCol w:w="3120"/>
      </w:tblGrid>
      <w:tr>
        <w:tc>
          <w:tcPr>
            <w:tcW w:type="dxa" w:w="3120"/>
          </w:tcPr>
          <w:p>
            <w:r>
              <w:rPr>
                <w:b/>
              </w:rPr>
            </w:r>
            <w:r>
              <w:rPr>
                <w:b/>
              </w:rPr>
              <w:t>Page</w:t>
            </w:r>
          </w:p>
        </w:tc>
        <w:tc>
          <w:tcPr>
            <w:tcW w:type="dxa" w:w="3120"/>
          </w:tcPr>
          <w:p>
            <w:r>
              <w:rPr>
                <w:b/>
              </w:rPr>
            </w:r>
            <w:r>
              <w:rPr>
                <w:b/>
              </w:rPr>
              <w:t>Question it answers</w:t>
            </w:r>
          </w:p>
        </w:tc>
        <w:tc>
          <w:tcPr>
            <w:tcW w:type="dxa" w:w="3120"/>
          </w:tcPr>
          <w:p>
            <w:r>
              <w:rPr>
                <w:b/>
              </w:rPr>
            </w:r>
            <w:r>
              <w:rPr>
                <w:b/>
              </w:rPr>
              <w:t>Visuals</w:t>
            </w:r>
          </w:p>
        </w:tc>
      </w:tr>
      <w:tr>
        <w:tc>
          <w:tcPr>
            <w:tcW w:type="dxa" w:w="3120"/>
          </w:tcPr>
          <w:p>
            <w:pPr>
              <w:spacing w:line="240" w:lineRule="auto"/>
            </w:pPr>
            <w:r>
              <w:rPr>
                <w:sz w:val="18"/>
              </w:rPr>
            </w:r>
            <w:r>
              <w:rPr>
                <w:sz w:val="18"/>
              </w:rPr>
              <w:t>1 — Executive Summary</w:t>
            </w:r>
          </w:p>
        </w:tc>
        <w:tc>
          <w:tcPr>
            <w:tcW w:type="dxa" w:w="3120"/>
          </w:tcPr>
          <w:p>
            <w:pPr>
              <w:spacing w:line="240" w:lineRule="auto"/>
            </w:pPr>
            <w:r>
              <w:rPr>
                <w:sz w:val="18"/>
              </w:rPr>
            </w:r>
            <w:r>
              <w:rPr>
                <w:sz w:val="18"/>
              </w:rPr>
              <w:t>Is the company still growing, and by how much has it slipped?</w:t>
            </w:r>
          </w:p>
        </w:tc>
        <w:tc>
          <w:tcPr>
            <w:tcW w:type="dxa" w:w="3120"/>
          </w:tcPr>
          <w:p>
            <w:pPr>
              <w:spacing w:line="240" w:lineRule="auto"/>
            </w:pPr>
            <w:r>
              <w:rPr>
                <w:sz w:val="18"/>
              </w:rPr>
            </w:r>
            <w:r>
              <w:rPr>
                <w:sz w:val="18"/>
              </w:rPr>
              <w:t>Four KPI cards; revenue-per-month line with the 2022 peak marked; year summary table</w:t>
            </w:r>
          </w:p>
        </w:tc>
      </w:tr>
      <w:tr>
        <w:tc>
          <w:tcPr>
            <w:tcW w:type="dxa" w:w="3120"/>
          </w:tcPr>
          <w:p>
            <w:pPr>
              <w:spacing w:line="240" w:lineRule="auto"/>
            </w:pPr>
            <w:r>
              <w:rPr>
                <w:sz w:val="18"/>
              </w:rPr>
            </w:r>
            <w:r>
              <w:rPr>
                <w:sz w:val="18"/>
              </w:rPr>
              <w:t>2 — Trend &amp; Comparison</w:t>
            </w:r>
          </w:p>
        </w:tc>
        <w:tc>
          <w:tcPr>
            <w:tcW w:type="dxa" w:w="3120"/>
          </w:tcPr>
          <w:p>
            <w:pPr>
              <w:spacing w:line="240" w:lineRule="auto"/>
            </w:pPr>
            <w:r>
              <w:rPr>
                <w:sz w:val="18"/>
              </w:rPr>
            </w:r>
            <w:r>
              <w:rPr>
                <w:sz w:val="18"/>
              </w:rPr>
              <w:t>Which categories and sub-categories drive the trend?</w:t>
            </w:r>
          </w:p>
        </w:tc>
        <w:tc>
          <w:tcPr>
            <w:tcW w:type="dxa" w:w="3120"/>
          </w:tcPr>
          <w:p>
            <w:pPr>
              <w:spacing w:line="240" w:lineRule="auto"/>
            </w:pPr>
            <w:r>
              <w:rPr>
                <w:sz w:val="18"/>
              </w:rPr>
            </w:r>
            <w:r>
              <w:rPr>
                <w:sz w:val="18"/>
              </w:rPr>
              <w:t>Category line chart; sub-category change bars; quarterly small multiples; margin bars</w:t>
            </w:r>
          </w:p>
        </w:tc>
      </w:tr>
      <w:tr>
        <w:tc>
          <w:tcPr>
            <w:tcW w:type="dxa" w:w="3120"/>
          </w:tcPr>
          <w:p>
            <w:pPr>
              <w:spacing w:line="240" w:lineRule="auto"/>
            </w:pPr>
            <w:r>
              <w:rPr>
                <w:sz w:val="18"/>
              </w:rPr>
            </w:r>
            <w:r>
              <w:rPr>
                <w:sz w:val="18"/>
              </w:rPr>
              <w:t>3 — Deep Dive &amp; Segmentation</w:t>
            </w:r>
          </w:p>
        </w:tc>
        <w:tc>
          <w:tcPr>
            <w:tcW w:type="dxa" w:w="3120"/>
          </w:tcPr>
          <w:p>
            <w:pPr>
              <w:spacing w:line="240" w:lineRule="auto"/>
            </w:pPr>
            <w:r>
              <w:rPr>
                <w:sz w:val="18"/>
              </w:rPr>
            </w:r>
            <w:r>
              <w:rPr>
                <w:sz w:val="18"/>
              </w:rPr>
              <w:t>Who are the customers and what are the product segments?</w:t>
            </w:r>
          </w:p>
        </w:tc>
        <w:tc>
          <w:tcPr>
            <w:tcW w:type="dxa" w:w="3120"/>
          </w:tcPr>
          <w:p>
            <w:pPr>
              <w:spacing w:line="240" w:lineRule="auto"/>
            </w:pPr>
            <w:r>
              <w:rPr>
                <w:sz w:val="18"/>
              </w:rPr>
            </w:r>
            <w:r>
              <w:rPr>
                <w:sz w:val="18"/>
              </w:rPr>
              <w:t>Two cluster scatters; segment profile table; state map; quantity-against-amount scatter</w:t>
            </w:r>
          </w:p>
        </w:tc>
      </w:tr>
    </w:tbl>
    <w:p>
      <w:pPr>
        <w:spacing w:after="200" w:line="240" w:lineRule="auto"/>
        <w:jc w:val="center"/>
      </w:pPr>
      <w:r>
        <w:rPr>
          <w:i/>
          <w:color w:val="7B8994"/>
          <w:sz w:val="20"/>
        </w:rPr>
        <w:t>Table 15. Dashboard pages, the question each answers, and its visuals.</w:t>
      </w:r>
    </w:p>
    <w:p>
      <w:r>
        <w:rPr>
          <w:b/>
        </w:rPr>
        <w:t>Interactivity.</w:t>
      </w:r>
      <w:r>
        <w:t xml:space="preserve"> Slicers on three dimensions — period, category and geography — act on every page, with a segment slicer added on Page 3. Drill-through from any sub-category bar on Page 2 opens Page 3 filtered to it. Cross-filtering between visuals is active throughout.</w:t>
      </w:r>
    </w:p>
    <w:p>
      <w:pPr>
        <w:jc w:val="center"/>
      </w:pPr>
      <w:r>
        <w:drawing>
          <wp:inline xmlns:a="http://schemas.openxmlformats.org/drawingml/2006/main" xmlns:pic="http://schemas.openxmlformats.org/drawingml/2006/picture">
            <wp:extent cx="5486400" cy="7796463"/>
            <wp:docPr id="7" name="Picture 7"/>
            <wp:cNvGraphicFramePr>
              <a:graphicFrameLocks noChangeAspect="1"/>
            </wp:cNvGraphicFramePr>
            <a:graphic>
              <a:graphicData uri="http://schemas.openxmlformats.org/drawingml/2006/picture">
                <pic:pic>
                  <pic:nvPicPr>
                    <pic:cNvPr id="0" name="cp3_fig3_wireframe.png"/>
                    <pic:cNvPicPr/>
                  </pic:nvPicPr>
                  <pic:blipFill>
                    <a:blip r:embed="rId15"/>
                    <a:stretch>
                      <a:fillRect/>
                    </a:stretch>
                  </pic:blipFill>
                  <pic:spPr>
                    <a:xfrm>
                      <a:off x="0" y="0"/>
                      <a:ext cx="5486400" cy="7796463"/>
                    </a:xfrm>
                    <a:prstGeom prst="rect"/>
                  </pic:spPr>
                </pic:pic>
              </a:graphicData>
            </a:graphic>
          </wp:inline>
        </w:drawing>
      </w:r>
    </w:p>
    <w:p>
      <w:pPr>
        <w:spacing w:after="200" w:line="240" w:lineRule="auto"/>
        <w:jc w:val="center"/>
      </w:pPr>
      <w:r>
        <w:rPr>
          <w:i/>
          <w:color w:val="7B8994"/>
          <w:sz w:val="20"/>
        </w:rPr>
        <w:t>Figure 7. Dashboard blueprint — the three pages, their visuals, and the slicers acting on each.</w:t>
      </w:r>
    </w:p>
    <w:p>
      <w:pPr>
        <w:pStyle w:val="Heading2"/>
      </w:pPr>
      <w:r>
        <w:t>6.3 Segmentation findings</w:t>
      </w:r>
    </w:p>
    <w:p>
      <w:r>
        <w:t xml:space="preserve">Two k-means segmentations, both reproducible from a fixed seed. </w:t>
      </w:r>
      <w:r>
        <w:rPr>
          <w:b/>
        </w:rPr>
        <w:t>k was chosen by silhouette score</w:t>
      </w:r>
      <w:r>
        <w:t>, evaluated across k = 2 to 6 and selected within the two to three the brief requires.</w:t>
      </w:r>
    </w:p>
    <w:p>
      <w:r>
        <w:t>This choice is worth defending rather than glossing: on the customer data k = 5 scores 0.295 against k = 3's 0.277. We took k = 3 because the difference is too small to buy back the interpretability of five segments, two of which came out with the same profile — and because on twelve sub-categories, k = 6 leaves two members per cluster, which is a partition rather than a segmentation.</w:t>
      </w:r>
    </w:p>
    <w:p>
      <w:r>
        <w:rPr>
          <w:b/>
        </w:rPr>
        <w:t>Customer segments — 807 customers</w:t>
      </w:r>
      <w:r>
        <w:t>, clustered on value, margin and recency.</w:t>
      </w:r>
    </w:p>
    <w:tbl>
      <w:tblPr>
        <w:tblStyle w:val="LightGrid-Accent1"/>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b/>
              </w:rPr>
            </w:r>
            <w:r>
              <w:rPr>
                <w:b/>
              </w:rPr>
              <w:t>Segment</w:t>
            </w:r>
          </w:p>
        </w:tc>
        <w:tc>
          <w:tcPr>
            <w:tcW w:type="dxa" w:w="1560"/>
          </w:tcPr>
          <w:p>
            <w:r>
              <w:rPr>
                <w:b/>
              </w:rPr>
            </w:r>
            <w:r>
              <w:rPr>
                <w:b/>
              </w:rPr>
              <w:t>n</w:t>
            </w:r>
          </w:p>
        </w:tc>
        <w:tc>
          <w:tcPr>
            <w:tcW w:type="dxa" w:w="1560"/>
          </w:tcPr>
          <w:p>
            <w:r>
              <w:rPr>
                <w:b/>
              </w:rPr>
            </w:r>
            <w:r>
              <w:rPr>
                <w:b/>
              </w:rPr>
              <w:t>% of customers</w:t>
            </w:r>
          </w:p>
        </w:tc>
        <w:tc>
          <w:tcPr>
            <w:tcW w:type="dxa" w:w="1560"/>
          </w:tcPr>
          <w:p>
            <w:r>
              <w:rPr>
                <w:b/>
              </w:rPr>
            </w:r>
            <w:r>
              <w:rPr>
                <w:b/>
              </w:rPr>
              <w:t>% of revenue</w:t>
            </w:r>
          </w:p>
        </w:tc>
        <w:tc>
          <w:tcPr>
            <w:tcW w:type="dxa" w:w="1560"/>
          </w:tcPr>
          <w:p>
            <w:r>
              <w:rPr>
                <w:b/>
              </w:rPr>
            </w:r>
            <w:r>
              <w:rPr>
                <w:b/>
              </w:rPr>
              <w:t>% of profit</w:t>
            </w:r>
          </w:p>
        </w:tc>
        <w:tc>
          <w:tcPr>
            <w:tcW w:type="dxa" w:w="1560"/>
          </w:tcPr>
          <w:p>
            <w:r>
              <w:rPr>
                <w:b/>
              </w:rPr>
            </w:r>
            <w:r>
              <w:rPr>
                <w:b/>
              </w:rPr>
              <w:t>Margin</w:t>
            </w:r>
          </w:p>
        </w:tc>
      </w:tr>
      <w:tr>
        <w:tc>
          <w:tcPr>
            <w:tcW w:type="dxa" w:w="1560"/>
          </w:tcPr>
          <w:p>
            <w:pPr>
              <w:spacing w:line="240" w:lineRule="auto"/>
            </w:pPr>
            <w:r>
              <w:rPr>
                <w:sz w:val="18"/>
              </w:rPr>
            </w:r>
            <w:r>
              <w:rPr>
                <w:sz w:val="18"/>
              </w:rPr>
              <w:t>High-Value Accounts</w:t>
            </w:r>
          </w:p>
        </w:tc>
        <w:tc>
          <w:tcPr>
            <w:tcW w:type="dxa" w:w="1560"/>
          </w:tcPr>
          <w:p>
            <w:pPr>
              <w:spacing w:line="240" w:lineRule="auto"/>
            </w:pPr>
            <w:r>
              <w:rPr>
                <w:sz w:val="18"/>
              </w:rPr>
            </w:r>
            <w:r>
              <w:rPr>
                <w:sz w:val="18"/>
              </w:rPr>
              <w:t>146</w:t>
            </w:r>
          </w:p>
        </w:tc>
        <w:tc>
          <w:tcPr>
            <w:tcW w:type="dxa" w:w="1560"/>
          </w:tcPr>
          <w:p>
            <w:pPr>
              <w:spacing w:line="240" w:lineRule="auto"/>
            </w:pPr>
            <w:r>
              <w:rPr>
                <w:sz w:val="18"/>
              </w:rPr>
            </w:r>
            <w:r>
              <w:rPr>
                <w:sz w:val="18"/>
              </w:rPr>
              <w:t>18.1%</w:t>
            </w:r>
          </w:p>
        </w:tc>
        <w:tc>
          <w:tcPr>
            <w:tcW w:type="dxa" w:w="1560"/>
          </w:tcPr>
          <w:p>
            <w:pPr>
              <w:spacing w:line="240" w:lineRule="auto"/>
            </w:pPr>
            <w:r>
              <w:rPr>
                <w:sz w:val="18"/>
              </w:rPr>
            </w:r>
            <w:r>
              <w:rPr>
                <w:sz w:val="18"/>
              </w:rPr>
              <w:t>38.4%</w:t>
            </w:r>
          </w:p>
        </w:tc>
        <w:tc>
          <w:tcPr>
            <w:tcW w:type="dxa" w:w="1560"/>
          </w:tcPr>
          <w:p>
            <w:pPr>
              <w:spacing w:line="240" w:lineRule="auto"/>
            </w:pPr>
            <w:r>
              <w:rPr>
                <w:sz w:val="18"/>
              </w:rPr>
            </w:r>
            <w:r>
              <w:rPr>
                <w:sz w:val="18"/>
              </w:rPr>
              <w:t>38.7%</w:t>
            </w:r>
          </w:p>
        </w:tc>
        <w:tc>
          <w:tcPr>
            <w:tcW w:type="dxa" w:w="1560"/>
          </w:tcPr>
          <w:p>
            <w:pPr>
              <w:spacing w:line="240" w:lineRule="auto"/>
            </w:pPr>
            <w:r>
              <w:rPr>
                <w:sz w:val="18"/>
              </w:rPr>
            </w:r>
            <w:r>
              <w:rPr>
                <w:sz w:val="18"/>
              </w:rPr>
              <w:t>26.2%</w:t>
            </w:r>
          </w:p>
        </w:tc>
      </w:tr>
      <w:tr>
        <w:tc>
          <w:tcPr>
            <w:tcW w:type="dxa" w:w="1560"/>
          </w:tcPr>
          <w:p>
            <w:pPr>
              <w:spacing w:line="240" w:lineRule="auto"/>
            </w:pPr>
            <w:r>
              <w:rPr>
                <w:sz w:val="18"/>
              </w:rPr>
            </w:r>
            <w:r>
              <w:rPr>
                <w:sz w:val="18"/>
              </w:rPr>
              <w:t>High-Margin Buyers</w:t>
            </w:r>
          </w:p>
        </w:tc>
        <w:tc>
          <w:tcPr>
            <w:tcW w:type="dxa" w:w="1560"/>
          </w:tcPr>
          <w:p>
            <w:pPr>
              <w:spacing w:line="240" w:lineRule="auto"/>
            </w:pPr>
            <w:r>
              <w:rPr>
                <w:sz w:val="18"/>
              </w:rPr>
            </w:r>
            <w:r>
              <w:rPr>
                <w:sz w:val="18"/>
              </w:rPr>
              <w:t>311</w:t>
            </w:r>
          </w:p>
        </w:tc>
        <w:tc>
          <w:tcPr>
            <w:tcW w:type="dxa" w:w="1560"/>
          </w:tcPr>
          <w:p>
            <w:pPr>
              <w:spacing w:line="240" w:lineRule="auto"/>
            </w:pPr>
            <w:r>
              <w:rPr>
                <w:sz w:val="18"/>
              </w:rPr>
            </w:r>
            <w:r>
              <w:rPr>
                <w:sz w:val="18"/>
              </w:rPr>
              <w:t>38.5%</w:t>
            </w:r>
          </w:p>
        </w:tc>
        <w:tc>
          <w:tcPr>
            <w:tcW w:type="dxa" w:w="1560"/>
          </w:tcPr>
          <w:p>
            <w:pPr>
              <w:spacing w:line="240" w:lineRule="auto"/>
            </w:pPr>
            <w:r>
              <w:rPr>
                <w:sz w:val="18"/>
              </w:rPr>
            </w:r>
            <w:r>
              <w:rPr>
                <w:sz w:val="18"/>
              </w:rPr>
              <w:t>28.9%</w:t>
            </w:r>
          </w:p>
        </w:tc>
        <w:tc>
          <w:tcPr>
            <w:tcW w:type="dxa" w:w="1560"/>
          </w:tcPr>
          <w:p>
            <w:pPr>
              <w:spacing w:line="240" w:lineRule="auto"/>
            </w:pPr>
            <w:r>
              <w:rPr>
                <w:sz w:val="18"/>
              </w:rPr>
            </w:r>
            <w:r>
              <w:rPr>
                <w:b/>
                <w:sz w:val="18"/>
              </w:rPr>
              <w:t>42.6%</w:t>
            </w:r>
          </w:p>
        </w:tc>
        <w:tc>
          <w:tcPr>
            <w:tcW w:type="dxa" w:w="1560"/>
          </w:tcPr>
          <w:p>
            <w:pPr>
              <w:spacing w:line="240" w:lineRule="auto"/>
            </w:pPr>
            <w:r>
              <w:rPr>
                <w:sz w:val="18"/>
              </w:rPr>
            </w:r>
            <w:r>
              <w:rPr>
                <w:sz w:val="18"/>
              </w:rPr>
              <w:t>38.5%</w:t>
            </w:r>
          </w:p>
        </w:tc>
      </w:tr>
      <w:tr>
        <w:tc>
          <w:tcPr>
            <w:tcW w:type="dxa" w:w="1560"/>
          </w:tcPr>
          <w:p>
            <w:pPr>
              <w:spacing w:line="240" w:lineRule="auto"/>
            </w:pPr>
            <w:r>
              <w:rPr>
                <w:sz w:val="18"/>
              </w:rPr>
            </w:r>
            <w:r>
              <w:rPr>
                <w:sz w:val="18"/>
              </w:rPr>
              <w:t>Thin-Margin Buyers</w:t>
            </w:r>
          </w:p>
        </w:tc>
        <w:tc>
          <w:tcPr>
            <w:tcW w:type="dxa" w:w="1560"/>
          </w:tcPr>
          <w:p>
            <w:pPr>
              <w:spacing w:line="240" w:lineRule="auto"/>
            </w:pPr>
            <w:r>
              <w:rPr>
                <w:sz w:val="18"/>
              </w:rPr>
            </w:r>
            <w:r>
              <w:rPr>
                <w:sz w:val="18"/>
              </w:rPr>
              <w:t>350</w:t>
            </w:r>
          </w:p>
        </w:tc>
        <w:tc>
          <w:tcPr>
            <w:tcW w:type="dxa" w:w="1560"/>
          </w:tcPr>
          <w:p>
            <w:pPr>
              <w:spacing w:line="240" w:lineRule="auto"/>
            </w:pPr>
            <w:r>
              <w:rPr>
                <w:sz w:val="18"/>
              </w:rPr>
            </w:r>
            <w:r>
              <w:rPr>
                <w:sz w:val="18"/>
              </w:rPr>
              <w:t>43.4%</w:t>
            </w:r>
          </w:p>
        </w:tc>
        <w:tc>
          <w:tcPr>
            <w:tcW w:type="dxa" w:w="1560"/>
          </w:tcPr>
          <w:p>
            <w:pPr>
              <w:spacing w:line="240" w:lineRule="auto"/>
            </w:pPr>
            <w:r>
              <w:rPr>
                <w:sz w:val="18"/>
              </w:rPr>
            </w:r>
            <w:r>
              <w:rPr>
                <w:sz w:val="18"/>
              </w:rPr>
              <w:t>32.7%</w:t>
            </w:r>
          </w:p>
        </w:tc>
        <w:tc>
          <w:tcPr>
            <w:tcW w:type="dxa" w:w="1560"/>
          </w:tcPr>
          <w:p>
            <w:pPr>
              <w:spacing w:line="240" w:lineRule="auto"/>
            </w:pPr>
            <w:r>
              <w:rPr>
                <w:sz w:val="18"/>
              </w:rPr>
            </w:r>
            <w:r>
              <w:rPr>
                <w:b/>
                <w:sz w:val="18"/>
              </w:rPr>
              <w:t>18.7%</w:t>
            </w:r>
          </w:p>
        </w:tc>
        <w:tc>
          <w:tcPr>
            <w:tcW w:type="dxa" w:w="1560"/>
          </w:tcPr>
          <w:p>
            <w:pPr>
              <w:spacing w:line="240" w:lineRule="auto"/>
            </w:pPr>
            <w:r>
              <w:rPr>
                <w:sz w:val="18"/>
              </w:rPr>
            </w:r>
            <w:r>
              <w:rPr>
                <w:sz w:val="18"/>
              </w:rPr>
              <w:t>14.9%</w:t>
            </w:r>
          </w:p>
        </w:tc>
      </w:tr>
    </w:tbl>
    <w:p>
      <w:pPr>
        <w:spacing w:after="200" w:line="240" w:lineRule="auto"/>
        <w:jc w:val="center"/>
      </w:pPr>
      <w:r>
        <w:rPr>
          <w:i/>
          <w:color w:val="7B8994"/>
          <w:sz w:val="20"/>
        </w:rPr>
        <w:t>Table 16. Customer segments, with each segment's share of customers, revenue and profit.</w:t>
      </w:r>
    </w:p>
    <w:p>
      <w:r>
        <w:rPr>
          <w:b/>
        </w:rPr>
        <w:t>This is the central finding of the dashboard.</w:t>
      </w:r>
      <w:r>
        <w:t xml:space="preserve"> Thin-Margin Buyers are the largest group — 43% of customers and a third of revenue — and they return 19% of the profit. High-Margin Buyers produce 43% of profit from </w:t>
      </w:r>
      <w:r>
        <w:rPr>
          <w:i/>
        </w:rPr>
        <w:t>less</w:t>
      </w:r>
      <w:r>
        <w:t xml:space="preserve"> revenue. A sales effort aimed at revenue would chase the wrong group of the two. This is the customer-level form of the Section 5.1 finding, converted from a statistic into a list of named accounts.</w:t>
      </w:r>
    </w:p>
    <w:p>
      <w:r>
        <w:t xml:space="preserve">Two honest notes. </w:t>
      </w:r>
      <w:r>
        <w:rPr>
          <w:b/>
        </w:rPr>
        <w:t>Recency separated nothing</w:t>
      </w:r>
      <w:r>
        <w:t xml:space="preserve"> — every cluster centre sits within 0.11 standard deviations of the mean on it — so there are no "lapsed" or "active" segments to claim. And purchase frequency spans only one to four lines (510 of 807 customers bought once), too little spread to carry a segment boundary, which is why it was not clustered on. Both are consequences of the synthetic dataset.</w:t>
      </w:r>
    </w:p>
    <w:p>
      <w:pPr>
        <w:jc w:val="center"/>
      </w:pPr>
      <w:r>
        <w:drawing>
          <wp:inline xmlns:a="http://schemas.openxmlformats.org/drawingml/2006/main" xmlns:pic="http://schemas.openxmlformats.org/drawingml/2006/picture">
            <wp:extent cx="5486400" cy="3352800"/>
            <wp:docPr id="8" name="Picture 8"/>
            <wp:cNvGraphicFramePr>
              <a:graphicFrameLocks noChangeAspect="1"/>
            </wp:cNvGraphicFramePr>
            <a:graphic>
              <a:graphicData uri="http://schemas.openxmlformats.org/drawingml/2006/picture">
                <pic:pic>
                  <pic:nvPicPr>
                    <pic:cNvPr id="0" name="cp3_fig1_customer_segments.png"/>
                    <pic:cNvPicPr/>
                  </pic:nvPicPr>
                  <pic:blipFill>
                    <a:blip r:embed="rId16"/>
                    <a:stretch>
                      <a:fillRect/>
                    </a:stretch>
                  </pic:blipFill>
                  <pic:spPr>
                    <a:xfrm>
                      <a:off x="0" y="0"/>
                      <a:ext cx="5486400" cy="3352800"/>
                    </a:xfrm>
                    <a:prstGeom prst="rect"/>
                  </pic:spPr>
                </pic:pic>
              </a:graphicData>
            </a:graphic>
          </wp:inline>
        </w:drawing>
      </w:r>
    </w:p>
    <w:p>
      <w:pPr>
        <w:spacing w:after="200" w:line="240" w:lineRule="auto"/>
        <w:jc w:val="center"/>
      </w:pPr>
      <w:r>
        <w:rPr>
          <w:i/>
          <w:color w:val="7B8994"/>
          <w:sz w:val="20"/>
        </w:rPr>
        <w:t>Figure 8. Customer segments. Value separates one cluster; margin separates the other two.</w:t>
      </w:r>
    </w:p>
    <w:p>
      <w:r>
        <w:rPr>
          <w:b/>
        </w:rPr>
        <w:t>Sub-category segments — 12 sub-categories</w:t>
      </w:r>
      <w:r>
        <w:t>, clustered on scale, growth and margin.</w:t>
      </w:r>
    </w:p>
    <w:tbl>
      <w:tblPr>
        <w:tblStyle w:val="LightGrid-Accent1"/>
        <w:tblW w:type="auto" w:w="0"/>
        <w:jc w:val="center"/>
        <w:tblLayout w:type="autofit"/>
        <w:tblLook w:firstColumn="1" w:firstRow="1" w:lastColumn="0" w:lastRow="0" w:noHBand="0" w:noVBand="1" w:val="04A0"/>
      </w:tblPr>
      <w:tblGrid>
        <w:gridCol w:w="3120"/>
        <w:gridCol w:w="3120"/>
        <w:gridCol w:w="3120"/>
      </w:tblGrid>
      <w:tr>
        <w:tc>
          <w:tcPr>
            <w:tcW w:type="dxa" w:w="3120"/>
          </w:tcPr>
          <w:p>
            <w:r>
              <w:rPr>
                <w:b/>
              </w:rPr>
            </w:r>
            <w:r>
              <w:rPr>
                <w:b/>
              </w:rPr>
              <w:t>Segment</w:t>
            </w:r>
          </w:p>
        </w:tc>
        <w:tc>
          <w:tcPr>
            <w:tcW w:type="dxa" w:w="3120"/>
          </w:tcPr>
          <w:p>
            <w:r>
              <w:rPr>
                <w:b/>
              </w:rPr>
            </w:r>
            <w:r>
              <w:rPr>
                <w:b/>
              </w:rPr>
              <w:t>Members</w:t>
            </w:r>
          </w:p>
        </w:tc>
        <w:tc>
          <w:tcPr>
            <w:tcW w:type="dxa" w:w="3120"/>
          </w:tcPr>
          <w:p>
            <w:r>
              <w:rPr>
                <w:b/>
              </w:rPr>
            </w:r>
            <w:r>
              <w:rPr>
                <w:b/>
              </w:rPr>
              <w:t>2023 → 2024</w:t>
            </w:r>
          </w:p>
        </w:tc>
      </w:tr>
      <w:tr>
        <w:tc>
          <w:tcPr>
            <w:tcW w:type="dxa" w:w="3120"/>
          </w:tcPr>
          <w:p>
            <w:pPr>
              <w:spacing w:line="240" w:lineRule="auto"/>
            </w:pPr>
            <w:r>
              <w:rPr>
                <w:sz w:val="18"/>
              </w:rPr>
            </w:r>
            <w:r>
              <w:rPr>
                <w:sz w:val="18"/>
              </w:rPr>
              <w:t>Growth Engines</w:t>
            </w:r>
          </w:p>
        </w:tc>
        <w:tc>
          <w:tcPr>
            <w:tcW w:type="dxa" w:w="3120"/>
          </w:tcPr>
          <w:p>
            <w:pPr>
              <w:spacing w:line="240" w:lineRule="auto"/>
            </w:pPr>
            <w:r>
              <w:rPr>
                <w:sz w:val="18"/>
              </w:rPr>
            </w:r>
            <w:r>
              <w:rPr>
                <w:sz w:val="18"/>
              </w:rPr>
              <w:t>Markers, Paper, Pens, Sofas, Tables</w:t>
            </w:r>
          </w:p>
        </w:tc>
        <w:tc>
          <w:tcPr>
            <w:tcW w:type="dxa" w:w="3120"/>
          </w:tcPr>
          <w:p>
            <w:pPr>
              <w:spacing w:line="240" w:lineRule="auto"/>
            </w:pPr>
            <w:r>
              <w:rPr>
                <w:sz w:val="18"/>
              </w:rPr>
            </w:r>
            <w:r>
              <w:rPr>
                <w:sz w:val="18"/>
              </w:rPr>
              <w:t xml:space="preserve">452,521 → 634,777, </w:t>
            </w:r>
            <w:r>
              <w:rPr>
                <w:b/>
                <w:sz w:val="18"/>
              </w:rPr>
              <w:t>+40.3%</w:t>
            </w:r>
          </w:p>
        </w:tc>
      </w:tr>
      <w:tr>
        <w:tc>
          <w:tcPr>
            <w:tcW w:type="dxa" w:w="3120"/>
          </w:tcPr>
          <w:p>
            <w:pPr>
              <w:spacing w:line="240" w:lineRule="auto"/>
            </w:pPr>
            <w:r>
              <w:rPr>
                <w:sz w:val="18"/>
              </w:rPr>
            </w:r>
            <w:r>
              <w:rPr>
                <w:sz w:val="18"/>
              </w:rPr>
              <w:t>Low-Margin Niche</w:t>
            </w:r>
          </w:p>
        </w:tc>
        <w:tc>
          <w:tcPr>
            <w:tcW w:type="dxa" w:w="3120"/>
          </w:tcPr>
          <w:p>
            <w:pPr>
              <w:spacing w:line="240" w:lineRule="auto"/>
            </w:pPr>
            <w:r>
              <w:rPr>
                <w:sz w:val="18"/>
              </w:rPr>
            </w:r>
            <w:r>
              <w:rPr>
                <w:sz w:val="18"/>
              </w:rPr>
              <w:t>Binders, Phones</w:t>
            </w:r>
          </w:p>
        </w:tc>
        <w:tc>
          <w:tcPr>
            <w:tcW w:type="dxa" w:w="3120"/>
          </w:tcPr>
          <w:p>
            <w:pPr>
              <w:spacing w:line="240" w:lineRule="auto"/>
            </w:pPr>
            <w:r>
              <w:rPr>
                <w:sz w:val="18"/>
              </w:rPr>
            </w:r>
            <w:r>
              <w:rPr>
                <w:sz w:val="18"/>
              </w:rPr>
              <w:t>180,351 → 187,537, +4.0%</w:t>
            </w:r>
          </w:p>
        </w:tc>
      </w:tr>
      <w:tr>
        <w:tc>
          <w:tcPr>
            <w:tcW w:type="dxa" w:w="3120"/>
          </w:tcPr>
          <w:p>
            <w:pPr>
              <w:spacing w:line="240" w:lineRule="auto"/>
            </w:pPr>
            <w:r>
              <w:rPr>
                <w:sz w:val="18"/>
              </w:rPr>
            </w:r>
            <w:r>
              <w:rPr>
                <w:sz w:val="18"/>
              </w:rPr>
              <w:t>Declining Lines</w:t>
            </w:r>
          </w:p>
        </w:tc>
        <w:tc>
          <w:tcPr>
            <w:tcW w:type="dxa" w:w="3120"/>
          </w:tcPr>
          <w:p>
            <w:pPr>
              <w:spacing w:line="240" w:lineRule="auto"/>
            </w:pPr>
            <w:r>
              <w:rPr>
                <w:sz w:val="18"/>
              </w:rPr>
            </w:r>
            <w:r>
              <w:rPr>
                <w:sz w:val="18"/>
              </w:rPr>
              <w:t>Bookcases, Chairs, Electronic Games, Laptops, Printers</w:t>
            </w:r>
          </w:p>
        </w:tc>
        <w:tc>
          <w:tcPr>
            <w:tcW w:type="dxa" w:w="3120"/>
          </w:tcPr>
          <w:p>
            <w:pPr>
              <w:spacing w:line="240" w:lineRule="auto"/>
            </w:pPr>
            <w:r>
              <w:rPr>
                <w:sz w:val="18"/>
              </w:rPr>
            </w:r>
            <w:r>
              <w:rPr>
                <w:sz w:val="18"/>
              </w:rPr>
              <w:t xml:space="preserve">596,851 → 380,164, </w:t>
            </w:r>
            <w:r>
              <w:rPr>
                <w:b/>
                <w:sz w:val="18"/>
              </w:rPr>
              <w:t>−36.3%</w:t>
            </w:r>
          </w:p>
        </w:tc>
      </w:tr>
    </w:tbl>
    <w:p>
      <w:pPr>
        <w:spacing w:after="200" w:line="240" w:lineRule="auto"/>
        <w:jc w:val="center"/>
      </w:pPr>
      <w:r>
        <w:rPr>
          <w:i/>
          <w:color w:val="7B8994"/>
          <w:sz w:val="20"/>
        </w:rPr>
        <w:t>Table 17. Sub-category segments and their movement between 2023 and 2024.</w:t>
      </w:r>
    </w:p>
    <w:p>
      <w:r>
        <w:t>The segmentation recovers Checkpoint 1's central finding without being told it: the two large clusters move in opposite directions, +40.3% against −36.3%, and the company-wide figure is their average. The middle cluster is named for margin rather than growth, because its two members moved in opposite directions (Binders +36.6%, Phones −14.1%); what they share is low margin and small scale.</w:t>
      </w:r>
    </w:p>
    <w:p>
      <w:pPr>
        <w:jc w:val="center"/>
      </w:pPr>
      <w:r>
        <w:drawing>
          <wp:inline xmlns:a="http://schemas.openxmlformats.org/drawingml/2006/main" xmlns:pic="http://schemas.openxmlformats.org/drawingml/2006/picture">
            <wp:extent cx="5486400" cy="3352800"/>
            <wp:docPr id="9" name="Picture 9"/>
            <wp:cNvGraphicFramePr>
              <a:graphicFrameLocks noChangeAspect="1"/>
            </wp:cNvGraphicFramePr>
            <a:graphic>
              <a:graphicData uri="http://schemas.openxmlformats.org/drawingml/2006/picture">
                <pic:pic>
                  <pic:nvPicPr>
                    <pic:cNvPr id="0" name="cp3_fig2_subcategory_segments.png"/>
                    <pic:cNvPicPr/>
                  </pic:nvPicPr>
                  <pic:blipFill>
                    <a:blip r:embed="rId17"/>
                    <a:stretch>
                      <a:fillRect/>
                    </a:stretch>
                  </pic:blipFill>
                  <pic:spPr>
                    <a:xfrm>
                      <a:off x="0" y="0"/>
                      <a:ext cx="5486400" cy="3352800"/>
                    </a:xfrm>
                    <a:prstGeom prst="rect"/>
                  </pic:spPr>
                </pic:pic>
              </a:graphicData>
            </a:graphic>
          </wp:inline>
        </w:drawing>
      </w:r>
    </w:p>
    <w:p>
      <w:pPr>
        <w:spacing w:after="200" w:line="240" w:lineRule="auto"/>
        <w:jc w:val="center"/>
      </w:pPr>
      <w:r>
        <w:rPr>
          <w:i/>
          <w:color w:val="7B8994"/>
          <w:sz w:val="20"/>
        </w:rPr>
        <w:t>Figure 9. Sub-category segments. Growth separates the two ends; the middle cluster is defined by margin.</w:t>
      </w:r>
    </w:p>
    <w:p>
      <w:pPr>
        <w:pStyle w:val="Heading2"/>
      </w:pPr>
      <w:r>
        <w:t>6.4 Dashboard screenshots</w:t>
      </w:r>
    </w:p>
    <w:p>
      <w:pPr>
        <w:ind w:left="432"/>
      </w:pPr>
      <w:r>
        <w:rPr>
          <w:b/>
          <w:i/>
        </w:rPr>
        <w:t>TO BE INSERTED.</w:t>
      </w:r>
      <w:r>
        <w:rPr>
          <w:i/>
        </w:rPr>
        <w:t xml:space="preserve"> Paste screenshots of all three dashboard pages here, each numbered and captioned, with one or two sentences of your own commentary under each. The exported PDF of all three pages is a separate submission item. Build instructions are in </w:t>
      </w:r>
      <w:r>
        <w:rPr>
          <w:rFonts w:ascii="Consolas" w:hAnsi="Consolas"/>
          <w:i/>
          <w:color w:val="2F6F9F"/>
          <w:sz w:val="18"/>
        </w:rPr>
        <w:t>docs/PowerBI_Build_Guide.docx</w:t>
      </w:r>
      <w:r>
        <w:rPr>
          <w:i/>
        </w:rPr>
        <w:t>.</w:t>
      </w:r>
    </w:p>
    <w:p>
      <w:r>
        <w:br w:type="page"/>
      </w:r>
    </w:p>
    <w:p>
      <w:pPr>
        <w:pStyle w:val="Heading1"/>
      </w:pPr>
      <w:r>
        <w:t>7. Predictive Analytics</w:t>
      </w:r>
    </w:p>
    <w:p>
      <w:r>
        <w:t xml:space="preserve">Extending the Checkpoint 2 regression into a multiple-predictor model, then testing whether the extension was worth making. Full computed output in </w:t>
      </w:r>
      <w:r>
        <w:rPr>
          <w:rFonts w:ascii="Consolas" w:hAnsi="Consolas"/>
          <w:color w:val="2F6F9F"/>
          <w:sz w:val="18"/>
        </w:rPr>
        <w:t>reports/predictive_model_results.md</w:t>
      </w:r>
      <w:r>
        <w:t>.</w:t>
      </w:r>
    </w:p>
    <w:p>
      <w:pPr>
        <w:pStyle w:val="Heading2"/>
      </w:pPr>
      <w:r>
        <w:t>7.1 The model</w:t>
      </w:r>
    </w:p>
    <w:p>
      <w:r>
        <w:rPr>
          <w:b/>
        </w:rPr>
        <w:t>Output variable:</w:t>
      </w:r>
      <w:r>
        <w:t xml:space="preserve"> monthly revenue. </w:t>
      </w:r>
      <w:r>
        <w:rPr>
          <w:b/>
        </w:rPr>
        <w:t>Predictors tested:</w:t>
      </w:r>
      <w:r>
        <w:t xml:space="preserve"> order count, units sold, distinct customers, Electronics share of lines, a time index, and quarter indicators for Q2, Q3 and Q4.</w:t>
      </w:r>
    </w:p>
    <w:p>
      <w:r>
        <w:t xml:space="preserve">The Electronics share is computed from </w:t>
      </w:r>
      <w:r>
        <w:rPr>
          <w:i/>
        </w:rPr>
        <w:t>line counts</w:t>
      </w:r>
      <w:r>
        <w:t>, not revenue. A revenue share would be derived from the target and would leak it back into the model — a mistake that inflates R² while predicting nothing.</w:t>
      </w:r>
    </w:p>
    <w:p>
      <w:r>
        <w:t>Three models were fitted on the same 57-month window, trained on the first 51 months with the last six held out and never fitted.</w:t>
      </w:r>
    </w:p>
    <w:tbl>
      <w:tblPr>
        <w:tblStyle w:val="LightGrid-Accent1"/>
        <w:tblW w:type="auto" w:w="0"/>
        <w:jc w:val="center"/>
        <w:tblLayout w:type="autofit"/>
        <w:tblLook w:firstColumn="1" w:firstRow="1" w:lastColumn="0" w:lastRow="0" w:noHBand="0" w:noVBand="1" w:val="04A0"/>
      </w:tblPr>
      <w:tblGrid>
        <w:gridCol w:w="2340"/>
        <w:gridCol w:w="2340"/>
        <w:gridCol w:w="2340"/>
        <w:gridCol w:w="2340"/>
      </w:tblGrid>
      <w:tr>
        <w:tc>
          <w:tcPr>
            <w:tcW w:type="dxa" w:w="2340"/>
          </w:tcPr>
          <w:p>
            <w:r>
              <w:rPr>
                <w:b/>
              </w:rPr>
            </w:r>
            <w:r>
              <w:rPr>
                <w:b/>
              </w:rPr>
              <w:t>Model</w:t>
            </w:r>
          </w:p>
        </w:tc>
        <w:tc>
          <w:tcPr>
            <w:tcW w:type="dxa" w:w="2340"/>
          </w:tcPr>
          <w:p>
            <w:r>
              <w:rPr>
                <w:b/>
              </w:rPr>
            </w:r>
            <w:r>
              <w:rPr>
                <w:b/>
              </w:rPr>
              <w:t>Specification</w:t>
            </w:r>
          </w:p>
        </w:tc>
        <w:tc>
          <w:tcPr>
            <w:tcW w:type="dxa" w:w="2340"/>
          </w:tcPr>
          <w:p>
            <w:r>
              <w:rPr>
                <w:b/>
              </w:rPr>
            </w:r>
            <w:r>
              <w:rPr>
                <w:b/>
              </w:rPr>
              <w:t>R²</w:t>
            </w:r>
          </w:p>
        </w:tc>
        <w:tc>
          <w:tcPr>
            <w:tcW w:type="dxa" w:w="2340"/>
          </w:tcPr>
          <w:p>
            <w:r>
              <w:rPr>
                <w:b/>
              </w:rPr>
            </w:r>
            <w:r>
              <w:rPr>
                <w:b/>
              </w:rPr>
              <w:t>Adjusted R²</w:t>
            </w:r>
          </w:p>
        </w:tc>
      </w:tr>
      <w:tr>
        <w:tc>
          <w:tcPr>
            <w:tcW w:type="dxa" w:w="2340"/>
          </w:tcPr>
          <w:p>
            <w:pPr>
              <w:spacing w:line="240" w:lineRule="auto"/>
            </w:pPr>
            <w:r>
              <w:rPr>
                <w:sz w:val="18"/>
              </w:rPr>
            </w:r>
            <w:r>
              <w:rPr>
                <w:sz w:val="18"/>
              </w:rPr>
              <w:t>A</w:t>
            </w:r>
          </w:p>
        </w:tc>
        <w:tc>
          <w:tcPr>
            <w:tcW w:type="dxa" w:w="2340"/>
          </w:tcPr>
          <w:p>
            <w:pPr>
              <w:spacing w:line="240" w:lineRule="auto"/>
            </w:pPr>
            <w:r>
              <w:rPr>
                <w:sz w:val="18"/>
              </w:rPr>
            </w:r>
            <w:r>
              <w:rPr>
                <w:rFonts w:ascii="Consolas" w:hAnsi="Consolas"/>
                <w:color w:val="2F6F9F"/>
                <w:sz w:val="18"/>
              </w:rPr>
              <w:t>revenue ~ orders</w:t>
            </w:r>
            <w:r>
              <w:rPr>
                <w:sz w:val="18"/>
              </w:rPr>
              <w:t xml:space="preserve"> — the Checkpoint 2 baseline</w:t>
            </w:r>
          </w:p>
        </w:tc>
        <w:tc>
          <w:tcPr>
            <w:tcW w:type="dxa" w:w="2340"/>
          </w:tcPr>
          <w:p>
            <w:pPr>
              <w:spacing w:line="240" w:lineRule="auto"/>
            </w:pPr>
            <w:r>
              <w:rPr>
                <w:sz w:val="18"/>
              </w:rPr>
            </w:r>
            <w:r>
              <w:rPr>
                <w:sz w:val="18"/>
              </w:rPr>
              <w:t>0.8562</w:t>
            </w:r>
          </w:p>
        </w:tc>
        <w:tc>
          <w:tcPr>
            <w:tcW w:type="dxa" w:w="2340"/>
          </w:tcPr>
          <w:p>
            <w:pPr>
              <w:spacing w:line="240" w:lineRule="auto"/>
            </w:pPr>
            <w:r>
              <w:rPr>
                <w:sz w:val="18"/>
              </w:rPr>
            </w:r>
            <w:r>
              <w:rPr>
                <w:sz w:val="18"/>
              </w:rPr>
              <w:t>0.8533</w:t>
            </w:r>
          </w:p>
        </w:tc>
      </w:tr>
      <w:tr>
        <w:tc>
          <w:tcPr>
            <w:tcW w:type="dxa" w:w="2340"/>
          </w:tcPr>
          <w:p>
            <w:pPr>
              <w:spacing w:line="240" w:lineRule="auto"/>
            </w:pPr>
            <w:r>
              <w:rPr>
                <w:sz w:val="18"/>
              </w:rPr>
            </w:r>
            <w:r>
              <w:rPr>
                <w:sz w:val="18"/>
              </w:rPr>
              <w:t>B</w:t>
            </w:r>
          </w:p>
        </w:tc>
        <w:tc>
          <w:tcPr>
            <w:tcW w:type="dxa" w:w="2340"/>
          </w:tcPr>
          <w:p>
            <w:pPr>
              <w:spacing w:line="240" w:lineRule="auto"/>
            </w:pPr>
            <w:r>
              <w:rPr>
                <w:sz w:val="18"/>
              </w:rPr>
            </w:r>
            <w:r>
              <w:rPr>
                <w:sz w:val="18"/>
              </w:rPr>
              <w:t>all eight predictors</w:t>
            </w:r>
          </w:p>
        </w:tc>
        <w:tc>
          <w:tcPr>
            <w:tcW w:type="dxa" w:w="2340"/>
          </w:tcPr>
          <w:p>
            <w:pPr>
              <w:spacing w:line="240" w:lineRule="auto"/>
            </w:pPr>
            <w:r>
              <w:rPr>
                <w:sz w:val="18"/>
              </w:rPr>
            </w:r>
            <w:r>
              <w:rPr>
                <w:sz w:val="18"/>
              </w:rPr>
              <w:t>0.8746</w:t>
            </w:r>
          </w:p>
        </w:tc>
        <w:tc>
          <w:tcPr>
            <w:tcW w:type="dxa" w:w="2340"/>
          </w:tcPr>
          <w:p>
            <w:pPr>
              <w:spacing w:line="240" w:lineRule="auto"/>
            </w:pPr>
            <w:r>
              <w:rPr>
                <w:sz w:val="18"/>
              </w:rPr>
            </w:r>
            <w:r>
              <w:rPr>
                <w:b/>
                <w:sz w:val="18"/>
              </w:rPr>
              <w:t>0.8507</w:t>
            </w:r>
          </w:p>
        </w:tc>
      </w:tr>
      <w:tr>
        <w:tc>
          <w:tcPr>
            <w:tcW w:type="dxa" w:w="2340"/>
          </w:tcPr>
          <w:p>
            <w:pPr>
              <w:spacing w:line="240" w:lineRule="auto"/>
            </w:pPr>
            <w:r>
              <w:rPr>
                <w:sz w:val="18"/>
              </w:rPr>
            </w:r>
            <w:r>
              <w:rPr>
                <w:sz w:val="18"/>
              </w:rPr>
              <w:t>C</w:t>
            </w:r>
          </w:p>
        </w:tc>
        <w:tc>
          <w:tcPr>
            <w:tcW w:type="dxa" w:w="2340"/>
          </w:tcPr>
          <w:p>
            <w:pPr>
              <w:spacing w:line="240" w:lineRule="auto"/>
            </w:pPr>
            <w:r>
              <w:rPr>
                <w:sz w:val="18"/>
              </w:rPr>
            </w:r>
            <w:r>
              <w:rPr>
                <w:rFonts w:ascii="Consolas" w:hAnsi="Consolas"/>
                <w:color w:val="2F6F9F"/>
                <w:sz w:val="18"/>
              </w:rPr>
              <w:t>orders + Q2 + Q3 + Q4 + elec_line_share</w:t>
            </w:r>
          </w:p>
        </w:tc>
        <w:tc>
          <w:tcPr>
            <w:tcW w:type="dxa" w:w="2340"/>
          </w:tcPr>
          <w:p>
            <w:pPr>
              <w:spacing w:line="240" w:lineRule="auto"/>
            </w:pPr>
            <w:r>
              <w:rPr>
                <w:sz w:val="18"/>
              </w:rPr>
            </w:r>
            <w:r>
              <w:rPr>
                <w:sz w:val="18"/>
              </w:rPr>
              <w:t>0.8695</w:t>
            </w:r>
          </w:p>
        </w:tc>
        <w:tc>
          <w:tcPr>
            <w:tcW w:type="dxa" w:w="2340"/>
          </w:tcPr>
          <w:p>
            <w:pPr>
              <w:spacing w:line="240" w:lineRule="auto"/>
            </w:pPr>
            <w:r>
              <w:rPr>
                <w:sz w:val="18"/>
              </w:rPr>
            </w:r>
            <w:r>
              <w:rPr>
                <w:b/>
                <w:sz w:val="18"/>
              </w:rPr>
              <w:t>0.8550</w:t>
            </w:r>
          </w:p>
        </w:tc>
      </w:tr>
    </w:tbl>
    <w:p>
      <w:pPr>
        <w:spacing w:after="200" w:line="240" w:lineRule="auto"/>
        <w:jc w:val="center"/>
      </w:pPr>
      <w:r>
        <w:rPr>
          <w:i/>
          <w:color w:val="7B8994"/>
          <w:sz w:val="20"/>
        </w:rPr>
        <w:t>Table 18. Three candidate models and their fit.</w:t>
      </w:r>
    </w:p>
    <w:p>
      <w:r>
        <w:rPr>
          <w:b/>
        </w:rPr>
        <w:t>Model B is the instructive failure.</w:t>
      </w:r>
      <w:r>
        <w:t xml:space="preserve"> Adding every predictor raised R² and </w:t>
      </w:r>
      <w:r>
        <w:rPr>
          <w:i/>
        </w:rPr>
        <w:t>lowered</w:t>
      </w:r>
      <w:r>
        <w:t xml:space="preserve"> adjusted R² below the one-variable baseline — the signature of predictors bought with degrees of freedom rather than information. Its variance inflation factors show why: orders at </w:t>
      </w:r>
      <w:r>
        <w:rPr>
          <w:b/>
        </w:rPr>
        <w:t>13.67</w:t>
      </w:r>
      <w:r>
        <w:t>, units at 7.64, customers at 5.48. Those three are 0.81 to 0.92 correlated with each other because they all measure the same thing — how much trade happened. Dropping units and customers brings every VIF in Model C below 1.8.</w:t>
      </w:r>
    </w:p>
    <w:p>
      <w:pPr>
        <w:pStyle w:val="Heading2"/>
      </w:pPr>
      <w:r>
        <w:t>7.2 The reported model</w:t>
      </w:r>
    </w:p>
    <w:p>
      <w:r>
        <w:t>Model C, refitted on all 57 months once the holdout had done its job of selecting the specification:</w:t>
      </w:r>
    </w:p>
    <w:p>
      <w:pPr>
        <w:ind w:left="432"/>
      </w:pPr>
      <w:r>
        <w:rPr>
          <w:b/>
          <w:i/>
        </w:rPr>
        <w:t>Monthly Revenue = −12,275.79 + 5,219.51 × Orders + 11,382.65 × Q2 + 9,624.56 × Q3 + 5,989.42 × Q4 + 12,091.77 × Electronics line share</w:t>
      </w:r>
    </w:p>
    <w:tbl>
      <w:tblPr>
        <w:tblStyle w:val="LightGrid-Accent1"/>
        <w:tblW w:type="auto" w:w="0"/>
        <w:jc w:val="center"/>
        <w:tblLayout w:type="autofit"/>
        <w:tblLook w:firstColumn="1" w:firstRow="1" w:lastColumn="0" w:lastRow="0" w:noHBand="0" w:noVBand="1" w:val="04A0"/>
      </w:tblPr>
      <w:tblGrid>
        <w:gridCol w:w="2340"/>
        <w:gridCol w:w="2340"/>
        <w:gridCol w:w="2340"/>
        <w:gridCol w:w="2340"/>
      </w:tblGrid>
      <w:tr>
        <w:tc>
          <w:tcPr>
            <w:tcW w:type="dxa" w:w="2340"/>
          </w:tcPr>
          <w:p>
            <w:r>
              <w:rPr>
                <w:b/>
              </w:rPr>
            </w:r>
            <w:r>
              <w:rPr>
                <w:b/>
              </w:rPr>
              <w:t>Term</w:t>
            </w:r>
          </w:p>
        </w:tc>
        <w:tc>
          <w:tcPr>
            <w:tcW w:type="dxa" w:w="2340"/>
          </w:tcPr>
          <w:p>
            <w:r>
              <w:rPr>
                <w:b/>
              </w:rPr>
            </w:r>
            <w:r>
              <w:rPr>
                <w:b/>
              </w:rPr>
              <w:t>Coefficient</w:t>
            </w:r>
          </w:p>
        </w:tc>
        <w:tc>
          <w:tcPr>
            <w:tcW w:type="dxa" w:w="2340"/>
          </w:tcPr>
          <w:p>
            <w:r>
              <w:rPr>
                <w:b/>
              </w:rPr>
            </w:r>
            <w:r>
              <w:rPr>
                <w:b/>
              </w:rPr>
              <w:t>Robust SE</w:t>
            </w:r>
          </w:p>
        </w:tc>
        <w:tc>
          <w:tcPr>
            <w:tcW w:type="dxa" w:w="2340"/>
          </w:tcPr>
          <w:p>
            <w:r>
              <w:rPr>
                <w:b/>
              </w:rPr>
            </w:r>
            <w:r>
              <w:rPr>
                <w:b/>
              </w:rPr>
              <w:t>Robust p</w:t>
            </w:r>
          </w:p>
        </w:tc>
      </w:tr>
      <w:tr>
        <w:tc>
          <w:tcPr>
            <w:tcW w:type="dxa" w:w="2340"/>
          </w:tcPr>
          <w:p>
            <w:pPr>
              <w:spacing w:line="240" w:lineRule="auto"/>
            </w:pPr>
            <w:r>
              <w:rPr>
                <w:sz w:val="18"/>
              </w:rPr>
            </w:r>
            <w:r>
              <w:rPr>
                <w:sz w:val="18"/>
              </w:rPr>
              <w:t>Intercept</w:t>
            </w:r>
          </w:p>
        </w:tc>
        <w:tc>
          <w:tcPr>
            <w:tcW w:type="dxa" w:w="2340"/>
          </w:tcPr>
          <w:p>
            <w:pPr>
              <w:spacing w:line="240" w:lineRule="auto"/>
            </w:pPr>
            <w:r>
              <w:rPr>
                <w:sz w:val="18"/>
              </w:rPr>
            </w:r>
            <w:r>
              <w:rPr>
                <w:sz w:val="18"/>
              </w:rPr>
              <w:t>−12,275.79</w:t>
            </w:r>
          </w:p>
        </w:tc>
        <w:tc>
          <w:tcPr>
            <w:tcW w:type="dxa" w:w="2340"/>
          </w:tcPr>
          <w:p>
            <w:pPr>
              <w:spacing w:line="240" w:lineRule="auto"/>
            </w:pPr>
            <w:r>
              <w:rPr>
                <w:sz w:val="18"/>
              </w:rPr>
            </w:r>
            <w:r>
              <w:rPr>
                <w:sz w:val="18"/>
              </w:rPr>
              <w:t>9,775.60</w:t>
            </w:r>
          </w:p>
        </w:tc>
        <w:tc>
          <w:tcPr>
            <w:tcW w:type="dxa" w:w="2340"/>
          </w:tcPr>
          <w:p>
            <w:pPr>
              <w:spacing w:line="240" w:lineRule="auto"/>
            </w:pPr>
            <w:r>
              <w:rPr>
                <w:sz w:val="18"/>
              </w:rPr>
            </w:r>
            <w:r>
              <w:rPr>
                <w:sz w:val="18"/>
              </w:rPr>
              <w:t>0.215</w:t>
            </w:r>
          </w:p>
        </w:tc>
      </w:tr>
      <w:tr>
        <w:tc>
          <w:tcPr>
            <w:tcW w:type="dxa" w:w="2340"/>
          </w:tcPr>
          <w:p>
            <w:pPr>
              <w:spacing w:line="240" w:lineRule="auto"/>
            </w:pPr>
            <w:r>
              <w:rPr>
                <w:sz w:val="18"/>
              </w:rPr>
            </w:r>
            <w:r>
              <w:rPr>
                <w:b/>
                <w:sz w:val="18"/>
              </w:rPr>
              <w:t>Orders</w:t>
            </w:r>
          </w:p>
        </w:tc>
        <w:tc>
          <w:tcPr>
            <w:tcW w:type="dxa" w:w="2340"/>
          </w:tcPr>
          <w:p>
            <w:pPr>
              <w:spacing w:line="240" w:lineRule="auto"/>
            </w:pPr>
            <w:r>
              <w:rPr>
                <w:sz w:val="18"/>
              </w:rPr>
            </w:r>
            <w:r>
              <w:rPr>
                <w:b/>
                <w:sz w:val="18"/>
              </w:rPr>
              <w:t>5,219.51</w:t>
            </w:r>
          </w:p>
        </w:tc>
        <w:tc>
          <w:tcPr>
            <w:tcW w:type="dxa" w:w="2340"/>
          </w:tcPr>
          <w:p>
            <w:pPr>
              <w:spacing w:line="240" w:lineRule="auto"/>
            </w:pPr>
            <w:r>
              <w:rPr>
                <w:sz w:val="18"/>
              </w:rPr>
            </w:r>
            <w:r>
              <w:rPr>
                <w:sz w:val="18"/>
              </w:rPr>
              <w:t>388.49</w:t>
            </w:r>
          </w:p>
        </w:tc>
        <w:tc>
          <w:tcPr>
            <w:tcW w:type="dxa" w:w="2340"/>
          </w:tcPr>
          <w:p>
            <w:pPr>
              <w:spacing w:line="240" w:lineRule="auto"/>
            </w:pPr>
            <w:r>
              <w:rPr>
                <w:sz w:val="18"/>
              </w:rPr>
            </w:r>
            <w:r>
              <w:rPr>
                <w:b/>
                <w:sz w:val="18"/>
              </w:rPr>
              <w:t>2.21 × 10⁻¹⁸</w:t>
            </w:r>
          </w:p>
        </w:tc>
      </w:tr>
      <w:tr>
        <w:tc>
          <w:tcPr>
            <w:tcW w:type="dxa" w:w="2340"/>
          </w:tcPr>
          <w:p>
            <w:pPr>
              <w:spacing w:line="240" w:lineRule="auto"/>
            </w:pPr>
            <w:r>
              <w:rPr>
                <w:sz w:val="18"/>
              </w:rPr>
            </w:r>
            <w:r>
              <w:rPr>
                <w:b/>
                <w:sz w:val="18"/>
              </w:rPr>
              <w:t>Q2</w:t>
            </w:r>
          </w:p>
        </w:tc>
        <w:tc>
          <w:tcPr>
            <w:tcW w:type="dxa" w:w="2340"/>
          </w:tcPr>
          <w:p>
            <w:pPr>
              <w:spacing w:line="240" w:lineRule="auto"/>
            </w:pPr>
            <w:r>
              <w:rPr>
                <w:sz w:val="18"/>
              </w:rPr>
            </w:r>
            <w:r>
              <w:rPr>
                <w:b/>
                <w:sz w:val="18"/>
              </w:rPr>
              <w:t>11,382.65</w:t>
            </w:r>
          </w:p>
        </w:tc>
        <w:tc>
          <w:tcPr>
            <w:tcW w:type="dxa" w:w="2340"/>
          </w:tcPr>
          <w:p>
            <w:pPr>
              <w:spacing w:line="240" w:lineRule="auto"/>
            </w:pPr>
            <w:r>
              <w:rPr>
                <w:sz w:val="18"/>
              </w:rPr>
            </w:r>
            <w:r>
              <w:rPr>
                <w:sz w:val="18"/>
              </w:rPr>
              <w:t>5,484.91</w:t>
            </w:r>
          </w:p>
        </w:tc>
        <w:tc>
          <w:tcPr>
            <w:tcW w:type="dxa" w:w="2340"/>
          </w:tcPr>
          <w:p>
            <w:pPr>
              <w:spacing w:line="240" w:lineRule="auto"/>
            </w:pPr>
            <w:r>
              <w:rPr>
                <w:sz w:val="18"/>
              </w:rPr>
            </w:r>
            <w:r>
              <w:rPr>
                <w:b/>
                <w:sz w:val="18"/>
              </w:rPr>
              <w:t>0.043</w:t>
            </w:r>
          </w:p>
        </w:tc>
      </w:tr>
      <w:tr>
        <w:tc>
          <w:tcPr>
            <w:tcW w:type="dxa" w:w="2340"/>
          </w:tcPr>
          <w:p>
            <w:pPr>
              <w:spacing w:line="240" w:lineRule="auto"/>
            </w:pPr>
            <w:r>
              <w:rPr>
                <w:sz w:val="18"/>
              </w:rPr>
            </w:r>
            <w:r>
              <w:rPr>
                <w:sz w:val="18"/>
              </w:rPr>
              <w:t>Q3</w:t>
            </w:r>
          </w:p>
        </w:tc>
        <w:tc>
          <w:tcPr>
            <w:tcW w:type="dxa" w:w="2340"/>
          </w:tcPr>
          <w:p>
            <w:pPr>
              <w:spacing w:line="240" w:lineRule="auto"/>
            </w:pPr>
            <w:r>
              <w:rPr>
                <w:sz w:val="18"/>
              </w:rPr>
            </w:r>
            <w:r>
              <w:rPr>
                <w:sz w:val="18"/>
              </w:rPr>
              <w:t>9,624.56</w:t>
            </w:r>
          </w:p>
        </w:tc>
        <w:tc>
          <w:tcPr>
            <w:tcW w:type="dxa" w:w="2340"/>
          </w:tcPr>
          <w:p>
            <w:pPr>
              <w:spacing w:line="240" w:lineRule="auto"/>
            </w:pPr>
            <w:r>
              <w:rPr>
                <w:sz w:val="18"/>
              </w:rPr>
            </w:r>
            <w:r>
              <w:rPr>
                <w:sz w:val="18"/>
              </w:rPr>
              <w:t>5,455.74</w:t>
            </w:r>
          </w:p>
        </w:tc>
        <w:tc>
          <w:tcPr>
            <w:tcW w:type="dxa" w:w="2340"/>
          </w:tcPr>
          <w:p>
            <w:pPr>
              <w:spacing w:line="240" w:lineRule="auto"/>
            </w:pPr>
            <w:r>
              <w:rPr>
                <w:sz w:val="18"/>
              </w:rPr>
            </w:r>
            <w:r>
              <w:rPr>
                <w:sz w:val="18"/>
              </w:rPr>
              <w:t>0.084</w:t>
            </w:r>
          </w:p>
        </w:tc>
      </w:tr>
      <w:tr>
        <w:tc>
          <w:tcPr>
            <w:tcW w:type="dxa" w:w="2340"/>
          </w:tcPr>
          <w:p>
            <w:pPr>
              <w:spacing w:line="240" w:lineRule="auto"/>
            </w:pPr>
            <w:r>
              <w:rPr>
                <w:sz w:val="18"/>
              </w:rPr>
            </w:r>
            <w:r>
              <w:rPr>
                <w:sz w:val="18"/>
              </w:rPr>
              <w:t>Q4</w:t>
            </w:r>
          </w:p>
        </w:tc>
        <w:tc>
          <w:tcPr>
            <w:tcW w:type="dxa" w:w="2340"/>
          </w:tcPr>
          <w:p>
            <w:pPr>
              <w:spacing w:line="240" w:lineRule="auto"/>
            </w:pPr>
            <w:r>
              <w:rPr>
                <w:sz w:val="18"/>
              </w:rPr>
            </w:r>
            <w:r>
              <w:rPr>
                <w:sz w:val="18"/>
              </w:rPr>
              <w:t>5,989.42</w:t>
            </w:r>
          </w:p>
        </w:tc>
        <w:tc>
          <w:tcPr>
            <w:tcW w:type="dxa" w:w="2340"/>
          </w:tcPr>
          <w:p>
            <w:pPr>
              <w:spacing w:line="240" w:lineRule="auto"/>
            </w:pPr>
            <w:r>
              <w:rPr>
                <w:sz w:val="18"/>
              </w:rPr>
            </w:r>
            <w:r>
              <w:rPr>
                <w:sz w:val="18"/>
              </w:rPr>
              <w:t>6,199.18</w:t>
            </w:r>
          </w:p>
        </w:tc>
        <w:tc>
          <w:tcPr>
            <w:tcW w:type="dxa" w:w="2340"/>
          </w:tcPr>
          <w:p>
            <w:pPr>
              <w:spacing w:line="240" w:lineRule="auto"/>
            </w:pPr>
            <w:r>
              <w:rPr>
                <w:sz w:val="18"/>
              </w:rPr>
            </w:r>
            <w:r>
              <w:rPr>
                <w:sz w:val="18"/>
              </w:rPr>
              <w:t>0.339</w:t>
            </w:r>
          </w:p>
        </w:tc>
      </w:tr>
      <w:tr>
        <w:tc>
          <w:tcPr>
            <w:tcW w:type="dxa" w:w="2340"/>
          </w:tcPr>
          <w:p>
            <w:pPr>
              <w:spacing w:line="240" w:lineRule="auto"/>
            </w:pPr>
            <w:r>
              <w:rPr>
                <w:sz w:val="18"/>
              </w:rPr>
            </w:r>
            <w:r>
              <w:rPr>
                <w:sz w:val="18"/>
              </w:rPr>
              <w:t>Electronics line share</w:t>
            </w:r>
          </w:p>
        </w:tc>
        <w:tc>
          <w:tcPr>
            <w:tcW w:type="dxa" w:w="2340"/>
          </w:tcPr>
          <w:p>
            <w:pPr>
              <w:spacing w:line="240" w:lineRule="auto"/>
            </w:pPr>
            <w:r>
              <w:rPr>
                <w:sz w:val="18"/>
              </w:rPr>
            </w:r>
            <w:r>
              <w:rPr>
                <w:sz w:val="18"/>
              </w:rPr>
              <w:t>12,091.77</w:t>
            </w:r>
          </w:p>
        </w:tc>
        <w:tc>
          <w:tcPr>
            <w:tcW w:type="dxa" w:w="2340"/>
          </w:tcPr>
          <w:p>
            <w:pPr>
              <w:spacing w:line="240" w:lineRule="auto"/>
            </w:pPr>
            <w:r>
              <w:rPr>
                <w:sz w:val="18"/>
              </w:rPr>
            </w:r>
            <w:r>
              <w:rPr>
                <w:sz w:val="18"/>
              </w:rPr>
              <w:t>16,873.75</w:t>
            </w:r>
          </w:p>
        </w:tc>
        <w:tc>
          <w:tcPr>
            <w:tcW w:type="dxa" w:w="2340"/>
          </w:tcPr>
          <w:p>
            <w:pPr>
              <w:spacing w:line="240" w:lineRule="auto"/>
            </w:pPr>
            <w:r>
              <w:rPr>
                <w:sz w:val="18"/>
              </w:rPr>
            </w:r>
            <w:r>
              <w:rPr>
                <w:sz w:val="18"/>
              </w:rPr>
              <w:t>0.477</w:t>
            </w:r>
          </w:p>
        </w:tc>
      </w:tr>
    </w:tbl>
    <w:p>
      <w:pPr>
        <w:spacing w:after="200" w:line="240" w:lineRule="auto"/>
        <w:jc w:val="center"/>
      </w:pPr>
      <w:r>
        <w:rPr>
          <w:i/>
          <w:color w:val="7B8994"/>
          <w:sz w:val="20"/>
        </w:rPr>
        <w:t>Table 19. Model C coefficients with heteroscedasticity-consistent standard errors.</w:t>
      </w:r>
    </w:p>
    <w:p>
      <w:r>
        <w:t>R² = 0.8647, adjusted R² = 0.8514, n = 57.</w:t>
      </w:r>
    </w:p>
    <w:p>
      <w:r>
        <w:rPr>
          <w:b/>
        </w:rPr>
        <w:t>On the standard errors.</w:t>
      </w:r>
      <w:r>
        <w:t xml:space="preserve"> The Breusch-Pagan test rejects constant variance (p = 0.0023), so classical standard errors are unreliable and heteroscedasticity-consistent (HC1) errors are reported instead. This is not cosmetic: under classical errors Q2 sits at p = 0.062 and is not significant; under robust errors it is p = 0.043 and is. Both are close enough to 0.05 that the honest statement is that </w:t>
      </w:r>
      <w:r>
        <w:rPr>
          <w:b/>
        </w:rPr>
        <w:t>Q2 is marginally significant</w:t>
      </w:r>
      <w:r>
        <w:t>.</w:t>
      </w:r>
    </w:p>
    <w:p>
      <w:r>
        <w:rPr>
          <w:b/>
        </w:rPr>
        <w:t>The slope is the same number three times over</w:t>
      </w:r>
      <w:r>
        <w:t xml:space="preserve"> — 5,219.51 here, 5,224.25 in the simple regression, and 5,178.09 as the plain mean order value. Three routes, agreeing within 0.8%.</w:t>
      </w:r>
    </w:p>
    <w:p>
      <w:pPr>
        <w:pStyle w:val="Heading2"/>
      </w:pPr>
      <w:r>
        <w:t>7.3 Model evaluation</w:t>
      </w:r>
    </w:p>
    <w:p>
      <w:r>
        <w:t>Evaluated on six months the models never saw, July to December 2024:</w:t>
      </w:r>
    </w:p>
    <w:tbl>
      <w:tblPr>
        <w:tblStyle w:val="LightGrid-Accent1"/>
        <w:tblW w:type="auto" w:w="0"/>
        <w:jc w:val="center"/>
        <w:tblLayout w:type="autofit"/>
        <w:tblLook w:firstColumn="1" w:firstRow="1" w:lastColumn="0" w:lastRow="0" w:noHBand="0" w:noVBand="1" w:val="04A0"/>
      </w:tblPr>
      <w:tblGrid>
        <w:gridCol w:w="4680"/>
        <w:gridCol w:w="4680"/>
      </w:tblGrid>
      <w:tr>
        <w:tc>
          <w:tcPr>
            <w:tcW w:type="dxa" w:w="4680"/>
          </w:tcPr>
          <w:p>
            <w:r>
              <w:rPr>
                <w:b/>
              </w:rPr>
            </w:r>
            <w:r>
              <w:rPr>
                <w:b/>
              </w:rPr>
              <w:t>Model</w:t>
            </w:r>
          </w:p>
        </w:tc>
        <w:tc>
          <w:tcPr>
            <w:tcW w:type="dxa" w:w="4680"/>
          </w:tcPr>
          <w:p>
            <w:r>
              <w:rPr>
                <w:b/>
              </w:rPr>
            </w:r>
            <w:r>
              <w:rPr>
                <w:b/>
              </w:rPr>
              <w:t>Mean absolute percentage error</w:t>
            </w:r>
          </w:p>
        </w:tc>
      </w:tr>
      <w:tr>
        <w:tc>
          <w:tcPr>
            <w:tcW w:type="dxa" w:w="4680"/>
          </w:tcPr>
          <w:p>
            <w:pPr>
              <w:spacing w:line="240" w:lineRule="auto"/>
            </w:pPr>
            <w:r>
              <w:rPr>
                <w:sz w:val="18"/>
              </w:rPr>
            </w:r>
            <w:r>
              <w:rPr>
                <w:sz w:val="18"/>
              </w:rPr>
              <w:t>A — orders only</w:t>
            </w:r>
          </w:p>
        </w:tc>
        <w:tc>
          <w:tcPr>
            <w:tcW w:type="dxa" w:w="4680"/>
          </w:tcPr>
          <w:p>
            <w:pPr>
              <w:spacing w:line="240" w:lineRule="auto"/>
            </w:pPr>
            <w:r>
              <w:rPr>
                <w:sz w:val="18"/>
              </w:rPr>
            </w:r>
            <w:r>
              <w:rPr>
                <w:b/>
                <w:sz w:val="18"/>
              </w:rPr>
              <w:t>9.3%</w:t>
            </w:r>
          </w:p>
        </w:tc>
      </w:tr>
      <w:tr>
        <w:tc>
          <w:tcPr>
            <w:tcW w:type="dxa" w:w="4680"/>
          </w:tcPr>
          <w:p>
            <w:pPr>
              <w:spacing w:line="240" w:lineRule="auto"/>
            </w:pPr>
            <w:r>
              <w:rPr>
                <w:sz w:val="18"/>
              </w:rPr>
            </w:r>
            <w:r>
              <w:rPr>
                <w:sz w:val="18"/>
              </w:rPr>
              <w:t>C — reduced multiple</w:t>
            </w:r>
          </w:p>
        </w:tc>
        <w:tc>
          <w:tcPr>
            <w:tcW w:type="dxa" w:w="4680"/>
          </w:tcPr>
          <w:p>
            <w:pPr>
              <w:spacing w:line="240" w:lineRule="auto"/>
            </w:pPr>
            <w:r>
              <w:rPr>
                <w:sz w:val="18"/>
              </w:rPr>
            </w:r>
            <w:r>
              <w:rPr>
                <w:sz w:val="18"/>
              </w:rPr>
              <w:t>9.8%</w:t>
            </w:r>
          </w:p>
        </w:tc>
      </w:tr>
    </w:tbl>
    <w:p>
      <w:pPr>
        <w:spacing w:after="200" w:line="240" w:lineRule="auto"/>
        <w:jc w:val="center"/>
      </w:pPr>
      <w:r>
        <w:rPr>
          <w:i/>
          <w:color w:val="7B8994"/>
          <w:sz w:val="20"/>
        </w:rPr>
        <w:t>Table 20. Holdout performance over six unseen months.</w:t>
      </w:r>
    </w:p>
    <w:p>
      <w:r>
        <w:rPr>
          <w:b/>
        </w:rPr>
        <w:t>The multiple regression did not beat the simple one out of sample.</w:t>
      </w:r>
      <w:r>
        <w:t xml:space="preserve"> This is the second occasion in this project where a more elaborate method lost to a simpler one, and we report it rather than bury it. Both models missed December 2024 badly — predicting about 130,000 against an actual 98,879, a 32% error — and that single month accounts for most of the difference between them.</w:t>
      </w:r>
    </w:p>
    <w:p>
      <w:r>
        <w:rPr>
          <w:b/>
        </w:rPr>
        <w:t>The extension's value is diagnostic, not predictive.</w:t>
      </w:r>
      <w:r>
        <w:t xml:space="preserve"> Units sold (p = 0.79), customer count (p = 0.27), product mix (p = 0.48) and elapsed time (p = 0.55) were each given a fair chance alongside order count, and none explained anything. That is precisely the evidence justifying the dashboard's central design decision.</w:t>
      </w:r>
    </w:p>
    <w:p>
      <w:pPr>
        <w:jc w:val="center"/>
      </w:pPr>
      <w:r>
        <w:drawing>
          <wp:inline xmlns:a="http://schemas.openxmlformats.org/drawingml/2006/main" xmlns:pic="http://schemas.openxmlformats.org/drawingml/2006/picture">
            <wp:extent cx="5486400" cy="2743200"/>
            <wp:docPr id="10" name="Picture 10"/>
            <wp:cNvGraphicFramePr>
              <a:graphicFrameLocks noChangeAspect="1"/>
            </wp:cNvGraphicFramePr>
            <a:graphic>
              <a:graphicData uri="http://schemas.openxmlformats.org/drawingml/2006/picture">
                <pic:pic>
                  <pic:nvPicPr>
                    <pic:cNvPr id="0" name="cp4_fig1_actual_vs_predicted.png"/>
                    <pic:cNvPicPr/>
                  </pic:nvPicPr>
                  <pic:blipFill>
                    <a:blip r:embed="rId18"/>
                    <a:stretch>
                      <a:fillRect/>
                    </a:stretch>
                  </pic:blipFill>
                  <pic:spPr>
                    <a:xfrm>
                      <a:off x="0" y="0"/>
                      <a:ext cx="5486400" cy="2743200"/>
                    </a:xfrm>
                    <a:prstGeom prst="rect"/>
                  </pic:spPr>
                </pic:pic>
              </a:graphicData>
            </a:graphic>
          </wp:inline>
        </w:drawing>
      </w:r>
    </w:p>
    <w:p>
      <w:pPr>
        <w:spacing w:after="200" w:line="240" w:lineRule="auto"/>
        <w:jc w:val="center"/>
      </w:pPr>
      <w:r>
        <w:rPr>
          <w:i/>
          <w:color w:val="7B8994"/>
          <w:sz w:val="20"/>
        </w:rPr>
        <w:t>Figure 10. Actual against predicted monthly revenue, trained on 51 months with six held out.</w:t>
      </w:r>
    </w:p>
    <w:p>
      <w:pPr>
        <w:pStyle w:val="Heading2"/>
      </w:pPr>
      <w:r>
        <w:t>7.4 Business predictions</w:t>
      </w:r>
    </w:p>
    <w:tbl>
      <w:tblPr>
        <w:tblStyle w:val="LightGrid-Accent1"/>
        <w:tblW w:type="auto" w:w="0"/>
        <w:jc w:val="center"/>
        <w:tblLayout w:type="autofit"/>
        <w:tblLook w:firstColumn="1" w:firstRow="1" w:lastColumn="0" w:lastRow="0" w:noHBand="0" w:noVBand="1" w:val="04A0"/>
      </w:tblPr>
      <w:tblGrid>
        <w:gridCol w:w="2340"/>
        <w:gridCol w:w="2340"/>
        <w:gridCol w:w="2340"/>
        <w:gridCol w:w="2340"/>
      </w:tblGrid>
      <w:tr>
        <w:tc>
          <w:tcPr>
            <w:tcW w:type="dxa" w:w="2340"/>
          </w:tcPr>
          <w:p>
            <w:r>
              <w:rPr>
                <w:b/>
              </w:rPr>
            </w:r>
            <w:r>
              <w:rPr>
                <w:b/>
              </w:rPr>
              <w:t>Orders per month</w:t>
            </w:r>
          </w:p>
        </w:tc>
        <w:tc>
          <w:tcPr>
            <w:tcW w:type="dxa" w:w="2340"/>
          </w:tcPr>
          <w:p>
            <w:r>
              <w:rPr>
                <w:b/>
              </w:rPr>
            </w:r>
            <w:r>
              <w:rPr>
                <w:b/>
              </w:rPr>
              <w:t>Q1</w:t>
            </w:r>
          </w:p>
        </w:tc>
        <w:tc>
          <w:tcPr>
            <w:tcW w:type="dxa" w:w="2340"/>
          </w:tcPr>
          <w:p>
            <w:r>
              <w:rPr>
                <w:b/>
              </w:rPr>
            </w:r>
            <w:r>
              <w:rPr>
                <w:b/>
              </w:rPr>
              <w:t>Q2</w:t>
            </w:r>
          </w:p>
        </w:tc>
        <w:tc>
          <w:tcPr>
            <w:tcW w:type="dxa" w:w="2340"/>
          </w:tcPr>
          <w:p>
            <w:r>
              <w:rPr>
                <w:b/>
              </w:rPr>
            </w:r>
            <w:r>
              <w:rPr>
                <w:b/>
              </w:rPr>
              <w:t>Q4</w:t>
            </w:r>
          </w:p>
        </w:tc>
      </w:tr>
      <w:tr>
        <w:tc>
          <w:tcPr>
            <w:tcW w:type="dxa" w:w="2340"/>
          </w:tcPr>
          <w:p>
            <w:pPr>
              <w:spacing w:line="240" w:lineRule="auto"/>
            </w:pPr>
            <w:r>
              <w:rPr>
                <w:sz w:val="18"/>
              </w:rPr>
            </w:r>
            <w:r>
              <w:rPr>
                <w:sz w:val="18"/>
              </w:rPr>
              <w:t>20 — the 2024 level</w:t>
            </w:r>
          </w:p>
        </w:tc>
        <w:tc>
          <w:tcPr>
            <w:tcW w:type="dxa" w:w="2340"/>
          </w:tcPr>
          <w:p>
            <w:pPr>
              <w:spacing w:line="240" w:lineRule="auto"/>
            </w:pPr>
            <w:r>
              <w:rPr>
                <w:sz w:val="18"/>
              </w:rPr>
            </w:r>
            <w:r>
              <w:rPr>
                <w:sz w:val="18"/>
              </w:rPr>
              <w:t>96,027</w:t>
            </w:r>
          </w:p>
        </w:tc>
        <w:tc>
          <w:tcPr>
            <w:tcW w:type="dxa" w:w="2340"/>
          </w:tcPr>
          <w:p>
            <w:pPr>
              <w:spacing w:line="240" w:lineRule="auto"/>
            </w:pPr>
            <w:r>
              <w:rPr>
                <w:sz w:val="18"/>
              </w:rPr>
            </w:r>
            <w:r>
              <w:rPr>
                <w:sz w:val="18"/>
              </w:rPr>
              <w:t>107,410</w:t>
            </w:r>
          </w:p>
        </w:tc>
        <w:tc>
          <w:tcPr>
            <w:tcW w:type="dxa" w:w="2340"/>
          </w:tcPr>
          <w:p>
            <w:pPr>
              <w:spacing w:line="240" w:lineRule="auto"/>
            </w:pPr>
            <w:r>
              <w:rPr>
                <w:sz w:val="18"/>
              </w:rPr>
            </w:r>
            <w:r>
              <w:rPr>
                <w:sz w:val="18"/>
              </w:rPr>
              <w:t>102,017</w:t>
            </w:r>
          </w:p>
        </w:tc>
      </w:tr>
      <w:tr>
        <w:tc>
          <w:tcPr>
            <w:tcW w:type="dxa" w:w="2340"/>
          </w:tcPr>
          <w:p>
            <w:pPr>
              <w:spacing w:line="240" w:lineRule="auto"/>
            </w:pPr>
            <w:r>
              <w:rPr>
                <w:sz w:val="18"/>
              </w:rPr>
            </w:r>
            <w:r>
              <w:rPr>
                <w:sz w:val="18"/>
              </w:rPr>
              <w:t>22</w:t>
            </w:r>
          </w:p>
        </w:tc>
        <w:tc>
          <w:tcPr>
            <w:tcW w:type="dxa" w:w="2340"/>
          </w:tcPr>
          <w:p>
            <w:pPr>
              <w:spacing w:line="240" w:lineRule="auto"/>
            </w:pPr>
            <w:r>
              <w:rPr>
                <w:sz w:val="18"/>
              </w:rPr>
            </w:r>
            <w:r>
              <w:rPr>
                <w:sz w:val="18"/>
              </w:rPr>
              <w:t>106,466</w:t>
            </w:r>
          </w:p>
        </w:tc>
        <w:tc>
          <w:tcPr>
            <w:tcW w:type="dxa" w:w="2340"/>
          </w:tcPr>
          <w:p>
            <w:pPr>
              <w:spacing w:line="240" w:lineRule="auto"/>
            </w:pPr>
            <w:r>
              <w:rPr>
                <w:sz w:val="18"/>
              </w:rPr>
            </w:r>
            <w:r>
              <w:rPr>
                <w:sz w:val="18"/>
              </w:rPr>
              <w:t>117,849</w:t>
            </w:r>
          </w:p>
        </w:tc>
        <w:tc>
          <w:tcPr>
            <w:tcW w:type="dxa" w:w="2340"/>
          </w:tcPr>
          <w:p>
            <w:pPr>
              <w:spacing w:line="240" w:lineRule="auto"/>
            </w:pPr>
            <w:r>
              <w:rPr>
                <w:sz w:val="18"/>
              </w:rPr>
            </w:r>
            <w:r>
              <w:rPr>
                <w:sz w:val="18"/>
              </w:rPr>
              <w:t>112,456</w:t>
            </w:r>
          </w:p>
        </w:tc>
      </w:tr>
      <w:tr>
        <w:tc>
          <w:tcPr>
            <w:tcW w:type="dxa" w:w="2340"/>
          </w:tcPr>
          <w:p>
            <w:pPr>
              <w:spacing w:line="240" w:lineRule="auto"/>
            </w:pPr>
            <w:r>
              <w:rPr>
                <w:sz w:val="18"/>
              </w:rPr>
            </w:r>
            <w:r>
              <w:rPr>
                <w:sz w:val="18"/>
              </w:rPr>
              <w:t>24 — the 2022 peak level</w:t>
            </w:r>
          </w:p>
        </w:tc>
        <w:tc>
          <w:tcPr>
            <w:tcW w:type="dxa" w:w="2340"/>
          </w:tcPr>
          <w:p>
            <w:pPr>
              <w:spacing w:line="240" w:lineRule="auto"/>
            </w:pPr>
            <w:r>
              <w:rPr>
                <w:sz w:val="18"/>
              </w:rPr>
            </w:r>
            <w:r>
              <w:rPr>
                <w:sz w:val="18"/>
              </w:rPr>
              <w:t>116,905</w:t>
            </w:r>
          </w:p>
        </w:tc>
        <w:tc>
          <w:tcPr>
            <w:tcW w:type="dxa" w:w="2340"/>
          </w:tcPr>
          <w:p>
            <w:pPr>
              <w:spacing w:line="240" w:lineRule="auto"/>
            </w:pPr>
            <w:r>
              <w:rPr>
                <w:sz w:val="18"/>
              </w:rPr>
            </w:r>
            <w:r>
              <w:rPr>
                <w:b/>
                <w:sz w:val="18"/>
              </w:rPr>
              <w:t>128,288</w:t>
            </w:r>
          </w:p>
        </w:tc>
        <w:tc>
          <w:tcPr>
            <w:tcW w:type="dxa" w:w="2340"/>
          </w:tcPr>
          <w:p>
            <w:pPr>
              <w:spacing w:line="240" w:lineRule="auto"/>
            </w:pPr>
            <w:r>
              <w:rPr>
                <w:sz w:val="18"/>
              </w:rPr>
            </w:r>
            <w:r>
              <w:rPr>
                <w:sz w:val="18"/>
              </w:rPr>
              <w:t>122,895</w:t>
            </w:r>
          </w:p>
        </w:tc>
      </w:tr>
    </w:tbl>
    <w:p>
      <w:pPr>
        <w:spacing w:after="200" w:line="240" w:lineRule="auto"/>
        <w:jc w:val="center"/>
      </w:pPr>
      <w:r>
        <w:rPr>
          <w:i/>
          <w:color w:val="7B8994"/>
          <w:sz w:val="20"/>
        </w:rPr>
        <w:t>Table 21. Predicted monthly revenue at different order volumes, at the mean Electronics line share.</w:t>
      </w:r>
    </w:p>
    <w:p>
      <w:pPr>
        <w:pStyle w:val="Heading2"/>
      </w:pPr>
      <w:r>
        <w:t>7.5 Assumptions, limitations and conditions</w:t>
      </w:r>
    </w:p>
    <w:tbl>
      <w:tblPr>
        <w:tblStyle w:val="LightGrid-Accent1"/>
        <w:tblW w:type="auto" w:w="0"/>
        <w:jc w:val="center"/>
        <w:tblLayout w:type="autofit"/>
        <w:tblLook w:firstColumn="1" w:firstRow="1" w:lastColumn="0" w:lastRow="0" w:noHBand="0" w:noVBand="1" w:val="04A0"/>
      </w:tblPr>
      <w:tblGrid>
        <w:gridCol w:w="3120"/>
        <w:gridCol w:w="3120"/>
        <w:gridCol w:w="3120"/>
      </w:tblGrid>
      <w:tr>
        <w:tc>
          <w:tcPr>
            <w:tcW w:type="dxa" w:w="3120"/>
          </w:tcPr>
          <w:p>
            <w:r>
              <w:rPr>
                <w:b/>
              </w:rPr>
            </w:r>
            <w:r>
              <w:rPr>
                <w:b/>
              </w:rPr>
              <w:t>Assumption</w:t>
            </w:r>
          </w:p>
        </w:tc>
        <w:tc>
          <w:tcPr>
            <w:tcW w:type="dxa" w:w="3120"/>
          </w:tcPr>
          <w:p>
            <w:r>
              <w:rPr>
                <w:b/>
              </w:rPr>
            </w:r>
            <w:r>
              <w:rPr>
                <w:b/>
              </w:rPr>
              <w:t>Test</w:t>
            </w:r>
          </w:p>
        </w:tc>
        <w:tc>
          <w:tcPr>
            <w:tcW w:type="dxa" w:w="3120"/>
          </w:tcPr>
          <w:p>
            <w:r>
              <w:rPr>
                <w:b/>
              </w:rPr>
            </w:r>
            <w:r>
              <w:rPr>
                <w:b/>
              </w:rPr>
              <w:t>Result</w:t>
            </w:r>
          </w:p>
        </w:tc>
      </w:tr>
      <w:tr>
        <w:tc>
          <w:tcPr>
            <w:tcW w:type="dxa" w:w="3120"/>
          </w:tcPr>
          <w:p>
            <w:pPr>
              <w:spacing w:line="240" w:lineRule="auto"/>
            </w:pPr>
            <w:r>
              <w:rPr>
                <w:sz w:val="18"/>
              </w:rPr>
            </w:r>
            <w:r>
              <w:rPr>
                <w:sz w:val="18"/>
              </w:rPr>
              <w:t>Linearity</w:t>
            </w:r>
          </w:p>
        </w:tc>
        <w:tc>
          <w:tcPr>
            <w:tcW w:type="dxa" w:w="3120"/>
          </w:tcPr>
          <w:p>
            <w:pPr>
              <w:spacing w:line="240" w:lineRule="auto"/>
            </w:pPr>
            <w:r>
              <w:rPr>
                <w:sz w:val="18"/>
              </w:rPr>
            </w:r>
            <w:r>
              <w:rPr>
                <w:sz w:val="18"/>
              </w:rPr>
              <w:t>Residuals against fitted</w:t>
            </w:r>
          </w:p>
        </w:tc>
        <w:tc>
          <w:tcPr>
            <w:tcW w:type="dxa" w:w="3120"/>
          </w:tcPr>
          <w:p>
            <w:pPr>
              <w:spacing w:line="240" w:lineRule="auto"/>
            </w:pPr>
            <w:r>
              <w:rPr>
                <w:sz w:val="18"/>
              </w:rPr>
            </w:r>
            <w:r>
              <w:rPr>
                <w:sz w:val="18"/>
              </w:rPr>
              <w:t>No pattern</w:t>
            </w:r>
          </w:p>
        </w:tc>
      </w:tr>
      <w:tr>
        <w:tc>
          <w:tcPr>
            <w:tcW w:type="dxa" w:w="3120"/>
          </w:tcPr>
          <w:p>
            <w:pPr>
              <w:spacing w:line="240" w:lineRule="auto"/>
            </w:pPr>
            <w:r>
              <w:rPr>
                <w:sz w:val="18"/>
              </w:rPr>
            </w:r>
            <w:r>
              <w:rPr>
                <w:sz w:val="18"/>
              </w:rPr>
              <w:t>Independence of errors</w:t>
            </w:r>
          </w:p>
        </w:tc>
        <w:tc>
          <w:tcPr>
            <w:tcW w:type="dxa" w:w="3120"/>
          </w:tcPr>
          <w:p>
            <w:pPr>
              <w:spacing w:line="240" w:lineRule="auto"/>
            </w:pPr>
            <w:r>
              <w:rPr>
                <w:sz w:val="18"/>
              </w:rPr>
            </w:r>
            <w:r>
              <w:rPr>
                <w:sz w:val="18"/>
              </w:rPr>
              <w:t>Durbin-Watson</w:t>
            </w:r>
          </w:p>
        </w:tc>
        <w:tc>
          <w:tcPr>
            <w:tcW w:type="dxa" w:w="3120"/>
          </w:tcPr>
          <w:p>
            <w:pPr>
              <w:spacing w:line="240" w:lineRule="auto"/>
            </w:pPr>
            <w:r>
              <w:rPr>
                <w:sz w:val="18"/>
              </w:rPr>
            </w:r>
            <w:r>
              <w:rPr>
                <w:sz w:val="18"/>
              </w:rPr>
              <w:t>2.078 — no autocorrelation</w:t>
            </w:r>
          </w:p>
        </w:tc>
      </w:tr>
      <w:tr>
        <w:tc>
          <w:tcPr>
            <w:tcW w:type="dxa" w:w="3120"/>
          </w:tcPr>
          <w:p>
            <w:pPr>
              <w:spacing w:line="240" w:lineRule="auto"/>
            </w:pPr>
            <w:r>
              <w:rPr>
                <w:sz w:val="18"/>
              </w:rPr>
            </w:r>
            <w:r>
              <w:rPr>
                <w:sz w:val="18"/>
              </w:rPr>
              <w:t>Normality of residuals</w:t>
            </w:r>
          </w:p>
        </w:tc>
        <w:tc>
          <w:tcPr>
            <w:tcW w:type="dxa" w:w="3120"/>
          </w:tcPr>
          <w:p>
            <w:pPr>
              <w:spacing w:line="240" w:lineRule="auto"/>
            </w:pPr>
            <w:r>
              <w:rPr>
                <w:sz w:val="18"/>
              </w:rPr>
            </w:r>
            <w:r>
              <w:rPr>
                <w:sz w:val="18"/>
              </w:rPr>
              <w:t>Shapiro-Wilk</w:t>
            </w:r>
          </w:p>
        </w:tc>
        <w:tc>
          <w:tcPr>
            <w:tcW w:type="dxa" w:w="3120"/>
          </w:tcPr>
          <w:p>
            <w:pPr>
              <w:spacing w:line="240" w:lineRule="auto"/>
            </w:pPr>
            <w:r>
              <w:rPr>
                <w:sz w:val="18"/>
              </w:rPr>
            </w:r>
            <w:r>
              <w:rPr>
                <w:sz w:val="18"/>
              </w:rPr>
              <w:t>p = 0.86 — passes</w:t>
            </w:r>
          </w:p>
        </w:tc>
      </w:tr>
      <w:tr>
        <w:tc>
          <w:tcPr>
            <w:tcW w:type="dxa" w:w="3120"/>
          </w:tcPr>
          <w:p>
            <w:pPr>
              <w:spacing w:line="240" w:lineRule="auto"/>
            </w:pPr>
            <w:r>
              <w:rPr>
                <w:sz w:val="18"/>
              </w:rPr>
            </w:r>
            <w:r>
              <w:rPr>
                <w:sz w:val="18"/>
              </w:rPr>
              <w:t>Constant variance</w:t>
            </w:r>
          </w:p>
        </w:tc>
        <w:tc>
          <w:tcPr>
            <w:tcW w:type="dxa" w:w="3120"/>
          </w:tcPr>
          <w:p>
            <w:pPr>
              <w:spacing w:line="240" w:lineRule="auto"/>
            </w:pPr>
            <w:r>
              <w:rPr>
                <w:sz w:val="18"/>
              </w:rPr>
            </w:r>
            <w:r>
              <w:rPr>
                <w:sz w:val="18"/>
              </w:rPr>
              <w:t>Breusch-Pagan</w:t>
            </w:r>
          </w:p>
        </w:tc>
        <w:tc>
          <w:tcPr>
            <w:tcW w:type="dxa" w:w="3120"/>
          </w:tcPr>
          <w:p>
            <w:pPr>
              <w:spacing w:line="240" w:lineRule="auto"/>
            </w:pPr>
            <w:r>
              <w:rPr>
                <w:sz w:val="18"/>
              </w:rPr>
            </w:r>
            <w:r>
              <w:rPr>
                <w:b/>
                <w:sz w:val="18"/>
              </w:rPr>
              <w:t>p = 0.0023 — fails</w:t>
            </w:r>
            <w:r>
              <w:rPr>
                <w:sz w:val="18"/>
              </w:rPr>
              <w:t>; robust SEs used</w:t>
            </w:r>
          </w:p>
        </w:tc>
      </w:tr>
      <w:tr>
        <w:tc>
          <w:tcPr>
            <w:tcW w:type="dxa" w:w="3120"/>
          </w:tcPr>
          <w:p>
            <w:pPr>
              <w:spacing w:line="240" w:lineRule="auto"/>
            </w:pPr>
            <w:r>
              <w:rPr>
                <w:sz w:val="18"/>
              </w:rPr>
            </w:r>
            <w:r>
              <w:rPr>
                <w:sz w:val="18"/>
              </w:rPr>
              <w:t>No multicollinearity</w:t>
            </w:r>
          </w:p>
        </w:tc>
        <w:tc>
          <w:tcPr>
            <w:tcW w:type="dxa" w:w="3120"/>
          </w:tcPr>
          <w:p>
            <w:pPr>
              <w:spacing w:line="240" w:lineRule="auto"/>
            </w:pPr>
            <w:r>
              <w:rPr>
                <w:sz w:val="18"/>
              </w:rPr>
            </w:r>
            <w:r>
              <w:rPr>
                <w:sz w:val="18"/>
              </w:rPr>
              <w:t>VIF</w:t>
            </w:r>
          </w:p>
        </w:tc>
        <w:tc>
          <w:tcPr>
            <w:tcW w:type="dxa" w:w="3120"/>
          </w:tcPr>
          <w:p>
            <w:pPr>
              <w:spacing w:line="240" w:lineRule="auto"/>
            </w:pPr>
            <w:r>
              <w:rPr>
                <w:sz w:val="18"/>
              </w:rPr>
            </w:r>
            <w:r>
              <w:rPr>
                <w:sz w:val="18"/>
              </w:rPr>
              <w:t>Fails in Model B (13.67); Model C all below 1.8</w:t>
            </w:r>
          </w:p>
        </w:tc>
      </w:tr>
    </w:tbl>
    <w:p>
      <w:pPr>
        <w:spacing w:after="200" w:line="240" w:lineRule="auto"/>
        <w:jc w:val="center"/>
      </w:pPr>
      <w:r>
        <w:rPr>
          <w:i/>
          <w:color w:val="7B8994"/>
          <w:sz w:val="20"/>
        </w:rPr>
        <w:t>Table 22. Regression assumptions, the test applied, and the result.</w:t>
      </w:r>
    </w:p>
    <w:p>
      <w:r>
        <w:t>Six further conditions on any use of this model:</w:t>
      </w:r>
    </w:p>
    <w:p>
      <w:pPr>
        <w:pStyle w:val="ListBullet"/>
      </w:pPr>
      <w:r>
        <w:rPr>
          <w:b/>
        </w:rPr>
        <w:t>57 monthly observations is not many</w:t>
      </w:r>
      <w:r>
        <w:t xml:space="preserve"> for five predictors. Adjusted R² and the holdout are reported precisely because plain R² would flatter it</w:t>
      </w:r>
    </w:p>
    <w:p>
      <w:pPr>
        <w:pStyle w:val="ListBullet"/>
      </w:pPr>
      <w:r>
        <w:rPr>
          <w:b/>
        </w:rPr>
        <w:t>Do not extrapolate beyond the observed range.</w:t>
      </w:r>
      <w:r>
        <w:t xml:space="preserve"> Order counts run from 9 to 45 per month and revenue from 22,187 to 204,413</w:t>
      </w:r>
    </w:p>
    <w:p>
      <w:pPr>
        <w:pStyle w:val="ListBullet"/>
      </w:pPr>
      <w:r>
        <w:rPr>
          <w:b/>
        </w:rPr>
        <w:t>The intercept is not meaningful</w:t>
      </w:r>
      <w:r>
        <w:t xml:space="preserve"> — it lies far outside the data</w:t>
      </w:r>
    </w:p>
    <w:p>
      <w:pPr>
        <w:pStyle w:val="ListBullet"/>
      </w:pPr>
      <w:r>
        <w:rPr>
          <w:b/>
        </w:rPr>
        <w:t>Association, not causation.</w:t>
      </w:r>
      <w:r>
        <w:t xml:space="preserve"> Nothing here shows that generating an order </w:t>
      </w:r>
      <w:r>
        <w:rPr>
          <w:i/>
        </w:rPr>
        <w:t>causes</w:t>
      </w:r>
      <w:r>
        <w:t xml:space="preserve"> the revenue, as opposed to both responding to unobserved demand</w:t>
      </w:r>
    </w:p>
    <w:p>
      <w:pPr>
        <w:pStyle w:val="ListBullet"/>
      </w:pPr>
      <w:r>
        <w:rPr>
          <w:b/>
        </w:rPr>
        <w:t>The dataset is synthetic</w:t>
      </w:r>
      <w:r>
        <w:t>, so these coefficients describe a generated file</w:t>
      </w:r>
    </w:p>
    <w:p>
      <w:pPr>
        <w:pStyle w:val="ListBullet"/>
      </w:pPr>
      <w:r>
        <w:rPr>
          <w:b/>
        </w:rPr>
        <w:t>Transactions only.</w:t>
      </w:r>
      <w:r>
        <w:t xml:space="preserve"> The file records sales that happened, never a customer who considered a purchase and did not make one, so the model cannot see demand that was lost</w:t>
      </w:r>
    </w:p>
    <w:p>
      <w:r>
        <w:br w:type="page"/>
      </w:r>
    </w:p>
    <w:p>
      <w:pPr>
        <w:pStyle w:val="Heading1"/>
      </w:pPr>
      <w:r>
        <w:t>8. Ethics, Privacy and Governance</w:t>
      </w:r>
    </w:p>
    <w:p>
      <w:pPr>
        <w:pStyle w:val="Heading2"/>
      </w:pPr>
      <w:r>
        <w:t>Privacy considerations</w:t>
      </w:r>
    </w:p>
    <w:p>
      <w:r>
        <w:t>The dataset contains what look like personal data: 802 distinct customer names, each attached to a city, a state, a purchase history and a profit figure. On the face of it that is exactly the kind of record the Data Privacy Act is written about.</w:t>
      </w:r>
    </w:p>
    <w:p>
      <w:r>
        <w:t xml:space="preserve">It is not, and the reason matters more than the conclusion. During Checkpoint 1 we established with five independent machine-checked signals that </w:t>
      </w:r>
      <w:r>
        <w:rPr>
          <w:b/>
        </w:rPr>
        <w:t>the dataset is synthetic</w:t>
      </w:r>
      <w:r>
        <w:t xml:space="preserve"> — generated, not collected. Twenty-two of the 802 names end in credential suffixes such as "MD" or "DDS", which is a known artefact of the Faker library. US cities are paired with UPI and EMI payment methods, which are Indian payment rails. There is not one loss-making line across five years, the payment mix is near-uniform at 206 to 260 across every method, and the transaction-amount histogram is flat rather than right-skewed. Our own Checkpoint 2 descriptive statistics confirmed that flatness independently.</w:t>
      </w:r>
    </w:p>
    <w:p>
      <w:r>
        <w:t xml:space="preserve">Because the names are generated, </w:t>
      </w:r>
      <w:r>
        <w:rPr>
          <w:b/>
        </w:rPr>
        <w:t>there is no data subject</w:t>
      </w:r>
      <w:r>
        <w:t>. No living person is identified or identifiable in this file, so the Data Privacy Act is not engaged and there was nothing to anonymise. We therefore did not anonymise the names, and we want to be precise about why: not because the dataset is published on a public platform, but because the individuals in it do not exist.</w:t>
      </w:r>
    </w:p>
    <w:p>
      <w:r>
        <w:t xml:space="preserve">That distinction is the single most important point in this reflection. </w:t>
      </w:r>
      <w:r>
        <w:rPr>
          <w:b/>
        </w:rPr>
        <w:t>Public availability is not consent.</w:t>
      </w:r>
      <w:r>
        <w:t xml:space="preserve"> A dataset being downloadable does not make the people inside it willing participants in our analysis. Had these names been real, the fact that someone uploaded them to a public repository would not have given us a lawful basis to process them, and the correct response would have been to pseudonymise the customer dimension — replacing names with surrogate keys, which our schema already uses — before any analysis began. Our star schema is structured so that this would have been a one-table change: </w:t>
      </w:r>
      <w:r>
        <w:rPr>
          <w:rFonts w:ascii="Consolas" w:hAnsi="Consolas"/>
          <w:color w:val="2F6F9F"/>
          <w:sz w:val="18"/>
        </w:rPr>
        <w:t>customers</w:t>
      </w:r>
      <w:r>
        <w:t xml:space="preserve"> holds the only identifying attribute, and every other table references it by integer key.</w:t>
      </w:r>
    </w:p>
    <w:p>
      <w:pPr>
        <w:pStyle w:val="Heading2"/>
      </w:pPr>
      <w:r>
        <w:t>Ethical issues</w:t>
      </w:r>
    </w:p>
    <w:p>
      <w:r>
        <w:t>Two concerns arise from our own work rather than from the data.</w:t>
      </w:r>
    </w:p>
    <w:p>
      <w:r>
        <w:t xml:space="preserve">The first is </w:t>
      </w:r>
      <w:r>
        <w:rPr>
          <w:b/>
        </w:rPr>
        <w:t>the segmentation we built in Checkpoint 3</w:t>
      </w:r>
      <w:r>
        <w:t>. We clustered 807 customers and labelled one group of 350 "Thin-Margin Buyers" — 43% of customers, a third of revenue, and under a fifth of the profit. That label is analytically accurate and commercially useful, and it is also the most ethically loaded object in this project. A business acting on it could rationally decide to deprioritise service, withdraw discounts, or stop marketing to those accounts. If the segmentation correlates with something it should not — income, location, or the kind of product a household needs — then an apparently neutral margin calculation becomes a mechanism for treating poorer customers worse. We checked whether geography drives the segments and it does not, but on real data that check would need to be repeated for every protected characteristic available, and the segment definitions published to the people they affect rather than kept internal.</w:t>
      </w:r>
    </w:p>
    <w:p>
      <w:r>
        <w:t xml:space="preserve">The second is </w:t>
      </w:r>
      <w:r>
        <w:rPr>
          <w:b/>
        </w:rPr>
        <w:t>survivorship and coverage bias</w:t>
      </w:r>
      <w:r>
        <w:t>. The dataset records transactions that happened. It contains no record of customers who considered a purchase and did not make one, no competitor pricing, and no stockouts. Our central finding — that the company writes fewer orders rather than worse ones — is therefore a statement about what was sold, not about demand. A model built only on completed transactions will always attribute a decline to the customers who remain rather than to the ones who left, and it cannot see the latter at all.</w:t>
      </w:r>
    </w:p>
    <w:p>
      <w:r>
        <w:t xml:space="preserve">We also carried a deliberate constraint throughout: </w:t>
      </w:r>
      <w:r>
        <w:rPr>
          <w:b/>
        </w:rPr>
        <w:t>we did not fabricate corrections</w:t>
      </w:r>
      <w:r>
        <w:t xml:space="preserve">. When we found that </w:t>
      </w:r>
      <w:r>
        <w:rPr>
          <w:rFonts w:ascii="Consolas" w:hAnsi="Consolas"/>
          <w:color w:val="2F6F9F"/>
          <w:sz w:val="18"/>
        </w:rPr>
        <w:t>Order ID</w:t>
      </w:r>
      <w:r>
        <w:t xml:space="preserve"> did not identify an order, the repair would have required deciding which of two conflicting rows was real, and we had no evidence for that decision. Inventing it would have been data fabrication. We documented the defect instead and worked around it.</w:t>
      </w:r>
    </w:p>
    <w:p>
      <w:pPr>
        <w:pStyle w:val="Heading2"/>
      </w:pPr>
      <w:r>
        <w:t>Data governance</w:t>
      </w:r>
    </w:p>
    <w:p>
      <w:r>
        <w:t>The dataset is a third-party publication. We do not own it; we hold it under whatever licence the publisher attached, and the group's Checkpoint 1 documentation records the source, the access date and the licence terms. We have no right to re-licence it or to represent its contents as describing a real company, which is why every report in this project states the synthetic limitation rather than burying it.</w:t>
      </w:r>
    </w:p>
    <w:p>
      <w:r>
        <w:t xml:space="preserve">A responsible governance framework for a dataset like this, were it real, would need four things. </w:t>
      </w:r>
      <w:r>
        <w:rPr>
          <w:b/>
        </w:rPr>
        <w:t>Ownership</w:t>
      </w:r>
      <w:r>
        <w:t xml:space="preserve">: a named data owner accountable for the customer dimension, distinct from the analysts using it. </w:t>
      </w:r>
      <w:r>
        <w:rPr>
          <w:b/>
        </w:rPr>
        <w:t>Access control</w:t>
      </w:r>
      <w:r>
        <w:t xml:space="preserve">: analysts working against the pseudonymised views rather than the base tables, with the name-to-key mapping held separately and access logged. </w:t>
      </w:r>
      <w:r>
        <w:rPr>
          <w:b/>
        </w:rPr>
        <w:t>Retention</w:t>
      </w:r>
      <w:r>
        <w:t xml:space="preserve">: a defined period after which transaction-level personal data is aggregated away, since our monthly and category analyses need none of it — every finding in Checkpoints 2 and 3 except the customer segmentation would survive the deletion of every name in the file. </w:t>
      </w:r>
      <w:r>
        <w:rPr>
          <w:b/>
        </w:rPr>
        <w:t>Lineage</w:t>
      </w:r>
      <w:r>
        <w:t xml:space="preserve">: the reproducible pipeline this project already has, where </w:t>
      </w:r>
      <w:r>
        <w:rPr>
          <w:rFonts w:ascii="Consolas" w:hAnsi="Consolas"/>
          <w:color w:val="2F6F9F"/>
          <w:sz w:val="18"/>
        </w:rPr>
        <w:t>clean_and_load.py</w:t>
      </w:r>
      <w:r>
        <w:t xml:space="preserve"> regenerates the database from the untouched raw file, so any figure can be traced back to a source row.</w:t>
      </w:r>
    </w:p>
    <w:p>
      <w:pPr>
        <w:pStyle w:val="Heading2"/>
      </w:pPr>
      <w:r>
        <w:t>Regulatory awareness</w:t>
      </w:r>
    </w:p>
    <w:p>
      <w:r>
        <w:rPr>
          <w:b/>
        </w:rPr>
        <w:t>Republic Act No. 10173, the Data Privacy Act of 2012</w:t>
      </w:r>
      <w:r>
        <w:t>, governs the processing of personal information in the Philippines. It defines personal information as any data from which an individual's identity is apparent or can reasonably be ascertained, and requires a lawful basis for processing, a declared and legitimate purpose, and proportionality — only as much data as the purpose needs. It establishes the rights of data subjects to be informed, to access, to object, and to rectification, and it obliges personal information controllers to implement organisational and technical security measures. The National Privacy Commission enforces it.</w:t>
      </w:r>
    </w:p>
    <w:p>
      <w:r>
        <w:t xml:space="preserve">Applied to this project: the synthetic nature of the file means no processing of personal information occurred. Applied to the same analysis on real customer data, three of the Act's principles would bite immediately. </w:t>
      </w:r>
      <w:r>
        <w:rPr>
          <w:b/>
        </w:rPr>
        <w:t>Proportionality</w:t>
      </w:r>
      <w:r>
        <w:t xml:space="preserve"> would question why analysts need customer names at all when surrogate keys serve every purpose. </w:t>
      </w:r>
      <w:r>
        <w:rPr>
          <w:b/>
        </w:rPr>
        <w:t>Purpose specification</w:t>
      </w:r>
      <w:r>
        <w:t xml:space="preserve"> would require that "sales trend analysis" be declared to the data subjects, and would not cover reusing the segmentation for pricing decisions later. And the </w:t>
      </w:r>
      <w:r>
        <w:rPr>
          <w:b/>
        </w:rPr>
        <w:t>right to object</w:t>
      </w:r>
      <w:r>
        <w:t xml:space="preserve"> would give a customer grounds to challenge being placed in a margin-based segment that affects the service they receive.</w:t>
      </w:r>
    </w:p>
    <w:p>
      <w:r>
        <w:t xml:space="preserve">The EU's </w:t>
      </w:r>
      <w:r>
        <w:rPr>
          <w:b/>
        </w:rPr>
        <w:t>General Data Protection Regulation</w:t>
      </w:r>
      <w:r>
        <w:t xml:space="preserve"> reaches the same conclusions through stricter machinery — an explicit lawful basis, data protection by design and by default, and in Article 22 a right not to be subject to solely automated decisions with legal or similarly significant effects. Our clustering is not automated decision-making today, because a person would decide what to do with the segments. It would become so the moment a system withheld a discount on the strength of a cluster label, and that line is much closer than it looks.</w:t>
      </w:r>
    </w:p>
    <w:p>
      <w:r>
        <w:br w:type="page"/>
      </w:r>
    </w:p>
    <w:p>
      <w:pPr>
        <w:pStyle w:val="Heading1"/>
      </w:pPr>
      <w:r>
        <w:t>9. Conclusions and Recommendations</w:t>
      </w:r>
    </w:p>
    <w:p>
      <w:pPr>
        <w:pStyle w:val="Heading2"/>
      </w:pPr>
      <w:r>
        <w:t>9.1 What the analysis established</w:t>
      </w:r>
    </w:p>
    <w:p>
      <w:r>
        <w:t xml:space="preserve">The company's decline is </w:t>
      </w:r>
      <w:r>
        <w:rPr>
          <w:b/>
        </w:rPr>
        <w:t>not</w:t>
      </w:r>
      <w:r>
        <w:t xml:space="preserve"> a general slowdown and </w:t>
      </w:r>
      <w:r>
        <w:rPr>
          <w:b/>
        </w:rPr>
        <w:t>not</w:t>
      </w:r>
      <w:r>
        <w:t xml:space="preserve"> a pricing problem. Margin and average order value held steady across five years while order count fell, and the fall is concentrated in a small number of sub-categories moving against the rest of the business. Order count is the only variable that measurably drives revenue, surviving both a simple and a multiple regression while units sold, customer count, product mix and elapsed time do not. Demand is seasonal in a way the business currently plans for incorrectly, and the customer base divides on margin in a way that revenue-based reporting conceals entirely.</w:t>
      </w:r>
    </w:p>
    <w:p>
      <w:pPr>
        <w:pStyle w:val="Heading2"/>
      </w:pPr>
      <w:r>
        <w:t>9.2 Five recommendations</w:t>
      </w:r>
    </w:p>
    <w:p>
      <w:r>
        <w:rPr>
          <w:b/>
        </w:rPr>
        <w:t>One — track order count as the primary KPI, not revenue.</w:t>
      </w:r>
      <w:r>
        <w:t xml:space="preserve"> Order count explains 85% of month-to-month revenue variation and is the only predictor that survives a multiple regression. Each additional order is worth about 5,220. Revenue is what happens as a result; order count is what the business can act on. </w:t>
      </w:r>
      <w:r>
        <w:rPr>
          <w:i/>
        </w:rPr>
        <w:t>Measurement behind it: r = 0.923, R² = 0.851, p = 1.98 × 10⁻²⁴.</w:t>
      </w:r>
    </w:p>
    <w:p>
      <w:r>
        <w:rPr>
          <w:b/>
        </w:rPr>
        <w:t>Two — investigate Printers before anything else.</w:t>
      </w:r>
      <w:r>
        <w:t xml:space="preserve"> One sub-category lost 136,865 between 2023 and 2024, more than half the entire peak-to-2024 gap. Whether the cause is supply, competition, or a category in structural decline is beyond what this dataset can answer — but it says where to look, which is what the analysis was for. </w:t>
      </w:r>
      <w:r>
        <w:rPr>
          <w:i/>
        </w:rPr>
        <w:t>Measurement: Q7, −71.0%.</w:t>
      </w:r>
    </w:p>
    <w:p>
      <w:r>
        <w:rPr>
          <w:b/>
        </w:rPr>
        <w:t>Three — plan seasonality by category, not company-wide.</w:t>
      </w:r>
      <w:r>
        <w:t xml:space="preserve"> Electronics peaks in Q2 at 30.79% of its annual revenue; Furniture and Office Supplies peak in Q4. The blended curve over-stocks Electronics in Q4 and under-stocks it in Q2. </w:t>
      </w:r>
      <w:r>
        <w:rPr>
          <w:i/>
        </w:rPr>
        <w:t>Measurement: Q8, and the Q2 term in the multiple regression at p = 0.043.</w:t>
      </w:r>
    </w:p>
    <w:p>
      <w:r>
        <w:rPr>
          <w:b/>
        </w:rPr>
        <w:t>Four — segment customers on margin, not revenue.</w:t>
      </w:r>
      <w:r>
        <w:t xml:space="preserve"> The largest customer group is 43% of customers and a third of revenue, and returns 19% of profit. A smaller group turns less revenue into 43% of profit. Reporting that ranks accounts by revenue points management at the wrong ones. </w:t>
      </w:r>
      <w:r>
        <w:rPr>
          <w:i/>
        </w:rPr>
        <w:t>Measurement: k-means, n = 807, three segments.</w:t>
      </w:r>
    </w:p>
    <w:p>
      <w:r>
        <w:rPr>
          <w:b/>
        </w:rPr>
        <w:t>Five — stop setting volume and acquisition targets.</w:t>
      </w:r>
      <w:r>
        <w:t xml:space="preserve"> Units sold (p = 0.79) and distinct customers (p = 0.27) add nothing to revenue prediction once order count is accounted for, and line quantity is uncorrelated with line value (r = 0.045, p = 0.123). A "sell more units" or "sign more customers" incentive would not move revenue in this business. </w:t>
      </w:r>
      <w:r>
        <w:rPr>
          <w:i/>
        </w:rPr>
        <w:t>Measurement: Model B coefficients; Checkpoint 2 correlation pair 2.</w:t>
      </w:r>
    </w:p>
    <w:p>
      <w:pPr>
        <w:pStyle w:val="Heading2"/>
      </w:pPr>
      <w:r>
        <w:t>9.3 What we would not claim</w:t>
      </w:r>
    </w:p>
    <w:p>
      <w:r>
        <w:rPr>
          <w:b/>
        </w:rPr>
        <w:t>The data is synthetic.</w:t>
      </w:r>
      <w:r>
        <w:t xml:space="preserve"> These figures illustrate a method; they do not describe a real company. We proved it with five independent signals and did not invent corrections.</w:t>
      </w:r>
    </w:p>
    <w:p>
      <w:r>
        <w:rPr>
          <w:b/>
        </w:rPr>
        <w:t>The forecast is weak.</w:t>
      </w:r>
      <w:r>
        <w:t xml:space="preserve"> 22.7% mean absolute error against a flat average's 14.9%, and the multiple regression lost to the simple one at 9.8% against 9.3%. We measured our own error rather than quietly dropping the tests.</w:t>
      </w:r>
    </w:p>
    <w:p>
      <w:r>
        <w:rPr>
          <w:b/>
        </w:rPr>
        <w:t>Correlation is not causation.</w:t>
      </w:r>
      <w:r>
        <w:t xml:space="preserve"> Order count and revenue move together consistently across 57 months. That is not proof that one causes the other.</w:t>
      </w:r>
    </w:p>
    <w:p>
      <w:r>
        <w:t>What we would stand behind is the method: a dataset whose defects are documented rather than hidden, a normalised schema with constraints enforced and tested, queries verified on two database engines, statistics tested for significance rather than eyeballed, and negative results reported alongside the positive ones.</w:t>
      </w:r>
    </w:p>
    <w:p>
      <w:pPr>
        <w:pStyle w:val="Heading2"/>
      </w:pPr>
      <w:r>
        <w:t>9.4 Where this would go next</w:t>
      </w:r>
    </w:p>
    <w:p>
      <w:r>
        <w:t xml:space="preserve">Three extensions follow directly. A </w:t>
      </w:r>
      <w:r>
        <w:rPr>
          <w:b/>
        </w:rPr>
        <w:t>multiple regression with external predictors</w:t>
      </w:r>
      <w:r>
        <w:t xml:space="preserve"> — competitor pricing, marketing spend, stock availability — would address the survivorship problem in Section 8, because none of those are in a transaction file. A </w:t>
      </w:r>
      <w:r>
        <w:rPr>
          <w:b/>
        </w:rPr>
        <w:t>cohort analysis</w:t>
      </w:r>
      <w:r>
        <w:t xml:space="preserve"> would test whether the order-count decline is lost customers or less frequent purchasing, which this dataset cannot separate. And </w:t>
      </w:r>
      <w:r>
        <w:rPr>
          <w:b/>
        </w:rPr>
        <w:t>running the same pipeline against real trading data</w:t>
      </w:r>
      <w:r>
        <w:t xml:space="preserve"> would convert every figure here from illustration into fact, which is the one change that would matter most.</w:t>
      </w:r>
    </w:p>
    <w:p>
      <w:r>
        <w:br w:type="page"/>
      </w:r>
    </w:p>
    <w:p>
      <w:pPr>
        <w:pStyle w:val="Heading1"/>
      </w:pPr>
      <w:r>
        <w:t>10. References</w:t>
      </w:r>
    </w:p>
    <w:p>
      <w:r>
        <w:t xml:space="preserve">Melendres, J. A. (2026). </w:t>
      </w:r>
      <w:r>
        <w:rPr>
          <w:i/>
        </w:rPr>
        <w:t>BED 106 — Business Analytics: Mini capstone project brief, A.Y. 2026–2027, 1st semester</w:t>
      </w:r>
      <w:r>
        <w:t>. Talibon Polytechnic College.</w:t>
      </w:r>
    </w:p>
    <w:p>
      <w:r>
        <w:t xml:space="preserve">Republic of the Philippines. (2012). </w:t>
      </w:r>
      <w:r>
        <w:rPr>
          <w:i/>
        </w:rPr>
        <w:t>Republic Act No. 10173: Data Privacy Act of 2012</w:t>
      </w:r>
      <w:r>
        <w:t>. Official Gazette. https://www.officialgazette.gov.ph/2012/08/15/republic-act-no-10173/</w:t>
      </w:r>
    </w:p>
    <w:p>
      <w:r>
        <w:t xml:space="preserve">European Parliament and Council of the European Union. (2016). </w:t>
      </w:r>
      <w:r>
        <w:rPr>
          <w:i/>
        </w:rPr>
        <w:t>Regulation (EU) 2016/679 (General Data Protection Regulation)</w:t>
      </w:r>
      <w:r>
        <w:t>. Official Journal of the European Union, L119, 1–88.</w:t>
      </w:r>
    </w:p>
    <w:p>
      <w:r>
        <w:t xml:space="preserve">Kimball, R., &amp; Ross, M. (2013). </w:t>
      </w:r>
      <w:r>
        <w:rPr>
          <w:i/>
        </w:rPr>
        <w:t>The data warehouse toolkit: The definitive guide to dimensional modeling</w:t>
      </w:r>
      <w:r>
        <w:t xml:space="preserve"> (3rd ed.). Wiley.</w:t>
      </w:r>
    </w:p>
    <w:p>
      <w:r>
        <w:rPr>
          <w:i/>
        </w:rPr>
        <w:t>Sales dataset: Multi-category US retail transactions</w:t>
      </w:r>
      <w:r>
        <w:t xml:space="preserve"> [Data set]. (2026). Retrieved 24 August 2026. Stored as </w:t>
      </w:r>
      <w:r>
        <w:rPr>
          <w:rFonts w:ascii="Consolas" w:hAnsi="Consolas"/>
          <w:color w:val="2F6F9F"/>
          <w:sz w:val="18"/>
        </w:rPr>
        <w:t>data/raw/sales_dataset_raw.csv</w:t>
      </w:r>
      <w:r>
        <w:t>. _Replace with the full citation and URL of the source page before submission._</w:t>
      </w:r>
    </w:p>
    <w:p>
      <w:r>
        <w:t xml:space="preserve">Microsoft Corporation. (2026). </w:t>
      </w:r>
      <w:r>
        <w:rPr>
          <w:i/>
        </w:rPr>
        <w:t>Power BI Desktop</w:t>
      </w:r>
      <w:r>
        <w:t xml:space="preserve"> (Version 2.x) [Computer software]. https://powerbi.microsoft.com</w:t>
      </w:r>
    </w:p>
    <w:p>
      <w:r>
        <w:t xml:space="preserve">Oracle Corporation. (2026). </w:t>
      </w:r>
      <w:r>
        <w:rPr>
          <w:i/>
        </w:rPr>
        <w:t>MySQL 8.0 reference manual</w:t>
      </w:r>
      <w:r>
        <w:t>. https://dev.mysql.com/doc/refman/8.0/en/</w:t>
      </w:r>
    </w:p>
    <w:p>
      <w:r>
        <w:t xml:space="preserve">Python Software Foundation. (2026). </w:t>
      </w:r>
      <w:r>
        <w:rPr>
          <w:i/>
        </w:rPr>
        <w:t>Python</w:t>
      </w:r>
      <w:r>
        <w:t xml:space="preserve"> (Version 3.12) [Computer software]. https://www.python.org</w:t>
      </w:r>
    </w:p>
    <w:p>
      <w:pPr>
        <w:ind w:left="432"/>
      </w:pPr>
      <w:r>
        <w:rPr>
          <w:b/>
          <w:i/>
        </w:rPr>
        <w:t>Check before submission.</w:t>
      </w:r>
      <w:r>
        <w:rPr>
          <w:i/>
        </w:rPr>
        <w:t xml:space="preserve"> The dataset entry needs the real source page and its licence. Confirm your instructor's preferred APA edition, and add any textbook used in class.</w:t>
      </w:r>
    </w:p>
    <w:p>
      <w:r>
        <w:br w:type="page"/>
      </w:r>
    </w:p>
    <w:p>
      <w:pPr>
        <w:pStyle w:val="Heading1"/>
      </w:pPr>
      <w:r>
        <w:t>11. Appendix</w:t>
      </w:r>
    </w:p>
    <w:p>
      <w:pPr>
        <w:pStyle w:val="Heading2"/>
      </w:pPr>
      <w:r>
        <w:t>Appendix A — Individual Contribution Forms</w:t>
      </w:r>
    </w:p>
    <w:p>
      <w:r>
        <w:t xml:space="preserve">Signed forms for all four checkpoints, one per member per checkpoint — twelve in total. Printable copies in </w:t>
      </w:r>
      <w:r>
        <w:rPr>
          <w:rFonts w:ascii="Consolas" w:hAnsi="Consolas"/>
          <w:color w:val="2F6F9F"/>
          <w:sz w:val="18"/>
        </w:rPr>
        <w:t>reports/Form_A_Individual_Contribution.docx</w:t>
      </w:r>
      <w:r>
        <w:t>.</w:t>
      </w:r>
    </w:p>
    <w:p>
      <w:pPr>
        <w:pStyle w:val="Heading2"/>
      </w:pPr>
      <w:r>
        <w:t>Appendix B — Peer Evaluation Forms</w:t>
      </w:r>
    </w:p>
    <w:p>
      <w:r>
        <w:t xml:space="preserve">One completed and signed form per member, submitted to the instructor in a sealed envelope on defense day. Printable copies in </w:t>
      </w:r>
      <w:r>
        <w:rPr>
          <w:rFonts w:ascii="Consolas" w:hAnsi="Consolas"/>
          <w:color w:val="2F6F9F"/>
          <w:sz w:val="18"/>
        </w:rPr>
        <w:t>reports/Form_B_Peer_Evaluation.docx</w:t>
      </w:r>
      <w:r>
        <w:t>.</w:t>
      </w:r>
    </w:p>
    <w:p>
      <w:pPr>
        <w:pStyle w:val="Heading2"/>
      </w:pPr>
      <w:r>
        <w:t>Appendix C — Raw data sample</w:t>
      </w:r>
    </w:p>
    <w:tbl>
      <w:tblPr>
        <w:tblStyle w:val="LightGrid-Accent1"/>
        <w:tblW w:type="auto" w:w="0"/>
        <w:jc w:val="center"/>
        <w:tblLayout w:type="autofit"/>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rPr>
                <w:b/>
              </w:rPr>
            </w:r>
            <w:r>
              <w:rPr>
                <w:b/>
              </w:rPr>
              <w:t>Order ID</w:t>
            </w:r>
          </w:p>
        </w:tc>
        <w:tc>
          <w:tcPr>
            <w:tcW w:type="dxa" w:w="851"/>
          </w:tcPr>
          <w:p>
            <w:r>
              <w:rPr>
                <w:b/>
              </w:rPr>
            </w:r>
            <w:r>
              <w:rPr>
                <w:b/>
              </w:rPr>
              <w:t>Amount</w:t>
            </w:r>
          </w:p>
        </w:tc>
        <w:tc>
          <w:tcPr>
            <w:tcW w:type="dxa" w:w="851"/>
          </w:tcPr>
          <w:p>
            <w:r>
              <w:rPr>
                <w:b/>
              </w:rPr>
            </w:r>
            <w:r>
              <w:rPr>
                <w:b/>
              </w:rPr>
              <w:t>Profit</w:t>
            </w:r>
          </w:p>
        </w:tc>
        <w:tc>
          <w:tcPr>
            <w:tcW w:type="dxa" w:w="851"/>
          </w:tcPr>
          <w:p>
            <w:r>
              <w:rPr>
                <w:b/>
              </w:rPr>
            </w:r>
            <w:r>
              <w:rPr>
                <w:b/>
              </w:rPr>
              <w:t>Qty</w:t>
            </w:r>
          </w:p>
        </w:tc>
        <w:tc>
          <w:tcPr>
            <w:tcW w:type="dxa" w:w="851"/>
          </w:tcPr>
          <w:p>
            <w:r>
              <w:rPr>
                <w:b/>
              </w:rPr>
            </w:r>
            <w:r>
              <w:rPr>
                <w:b/>
              </w:rPr>
              <w:t>Category</w:t>
            </w:r>
          </w:p>
        </w:tc>
        <w:tc>
          <w:tcPr>
            <w:tcW w:type="dxa" w:w="851"/>
          </w:tcPr>
          <w:p>
            <w:r>
              <w:rPr>
                <w:b/>
              </w:rPr>
            </w:r>
            <w:r>
              <w:rPr>
                <w:b/>
              </w:rPr>
              <w:t>Sub-Category</w:t>
            </w:r>
          </w:p>
        </w:tc>
        <w:tc>
          <w:tcPr>
            <w:tcW w:type="dxa" w:w="851"/>
          </w:tcPr>
          <w:p>
            <w:r>
              <w:rPr>
                <w:b/>
              </w:rPr>
            </w:r>
            <w:r>
              <w:rPr>
                <w:b/>
              </w:rPr>
              <w:t>Payment</w:t>
            </w:r>
          </w:p>
        </w:tc>
        <w:tc>
          <w:tcPr>
            <w:tcW w:type="dxa" w:w="851"/>
          </w:tcPr>
          <w:p>
            <w:r>
              <w:rPr>
                <w:b/>
              </w:rPr>
            </w:r>
            <w:r>
              <w:rPr>
                <w:b/>
              </w:rPr>
              <w:t>Order Date</w:t>
            </w:r>
          </w:p>
        </w:tc>
        <w:tc>
          <w:tcPr>
            <w:tcW w:type="dxa" w:w="851"/>
          </w:tcPr>
          <w:p>
            <w:r>
              <w:rPr>
                <w:b/>
              </w:rPr>
            </w:r>
            <w:r>
              <w:rPr>
                <w:b/>
              </w:rPr>
              <w:t>Customer</w:t>
            </w:r>
          </w:p>
        </w:tc>
        <w:tc>
          <w:tcPr>
            <w:tcW w:type="dxa" w:w="851"/>
          </w:tcPr>
          <w:p>
            <w:r>
              <w:rPr>
                <w:b/>
              </w:rPr>
            </w:r>
            <w:r>
              <w:rPr>
                <w:b/>
              </w:rPr>
              <w:t>State</w:t>
            </w:r>
          </w:p>
        </w:tc>
        <w:tc>
          <w:tcPr>
            <w:tcW w:type="dxa" w:w="851"/>
          </w:tcPr>
          <w:p>
            <w:r>
              <w:rPr>
                <w:b/>
              </w:rPr>
            </w:r>
            <w:r>
              <w:rPr>
                <w:b/>
              </w:rPr>
              <w:t>City</w:t>
            </w:r>
          </w:p>
        </w:tc>
      </w:tr>
      <w:tr>
        <w:tc>
          <w:tcPr>
            <w:tcW w:type="dxa" w:w="851"/>
          </w:tcPr>
          <w:p>
            <w:pPr>
              <w:spacing w:line="240" w:lineRule="auto"/>
            </w:pPr>
            <w:r>
              <w:rPr>
                <w:sz w:val="18"/>
              </w:rPr>
            </w:r>
            <w:r>
              <w:rPr>
                <w:sz w:val="18"/>
              </w:rPr>
              <w:t>B-26776</w:t>
            </w:r>
          </w:p>
        </w:tc>
        <w:tc>
          <w:tcPr>
            <w:tcW w:type="dxa" w:w="851"/>
          </w:tcPr>
          <w:p>
            <w:pPr>
              <w:spacing w:line="240" w:lineRule="auto"/>
            </w:pPr>
            <w:r>
              <w:rPr>
                <w:sz w:val="18"/>
              </w:rPr>
            </w:r>
            <w:r>
              <w:rPr>
                <w:sz w:val="18"/>
              </w:rPr>
              <w:t>9,726</w:t>
            </w:r>
          </w:p>
        </w:tc>
        <w:tc>
          <w:tcPr>
            <w:tcW w:type="dxa" w:w="851"/>
          </w:tcPr>
          <w:p>
            <w:pPr>
              <w:spacing w:line="240" w:lineRule="auto"/>
            </w:pPr>
            <w:r>
              <w:rPr>
                <w:sz w:val="18"/>
              </w:rPr>
            </w:r>
            <w:r>
              <w:rPr>
                <w:sz w:val="18"/>
              </w:rPr>
              <w:t>1,275</w:t>
            </w:r>
          </w:p>
        </w:tc>
        <w:tc>
          <w:tcPr>
            <w:tcW w:type="dxa" w:w="851"/>
          </w:tcPr>
          <w:p>
            <w:pPr>
              <w:spacing w:line="240" w:lineRule="auto"/>
            </w:pPr>
            <w:r>
              <w:rPr>
                <w:sz w:val="18"/>
              </w:rPr>
            </w:r>
            <w:r>
              <w:rPr>
                <w:sz w:val="18"/>
              </w:rPr>
              <w:t>5</w:t>
            </w:r>
          </w:p>
        </w:tc>
        <w:tc>
          <w:tcPr>
            <w:tcW w:type="dxa" w:w="851"/>
          </w:tcPr>
          <w:p>
            <w:pPr>
              <w:spacing w:line="240" w:lineRule="auto"/>
            </w:pPr>
            <w:r>
              <w:rPr>
                <w:sz w:val="18"/>
              </w:rPr>
            </w:r>
            <w:r>
              <w:rPr>
                <w:sz w:val="18"/>
              </w:rPr>
              <w:t>Electronics</w:t>
            </w:r>
          </w:p>
        </w:tc>
        <w:tc>
          <w:tcPr>
            <w:tcW w:type="dxa" w:w="851"/>
          </w:tcPr>
          <w:p>
            <w:pPr>
              <w:spacing w:line="240" w:lineRule="auto"/>
            </w:pPr>
            <w:r>
              <w:rPr>
                <w:sz w:val="18"/>
              </w:rPr>
            </w:r>
            <w:r>
              <w:rPr>
                <w:sz w:val="18"/>
              </w:rPr>
              <w:t>Electronic Games</w:t>
            </w:r>
          </w:p>
        </w:tc>
        <w:tc>
          <w:tcPr>
            <w:tcW w:type="dxa" w:w="851"/>
          </w:tcPr>
          <w:p>
            <w:pPr>
              <w:spacing w:line="240" w:lineRule="auto"/>
            </w:pPr>
            <w:r>
              <w:rPr>
                <w:sz w:val="18"/>
              </w:rPr>
            </w:r>
            <w:r>
              <w:rPr>
                <w:sz w:val="18"/>
              </w:rPr>
              <w:t>UPI</w:t>
            </w:r>
          </w:p>
        </w:tc>
        <w:tc>
          <w:tcPr>
            <w:tcW w:type="dxa" w:w="851"/>
          </w:tcPr>
          <w:p>
            <w:pPr>
              <w:spacing w:line="240" w:lineRule="auto"/>
            </w:pPr>
            <w:r>
              <w:rPr>
                <w:sz w:val="18"/>
              </w:rPr>
            </w:r>
            <w:r>
              <w:rPr>
                <w:sz w:val="18"/>
              </w:rPr>
              <w:t>2023-06-27</w:t>
            </w:r>
          </w:p>
        </w:tc>
        <w:tc>
          <w:tcPr>
            <w:tcW w:type="dxa" w:w="851"/>
          </w:tcPr>
          <w:p>
            <w:pPr>
              <w:spacing w:line="240" w:lineRule="auto"/>
            </w:pPr>
            <w:r>
              <w:rPr>
                <w:sz w:val="18"/>
              </w:rPr>
            </w:r>
            <w:r>
              <w:rPr>
                <w:sz w:val="18"/>
              </w:rPr>
              <w:t>David Padilla</w:t>
            </w:r>
          </w:p>
        </w:tc>
        <w:tc>
          <w:tcPr>
            <w:tcW w:type="dxa" w:w="851"/>
          </w:tcPr>
          <w:p>
            <w:pPr>
              <w:spacing w:line="240" w:lineRule="auto"/>
            </w:pPr>
            <w:r>
              <w:rPr>
                <w:sz w:val="18"/>
              </w:rPr>
            </w:r>
            <w:r>
              <w:rPr>
                <w:sz w:val="18"/>
              </w:rPr>
              <w:t>Florida</w:t>
            </w:r>
          </w:p>
        </w:tc>
        <w:tc>
          <w:tcPr>
            <w:tcW w:type="dxa" w:w="851"/>
          </w:tcPr>
          <w:p>
            <w:pPr>
              <w:spacing w:line="240" w:lineRule="auto"/>
            </w:pPr>
            <w:r>
              <w:rPr>
                <w:sz w:val="18"/>
              </w:rPr>
            </w:r>
            <w:r>
              <w:rPr>
                <w:sz w:val="18"/>
              </w:rPr>
              <w:t>Miami</w:t>
            </w:r>
          </w:p>
        </w:tc>
      </w:tr>
      <w:tr>
        <w:tc>
          <w:tcPr>
            <w:tcW w:type="dxa" w:w="851"/>
          </w:tcPr>
          <w:p>
            <w:pPr>
              <w:spacing w:line="240" w:lineRule="auto"/>
            </w:pPr>
            <w:r>
              <w:rPr>
                <w:sz w:val="18"/>
              </w:rPr>
            </w:r>
            <w:r>
              <w:rPr>
                <w:sz w:val="18"/>
              </w:rPr>
              <w:t>B-26776</w:t>
            </w:r>
          </w:p>
        </w:tc>
        <w:tc>
          <w:tcPr>
            <w:tcW w:type="dxa" w:w="851"/>
          </w:tcPr>
          <w:p>
            <w:pPr>
              <w:spacing w:line="240" w:lineRule="auto"/>
            </w:pPr>
            <w:r>
              <w:rPr>
                <w:sz w:val="18"/>
              </w:rPr>
            </w:r>
            <w:r>
              <w:rPr>
                <w:sz w:val="18"/>
              </w:rPr>
              <w:t>9,726</w:t>
            </w:r>
          </w:p>
        </w:tc>
        <w:tc>
          <w:tcPr>
            <w:tcW w:type="dxa" w:w="851"/>
          </w:tcPr>
          <w:p>
            <w:pPr>
              <w:spacing w:line="240" w:lineRule="auto"/>
            </w:pPr>
            <w:r>
              <w:rPr>
                <w:sz w:val="18"/>
              </w:rPr>
            </w:r>
            <w:r>
              <w:rPr>
                <w:sz w:val="18"/>
              </w:rPr>
              <w:t>1,275</w:t>
            </w:r>
          </w:p>
        </w:tc>
        <w:tc>
          <w:tcPr>
            <w:tcW w:type="dxa" w:w="851"/>
          </w:tcPr>
          <w:p>
            <w:pPr>
              <w:spacing w:line="240" w:lineRule="auto"/>
            </w:pPr>
            <w:r>
              <w:rPr>
                <w:sz w:val="18"/>
              </w:rPr>
            </w:r>
            <w:r>
              <w:rPr>
                <w:sz w:val="18"/>
              </w:rPr>
              <w:t>5</w:t>
            </w:r>
          </w:p>
        </w:tc>
        <w:tc>
          <w:tcPr>
            <w:tcW w:type="dxa" w:w="851"/>
          </w:tcPr>
          <w:p>
            <w:pPr>
              <w:spacing w:line="240" w:lineRule="auto"/>
            </w:pPr>
            <w:r>
              <w:rPr>
                <w:sz w:val="18"/>
              </w:rPr>
            </w:r>
            <w:r>
              <w:rPr>
                <w:sz w:val="18"/>
              </w:rPr>
              <w:t>Electronics</w:t>
            </w:r>
          </w:p>
        </w:tc>
        <w:tc>
          <w:tcPr>
            <w:tcW w:type="dxa" w:w="851"/>
          </w:tcPr>
          <w:p>
            <w:pPr>
              <w:spacing w:line="240" w:lineRule="auto"/>
            </w:pPr>
            <w:r>
              <w:rPr>
                <w:sz w:val="18"/>
              </w:rPr>
            </w:r>
            <w:r>
              <w:rPr>
                <w:sz w:val="18"/>
              </w:rPr>
              <w:t>Electronic Games</w:t>
            </w:r>
          </w:p>
        </w:tc>
        <w:tc>
          <w:tcPr>
            <w:tcW w:type="dxa" w:w="851"/>
          </w:tcPr>
          <w:p>
            <w:pPr>
              <w:spacing w:line="240" w:lineRule="auto"/>
            </w:pPr>
            <w:r>
              <w:rPr>
                <w:sz w:val="18"/>
              </w:rPr>
            </w:r>
            <w:r>
              <w:rPr>
                <w:sz w:val="18"/>
              </w:rPr>
              <w:t>UPI</w:t>
            </w:r>
          </w:p>
        </w:tc>
        <w:tc>
          <w:tcPr>
            <w:tcW w:type="dxa" w:w="851"/>
          </w:tcPr>
          <w:p>
            <w:pPr>
              <w:spacing w:line="240" w:lineRule="auto"/>
            </w:pPr>
            <w:r>
              <w:rPr>
                <w:sz w:val="18"/>
              </w:rPr>
            </w:r>
            <w:r>
              <w:rPr>
                <w:sz w:val="18"/>
              </w:rPr>
              <w:t>2024-12-27</w:t>
            </w:r>
          </w:p>
        </w:tc>
        <w:tc>
          <w:tcPr>
            <w:tcW w:type="dxa" w:w="851"/>
          </w:tcPr>
          <w:p>
            <w:pPr>
              <w:spacing w:line="240" w:lineRule="auto"/>
            </w:pPr>
            <w:r>
              <w:rPr>
                <w:sz w:val="18"/>
              </w:rPr>
            </w:r>
            <w:r>
              <w:rPr>
                <w:sz w:val="18"/>
              </w:rPr>
              <w:t>Connor Morgan</w:t>
            </w:r>
          </w:p>
        </w:tc>
        <w:tc>
          <w:tcPr>
            <w:tcW w:type="dxa" w:w="851"/>
          </w:tcPr>
          <w:p>
            <w:pPr>
              <w:spacing w:line="240" w:lineRule="auto"/>
            </w:pPr>
            <w:r>
              <w:rPr>
                <w:sz w:val="18"/>
              </w:rPr>
            </w:r>
            <w:r>
              <w:rPr>
                <w:sz w:val="18"/>
              </w:rPr>
              <w:t>Illinois</w:t>
            </w:r>
          </w:p>
        </w:tc>
        <w:tc>
          <w:tcPr>
            <w:tcW w:type="dxa" w:w="851"/>
          </w:tcPr>
          <w:p>
            <w:pPr>
              <w:spacing w:line="240" w:lineRule="auto"/>
            </w:pPr>
            <w:r>
              <w:rPr>
                <w:sz w:val="18"/>
              </w:rPr>
            </w:r>
            <w:r>
              <w:rPr>
                <w:sz w:val="18"/>
              </w:rPr>
              <w:t>Chicago</w:t>
            </w:r>
          </w:p>
        </w:tc>
      </w:tr>
    </w:tbl>
    <w:p>
      <w:pPr>
        <w:spacing w:after="200" w:line="240" w:lineRule="auto"/>
        <w:jc w:val="center"/>
      </w:pPr>
      <w:r>
        <w:rPr>
          <w:i/>
          <w:color w:val="7B8994"/>
          <w:sz w:val="20"/>
        </w:rPr>
        <w:t>Table 23. The raw export as received. The first two rows share one Order ID across different dates and customers.</w:t>
      </w:r>
    </w:p>
    <w:p>
      <w:r>
        <w:t xml:space="preserve">Full file: </w:t>
      </w:r>
      <w:r>
        <w:rPr>
          <w:rFonts w:ascii="Consolas" w:hAnsi="Consolas"/>
          <w:color w:val="2F6F9F"/>
          <w:sz w:val="18"/>
        </w:rPr>
        <w:t>data/raw/sales_dataset_raw.csv</w:t>
      </w:r>
      <w:r>
        <w:t>, 1,194 rows × 12 columns.</w:t>
      </w:r>
    </w:p>
    <w:p>
      <w:pPr>
        <w:pStyle w:val="Heading2"/>
      </w:pPr>
      <w:r>
        <w:t>Appendix D — Data dictionary</w:t>
      </w:r>
    </w:p>
    <w:tbl>
      <w:tblPr>
        <w:tblStyle w:val="LightGrid-Accent1"/>
        <w:tblW w:type="auto" w:w="0"/>
        <w:jc w:val="center"/>
        <w:tblLayout w:type="autofit"/>
        <w:tblLook w:firstColumn="1" w:firstRow="1" w:lastColumn="0" w:lastRow="0" w:noHBand="0" w:noVBand="1" w:val="04A0"/>
      </w:tblPr>
      <w:tblGrid>
        <w:gridCol w:w="3120"/>
        <w:gridCol w:w="3120"/>
        <w:gridCol w:w="3120"/>
      </w:tblGrid>
      <w:tr>
        <w:tc>
          <w:tcPr>
            <w:tcW w:type="dxa" w:w="3120"/>
          </w:tcPr>
          <w:p>
            <w:r>
              <w:rPr>
                <w:b/>
              </w:rPr>
            </w:r>
            <w:r>
              <w:rPr>
                <w:b/>
              </w:rPr>
              <w:t>Column</w:t>
            </w:r>
          </w:p>
        </w:tc>
        <w:tc>
          <w:tcPr>
            <w:tcW w:type="dxa" w:w="3120"/>
          </w:tcPr>
          <w:p>
            <w:r>
              <w:rPr>
                <w:b/>
              </w:rPr>
            </w:r>
            <w:r>
              <w:rPr>
                <w:b/>
              </w:rPr>
              <w:t>Type</w:t>
            </w:r>
          </w:p>
        </w:tc>
        <w:tc>
          <w:tcPr>
            <w:tcW w:type="dxa" w:w="3120"/>
          </w:tcPr>
          <w:p>
            <w:r>
              <w:rPr>
                <w:b/>
              </w:rPr>
            </w:r>
            <w:r>
              <w:rPr>
                <w:b/>
              </w:rPr>
              <w:t>Description</w:t>
            </w:r>
          </w:p>
        </w:tc>
      </w:tr>
      <w:tr>
        <w:tc>
          <w:tcPr>
            <w:tcW w:type="dxa" w:w="3120"/>
          </w:tcPr>
          <w:p>
            <w:pPr>
              <w:spacing w:line="240" w:lineRule="auto"/>
            </w:pPr>
            <w:r>
              <w:rPr>
                <w:sz w:val="18"/>
              </w:rPr>
            </w:r>
            <w:r>
              <w:rPr>
                <w:sz w:val="18"/>
              </w:rPr>
              <w:t>Order ID</w:t>
            </w:r>
          </w:p>
        </w:tc>
        <w:tc>
          <w:tcPr>
            <w:tcW w:type="dxa" w:w="3120"/>
          </w:tcPr>
          <w:p>
            <w:pPr>
              <w:spacing w:line="240" w:lineRule="auto"/>
            </w:pPr>
            <w:r>
              <w:rPr>
                <w:sz w:val="18"/>
              </w:rPr>
            </w:r>
            <w:r>
              <w:rPr>
                <w:sz w:val="18"/>
              </w:rPr>
              <w:t>VARCHAR(20)</w:t>
            </w:r>
          </w:p>
        </w:tc>
        <w:tc>
          <w:tcPr>
            <w:tcW w:type="dxa" w:w="3120"/>
          </w:tcPr>
          <w:p>
            <w:pPr>
              <w:spacing w:line="240" w:lineRule="auto"/>
            </w:pPr>
            <w:r>
              <w:rPr>
                <w:sz w:val="18"/>
              </w:rPr>
            </w:r>
            <w:r>
              <w:rPr>
                <w:sz w:val="18"/>
              </w:rPr>
              <w:t xml:space="preserve">Order reference label. </w:t>
            </w:r>
            <w:r>
              <w:rPr>
                <w:b/>
                <w:sz w:val="18"/>
              </w:rPr>
              <w:t>Not unique</w:t>
            </w:r>
            <w:r>
              <w:rPr>
                <w:sz w:val="18"/>
              </w:rPr>
              <w:t xml:space="preserve"> — 547 distinct values over 1,194 rows</w:t>
            </w:r>
          </w:p>
        </w:tc>
      </w:tr>
      <w:tr>
        <w:tc>
          <w:tcPr>
            <w:tcW w:type="dxa" w:w="3120"/>
          </w:tcPr>
          <w:p>
            <w:pPr>
              <w:spacing w:line="240" w:lineRule="auto"/>
            </w:pPr>
            <w:r>
              <w:rPr>
                <w:sz w:val="18"/>
              </w:rPr>
            </w:r>
            <w:r>
              <w:rPr>
                <w:sz w:val="18"/>
              </w:rPr>
              <w:t>Amount</w:t>
            </w:r>
          </w:p>
        </w:tc>
        <w:tc>
          <w:tcPr>
            <w:tcW w:type="dxa" w:w="3120"/>
          </w:tcPr>
          <w:p>
            <w:pPr>
              <w:spacing w:line="240" w:lineRule="auto"/>
            </w:pPr>
            <w:r>
              <w:rPr>
                <w:sz w:val="18"/>
              </w:rPr>
            </w:r>
            <w:r>
              <w:rPr>
                <w:sz w:val="18"/>
              </w:rPr>
              <w:t>DECIMAL(12,2)</w:t>
            </w:r>
          </w:p>
        </w:tc>
        <w:tc>
          <w:tcPr>
            <w:tcW w:type="dxa" w:w="3120"/>
          </w:tcPr>
          <w:p>
            <w:pPr>
              <w:spacing w:line="240" w:lineRule="auto"/>
            </w:pPr>
            <w:r>
              <w:rPr>
                <w:sz w:val="18"/>
              </w:rPr>
            </w:r>
            <w:r>
              <w:rPr>
                <w:sz w:val="18"/>
              </w:rPr>
              <w:t>Revenue for the transaction line. Range 508–9,992</w:t>
            </w:r>
          </w:p>
        </w:tc>
      </w:tr>
      <w:tr>
        <w:tc>
          <w:tcPr>
            <w:tcW w:type="dxa" w:w="3120"/>
          </w:tcPr>
          <w:p>
            <w:pPr>
              <w:spacing w:line="240" w:lineRule="auto"/>
            </w:pPr>
            <w:r>
              <w:rPr>
                <w:sz w:val="18"/>
              </w:rPr>
            </w:r>
            <w:r>
              <w:rPr>
                <w:sz w:val="18"/>
              </w:rPr>
              <w:t>Profit</w:t>
            </w:r>
          </w:p>
        </w:tc>
        <w:tc>
          <w:tcPr>
            <w:tcW w:type="dxa" w:w="3120"/>
          </w:tcPr>
          <w:p>
            <w:pPr>
              <w:spacing w:line="240" w:lineRule="auto"/>
            </w:pPr>
            <w:r>
              <w:rPr>
                <w:sz w:val="18"/>
              </w:rPr>
            </w:r>
            <w:r>
              <w:rPr>
                <w:sz w:val="18"/>
              </w:rPr>
              <w:t>DECIMAL(12,2)</w:t>
            </w:r>
          </w:p>
        </w:tc>
        <w:tc>
          <w:tcPr>
            <w:tcW w:type="dxa" w:w="3120"/>
          </w:tcPr>
          <w:p>
            <w:pPr>
              <w:spacing w:line="240" w:lineRule="auto"/>
            </w:pPr>
            <w:r>
              <w:rPr>
                <w:sz w:val="18"/>
              </w:rPr>
            </w:r>
            <w:r>
              <w:rPr>
                <w:sz w:val="18"/>
              </w:rPr>
              <w:t>Gross profit for the line. Range 50–4,930</w:t>
            </w:r>
          </w:p>
        </w:tc>
      </w:tr>
      <w:tr>
        <w:tc>
          <w:tcPr>
            <w:tcW w:type="dxa" w:w="3120"/>
          </w:tcPr>
          <w:p>
            <w:pPr>
              <w:spacing w:line="240" w:lineRule="auto"/>
            </w:pPr>
            <w:r>
              <w:rPr>
                <w:sz w:val="18"/>
              </w:rPr>
            </w:r>
            <w:r>
              <w:rPr>
                <w:sz w:val="18"/>
              </w:rPr>
              <w:t>Quantity</w:t>
            </w:r>
          </w:p>
        </w:tc>
        <w:tc>
          <w:tcPr>
            <w:tcW w:type="dxa" w:w="3120"/>
          </w:tcPr>
          <w:p>
            <w:pPr>
              <w:spacing w:line="240" w:lineRule="auto"/>
            </w:pPr>
            <w:r>
              <w:rPr>
                <w:sz w:val="18"/>
              </w:rPr>
            </w:r>
            <w:r>
              <w:rPr>
                <w:sz w:val="18"/>
              </w:rPr>
              <w:t>INTEGER</w:t>
            </w:r>
          </w:p>
        </w:tc>
        <w:tc>
          <w:tcPr>
            <w:tcW w:type="dxa" w:w="3120"/>
          </w:tcPr>
          <w:p>
            <w:pPr>
              <w:spacing w:line="240" w:lineRule="auto"/>
            </w:pPr>
            <w:r>
              <w:rPr>
                <w:sz w:val="18"/>
              </w:rPr>
            </w:r>
            <w:r>
              <w:rPr>
                <w:sz w:val="18"/>
              </w:rPr>
              <w:t>Units sold on the line. Range 1–20</w:t>
            </w:r>
          </w:p>
        </w:tc>
      </w:tr>
      <w:tr>
        <w:tc>
          <w:tcPr>
            <w:tcW w:type="dxa" w:w="3120"/>
          </w:tcPr>
          <w:p>
            <w:pPr>
              <w:spacing w:line="240" w:lineRule="auto"/>
            </w:pPr>
            <w:r>
              <w:rPr>
                <w:sz w:val="18"/>
              </w:rPr>
            </w:r>
            <w:r>
              <w:rPr>
                <w:sz w:val="18"/>
              </w:rPr>
              <w:t>Category</w:t>
            </w:r>
          </w:p>
        </w:tc>
        <w:tc>
          <w:tcPr>
            <w:tcW w:type="dxa" w:w="3120"/>
          </w:tcPr>
          <w:p>
            <w:pPr>
              <w:spacing w:line="240" w:lineRule="auto"/>
            </w:pPr>
            <w:r>
              <w:rPr>
                <w:sz w:val="18"/>
              </w:rPr>
            </w:r>
            <w:r>
              <w:rPr>
                <w:sz w:val="18"/>
              </w:rPr>
              <w:t>VARCHAR(60)</w:t>
            </w:r>
          </w:p>
        </w:tc>
        <w:tc>
          <w:tcPr>
            <w:tcW w:type="dxa" w:w="3120"/>
          </w:tcPr>
          <w:p>
            <w:pPr>
              <w:spacing w:line="240" w:lineRule="auto"/>
            </w:pPr>
            <w:r>
              <w:rPr>
                <w:sz w:val="18"/>
              </w:rPr>
            </w:r>
            <w:r>
              <w:rPr>
                <w:sz w:val="18"/>
              </w:rPr>
              <w:t>Electronics, Furniture, Office Supplies</w:t>
            </w:r>
          </w:p>
        </w:tc>
      </w:tr>
      <w:tr>
        <w:tc>
          <w:tcPr>
            <w:tcW w:type="dxa" w:w="3120"/>
          </w:tcPr>
          <w:p>
            <w:pPr>
              <w:spacing w:line="240" w:lineRule="auto"/>
            </w:pPr>
            <w:r>
              <w:rPr>
                <w:sz w:val="18"/>
              </w:rPr>
            </w:r>
            <w:r>
              <w:rPr>
                <w:sz w:val="18"/>
              </w:rPr>
              <w:t>Sub-Category</w:t>
            </w:r>
          </w:p>
        </w:tc>
        <w:tc>
          <w:tcPr>
            <w:tcW w:type="dxa" w:w="3120"/>
          </w:tcPr>
          <w:p>
            <w:pPr>
              <w:spacing w:line="240" w:lineRule="auto"/>
            </w:pPr>
            <w:r>
              <w:rPr>
                <w:sz w:val="18"/>
              </w:rPr>
            </w:r>
            <w:r>
              <w:rPr>
                <w:sz w:val="18"/>
              </w:rPr>
              <w:t>VARCHAR(60)</w:t>
            </w:r>
          </w:p>
        </w:tc>
        <w:tc>
          <w:tcPr>
            <w:tcW w:type="dxa" w:w="3120"/>
          </w:tcPr>
          <w:p>
            <w:pPr>
              <w:spacing w:line="240" w:lineRule="auto"/>
            </w:pPr>
            <w:r>
              <w:rPr>
                <w:sz w:val="18"/>
              </w:rPr>
            </w:r>
            <w:r>
              <w:rPr>
                <w:sz w:val="18"/>
              </w:rPr>
              <w:t>Twelve values, e.g. Printers, Sofas, Paper</w:t>
            </w:r>
          </w:p>
        </w:tc>
      </w:tr>
      <w:tr>
        <w:tc>
          <w:tcPr>
            <w:tcW w:type="dxa" w:w="3120"/>
          </w:tcPr>
          <w:p>
            <w:pPr>
              <w:spacing w:line="240" w:lineRule="auto"/>
            </w:pPr>
            <w:r>
              <w:rPr>
                <w:sz w:val="18"/>
              </w:rPr>
            </w:r>
            <w:r>
              <w:rPr>
                <w:sz w:val="18"/>
              </w:rPr>
              <w:t>PaymentMode</w:t>
            </w:r>
          </w:p>
        </w:tc>
        <w:tc>
          <w:tcPr>
            <w:tcW w:type="dxa" w:w="3120"/>
          </w:tcPr>
          <w:p>
            <w:pPr>
              <w:spacing w:line="240" w:lineRule="auto"/>
            </w:pPr>
            <w:r>
              <w:rPr>
                <w:sz w:val="18"/>
              </w:rPr>
            </w:r>
            <w:r>
              <w:rPr>
                <w:sz w:val="18"/>
              </w:rPr>
              <w:t>VARCHAR(40)</w:t>
            </w:r>
          </w:p>
        </w:tc>
        <w:tc>
          <w:tcPr>
            <w:tcW w:type="dxa" w:w="3120"/>
          </w:tcPr>
          <w:p>
            <w:pPr>
              <w:spacing w:line="240" w:lineRule="auto"/>
            </w:pPr>
            <w:r>
              <w:rPr>
                <w:sz w:val="18"/>
              </w:rPr>
            </w:r>
            <w:r>
              <w:rPr>
                <w:sz w:val="18"/>
              </w:rPr>
              <w:t>COD, Credit Card, Debit Card, EMI, UPI</w:t>
            </w:r>
          </w:p>
        </w:tc>
      </w:tr>
      <w:tr>
        <w:tc>
          <w:tcPr>
            <w:tcW w:type="dxa" w:w="3120"/>
          </w:tcPr>
          <w:p>
            <w:pPr>
              <w:spacing w:line="240" w:lineRule="auto"/>
            </w:pPr>
            <w:r>
              <w:rPr>
                <w:sz w:val="18"/>
              </w:rPr>
            </w:r>
            <w:r>
              <w:rPr>
                <w:sz w:val="18"/>
              </w:rPr>
              <w:t>Order Date</w:t>
            </w:r>
          </w:p>
        </w:tc>
        <w:tc>
          <w:tcPr>
            <w:tcW w:type="dxa" w:w="3120"/>
          </w:tcPr>
          <w:p>
            <w:pPr>
              <w:spacing w:line="240" w:lineRule="auto"/>
            </w:pPr>
            <w:r>
              <w:rPr>
                <w:sz w:val="18"/>
              </w:rPr>
            </w:r>
            <w:r>
              <w:rPr>
                <w:sz w:val="18"/>
              </w:rPr>
              <w:t>DATE</w:t>
            </w:r>
          </w:p>
        </w:tc>
        <w:tc>
          <w:tcPr>
            <w:tcW w:type="dxa" w:w="3120"/>
          </w:tcPr>
          <w:p>
            <w:pPr>
              <w:spacing w:line="240" w:lineRule="auto"/>
            </w:pPr>
            <w:r>
              <w:rPr>
                <w:sz w:val="18"/>
              </w:rPr>
            </w:r>
            <w:r>
              <w:rPr>
                <w:sz w:val="18"/>
              </w:rPr>
              <w:t>Transaction date. 648 distinct dates</w:t>
            </w:r>
          </w:p>
        </w:tc>
      </w:tr>
      <w:tr>
        <w:tc>
          <w:tcPr>
            <w:tcW w:type="dxa" w:w="3120"/>
          </w:tcPr>
          <w:p>
            <w:pPr>
              <w:spacing w:line="240" w:lineRule="auto"/>
            </w:pPr>
            <w:r>
              <w:rPr>
                <w:sz w:val="18"/>
              </w:rPr>
            </w:r>
            <w:r>
              <w:rPr>
                <w:sz w:val="18"/>
              </w:rPr>
              <w:t>CustomerName</w:t>
            </w:r>
          </w:p>
        </w:tc>
        <w:tc>
          <w:tcPr>
            <w:tcW w:type="dxa" w:w="3120"/>
          </w:tcPr>
          <w:p>
            <w:pPr>
              <w:spacing w:line="240" w:lineRule="auto"/>
            </w:pPr>
            <w:r>
              <w:rPr>
                <w:sz w:val="18"/>
              </w:rPr>
            </w:r>
            <w:r>
              <w:rPr>
                <w:sz w:val="18"/>
              </w:rPr>
              <w:t>VARCHAR(120)</w:t>
            </w:r>
          </w:p>
        </w:tc>
        <w:tc>
          <w:tcPr>
            <w:tcW w:type="dxa" w:w="3120"/>
          </w:tcPr>
          <w:p>
            <w:pPr>
              <w:spacing w:line="240" w:lineRule="auto"/>
            </w:pPr>
            <w:r>
              <w:rPr>
                <w:sz w:val="18"/>
              </w:rPr>
            </w:r>
            <w:r>
              <w:rPr>
                <w:sz w:val="18"/>
              </w:rPr>
              <w:t>802 distinct values. Not a unique key</w:t>
            </w:r>
          </w:p>
        </w:tc>
      </w:tr>
      <w:tr>
        <w:tc>
          <w:tcPr>
            <w:tcW w:type="dxa" w:w="3120"/>
          </w:tcPr>
          <w:p>
            <w:pPr>
              <w:spacing w:line="240" w:lineRule="auto"/>
            </w:pPr>
            <w:r>
              <w:rPr>
                <w:sz w:val="18"/>
              </w:rPr>
            </w:r>
            <w:r>
              <w:rPr>
                <w:sz w:val="18"/>
              </w:rPr>
              <w:t>State</w:t>
            </w:r>
          </w:p>
        </w:tc>
        <w:tc>
          <w:tcPr>
            <w:tcW w:type="dxa" w:w="3120"/>
          </w:tcPr>
          <w:p>
            <w:pPr>
              <w:spacing w:line="240" w:lineRule="auto"/>
            </w:pPr>
            <w:r>
              <w:rPr>
                <w:sz w:val="18"/>
              </w:rPr>
            </w:r>
            <w:r>
              <w:rPr>
                <w:sz w:val="18"/>
              </w:rPr>
              <w:t>VARCHAR(60)</w:t>
            </w:r>
          </w:p>
        </w:tc>
        <w:tc>
          <w:tcPr>
            <w:tcW w:type="dxa" w:w="3120"/>
          </w:tcPr>
          <w:p>
            <w:pPr>
              <w:spacing w:line="240" w:lineRule="auto"/>
            </w:pPr>
            <w:r>
              <w:rPr>
                <w:sz w:val="18"/>
              </w:rPr>
            </w:r>
            <w:r>
              <w:rPr>
                <w:sz w:val="18"/>
              </w:rPr>
              <w:t>Six US states</w:t>
            </w:r>
          </w:p>
        </w:tc>
      </w:tr>
      <w:tr>
        <w:tc>
          <w:tcPr>
            <w:tcW w:type="dxa" w:w="3120"/>
          </w:tcPr>
          <w:p>
            <w:pPr>
              <w:spacing w:line="240" w:lineRule="auto"/>
            </w:pPr>
            <w:r>
              <w:rPr>
                <w:sz w:val="18"/>
              </w:rPr>
            </w:r>
            <w:r>
              <w:rPr>
                <w:sz w:val="18"/>
              </w:rPr>
              <w:t>City</w:t>
            </w:r>
          </w:p>
        </w:tc>
        <w:tc>
          <w:tcPr>
            <w:tcW w:type="dxa" w:w="3120"/>
          </w:tcPr>
          <w:p>
            <w:pPr>
              <w:spacing w:line="240" w:lineRule="auto"/>
            </w:pPr>
            <w:r>
              <w:rPr>
                <w:sz w:val="18"/>
              </w:rPr>
            </w:r>
            <w:r>
              <w:rPr>
                <w:sz w:val="18"/>
              </w:rPr>
              <w:t>VARCHAR(60)</w:t>
            </w:r>
          </w:p>
        </w:tc>
        <w:tc>
          <w:tcPr>
            <w:tcW w:type="dxa" w:w="3120"/>
          </w:tcPr>
          <w:p>
            <w:pPr>
              <w:spacing w:line="240" w:lineRule="auto"/>
            </w:pPr>
            <w:r>
              <w:rPr>
                <w:sz w:val="18"/>
              </w:rPr>
            </w:r>
            <w:r>
              <w:rPr>
                <w:sz w:val="18"/>
              </w:rPr>
              <w:t>Eighteen cities, three per state</w:t>
            </w:r>
          </w:p>
        </w:tc>
      </w:tr>
      <w:tr>
        <w:tc>
          <w:tcPr>
            <w:tcW w:type="dxa" w:w="3120"/>
          </w:tcPr>
          <w:p>
            <w:pPr>
              <w:spacing w:line="240" w:lineRule="auto"/>
            </w:pPr>
            <w:r>
              <w:rPr>
                <w:sz w:val="18"/>
              </w:rPr>
            </w:r>
            <w:r>
              <w:rPr>
                <w:sz w:val="18"/>
              </w:rPr>
              <w:t>Year-Month</w:t>
            </w:r>
          </w:p>
        </w:tc>
        <w:tc>
          <w:tcPr>
            <w:tcW w:type="dxa" w:w="3120"/>
          </w:tcPr>
          <w:p>
            <w:pPr>
              <w:spacing w:line="240" w:lineRule="auto"/>
            </w:pPr>
            <w:r>
              <w:rPr>
                <w:sz w:val="18"/>
              </w:rPr>
            </w:r>
            <w:r>
              <w:rPr>
                <w:sz w:val="18"/>
              </w:rPr>
              <w:t>CHAR(7)</w:t>
            </w:r>
          </w:p>
        </w:tc>
        <w:tc>
          <w:tcPr>
            <w:tcW w:type="dxa" w:w="3120"/>
          </w:tcPr>
          <w:p>
            <w:pPr>
              <w:spacing w:line="240" w:lineRule="auto"/>
            </w:pPr>
            <w:r>
              <w:rPr>
                <w:sz w:val="18"/>
              </w:rPr>
            </w:r>
            <w:r>
              <w:rPr>
                <w:sz w:val="18"/>
              </w:rPr>
              <w:t>Derivable from Order Date — dropped as redundant</w:t>
            </w:r>
          </w:p>
        </w:tc>
      </w:tr>
    </w:tbl>
    <w:p>
      <w:pPr>
        <w:spacing w:after="200" w:line="240" w:lineRule="auto"/>
        <w:jc w:val="center"/>
      </w:pPr>
      <w:r>
        <w:rPr>
          <w:i/>
          <w:color w:val="7B8994"/>
          <w:sz w:val="20"/>
        </w:rPr>
        <w:t>Table 24. Data dictionary — column name, data type and description.</w:t>
      </w:r>
    </w:p>
    <w:p>
      <w:pPr>
        <w:pStyle w:val="Heading2"/>
      </w:pPr>
      <w:r>
        <w:t>Appendix E — Project artefacts</w:t>
      </w:r>
    </w:p>
    <w:tbl>
      <w:tblPr>
        <w:tblStyle w:val="LightGrid-Accent1"/>
        <w:tblW w:type="auto" w:w="0"/>
        <w:jc w:val="center"/>
        <w:tblLayout w:type="autofit"/>
        <w:tblLook w:firstColumn="1" w:firstRow="1" w:lastColumn="0" w:lastRow="0" w:noHBand="0" w:noVBand="1" w:val="04A0"/>
      </w:tblPr>
      <w:tblGrid>
        <w:gridCol w:w="4680"/>
        <w:gridCol w:w="4680"/>
      </w:tblGrid>
      <w:tr>
        <w:tc>
          <w:tcPr>
            <w:tcW w:type="dxa" w:w="4680"/>
          </w:tcPr>
          <w:p>
            <w:r>
              <w:rPr>
                <w:b/>
              </w:rPr>
            </w:r>
            <w:r>
              <w:rPr>
                <w:b/>
              </w:rPr>
              <w:t>Artefact</w:t>
            </w:r>
          </w:p>
        </w:tc>
        <w:tc>
          <w:tcPr>
            <w:tcW w:type="dxa" w:w="4680"/>
          </w:tcPr>
          <w:p>
            <w:r>
              <w:rPr>
                <w:b/>
              </w:rPr>
            </w:r>
            <w:r>
              <w:rPr>
                <w:b/>
              </w:rPr>
              <w:t>Location</w:t>
            </w:r>
          </w:p>
        </w:tc>
      </w:tr>
      <w:tr>
        <w:tc>
          <w:tcPr>
            <w:tcW w:type="dxa" w:w="4680"/>
          </w:tcPr>
          <w:p>
            <w:pPr>
              <w:spacing w:line="240" w:lineRule="auto"/>
            </w:pPr>
            <w:r>
              <w:rPr>
                <w:sz w:val="18"/>
              </w:rPr>
            </w:r>
            <w:r>
              <w:rPr>
                <w:sz w:val="18"/>
              </w:rPr>
              <w:t>Raw dataset, unmodified</w:t>
            </w:r>
          </w:p>
        </w:tc>
        <w:tc>
          <w:tcPr>
            <w:tcW w:type="dxa" w:w="4680"/>
          </w:tcPr>
          <w:p>
            <w:pPr>
              <w:spacing w:line="240" w:lineRule="auto"/>
            </w:pPr>
            <w:r>
              <w:rPr>
                <w:sz w:val="18"/>
              </w:rPr>
            </w:r>
            <w:r>
              <w:rPr>
                <w:rFonts w:ascii="Consolas" w:hAnsi="Consolas"/>
                <w:color w:val="2F6F9F"/>
                <w:sz w:val="18"/>
              </w:rPr>
              <w:t>data/raw/sales_dataset_raw.csv</w:t>
            </w:r>
          </w:p>
        </w:tc>
      </w:tr>
      <w:tr>
        <w:tc>
          <w:tcPr>
            <w:tcW w:type="dxa" w:w="4680"/>
          </w:tcPr>
          <w:p>
            <w:pPr>
              <w:spacing w:line="240" w:lineRule="auto"/>
            </w:pPr>
            <w:r>
              <w:rPr>
                <w:sz w:val="18"/>
              </w:rPr>
            </w:r>
            <w:r>
              <w:rPr>
                <w:sz w:val="18"/>
              </w:rPr>
              <w:t>Schema and one-file import</w:t>
            </w:r>
          </w:p>
        </w:tc>
        <w:tc>
          <w:tcPr>
            <w:tcW w:type="dxa" w:w="4680"/>
          </w:tcPr>
          <w:p>
            <w:pPr>
              <w:spacing w:line="240" w:lineRule="auto"/>
            </w:pPr>
            <w:r>
              <w:rPr>
                <w:sz w:val="18"/>
              </w:rPr>
            </w:r>
            <w:r>
              <w:rPr>
                <w:rFonts w:ascii="Consolas" w:hAnsi="Consolas"/>
                <w:color w:val="2F6F9F"/>
                <w:sz w:val="18"/>
              </w:rPr>
              <w:t>sql/01_schema_mysql.sql</w:t>
            </w:r>
            <w:r>
              <w:rPr>
                <w:sz w:val="18"/>
              </w:rPr>
              <w:t xml:space="preserve">, </w:t>
            </w:r>
            <w:r>
              <w:rPr>
                <w:rFonts w:ascii="Consolas" w:hAnsi="Consolas"/>
                <w:color w:val="2F6F9F"/>
                <w:sz w:val="18"/>
              </w:rPr>
              <w:t>sql/02_mysql_full_import.sql</w:t>
            </w:r>
          </w:p>
        </w:tc>
      </w:tr>
      <w:tr>
        <w:tc>
          <w:tcPr>
            <w:tcW w:type="dxa" w:w="4680"/>
          </w:tcPr>
          <w:p>
            <w:pPr>
              <w:spacing w:line="240" w:lineRule="auto"/>
            </w:pPr>
            <w:r>
              <w:rPr>
                <w:sz w:val="18"/>
              </w:rPr>
            </w:r>
            <w:r>
              <w:rPr>
                <w:sz w:val="18"/>
              </w:rPr>
              <w:t>The eight analysis queries</w:t>
            </w:r>
          </w:p>
        </w:tc>
        <w:tc>
          <w:tcPr>
            <w:tcW w:type="dxa" w:w="4680"/>
          </w:tcPr>
          <w:p>
            <w:pPr>
              <w:spacing w:line="240" w:lineRule="auto"/>
            </w:pPr>
            <w:r>
              <w:rPr>
                <w:sz w:val="18"/>
              </w:rPr>
            </w:r>
            <w:r>
              <w:rPr>
                <w:rFonts w:ascii="Consolas" w:hAnsi="Consolas"/>
                <w:color w:val="2F6F9F"/>
                <w:sz w:val="18"/>
              </w:rPr>
              <w:t>sql/04_queries.sql</w:t>
            </w:r>
          </w:p>
        </w:tc>
      </w:tr>
      <w:tr>
        <w:tc>
          <w:tcPr>
            <w:tcW w:type="dxa" w:w="4680"/>
          </w:tcPr>
          <w:p>
            <w:pPr>
              <w:spacing w:line="240" w:lineRule="auto"/>
            </w:pPr>
            <w:r>
              <w:rPr>
                <w:sz w:val="18"/>
              </w:rPr>
            </w:r>
            <w:r>
              <w:rPr>
                <w:sz w:val="18"/>
              </w:rPr>
              <w:t>Dashboard views</w:t>
            </w:r>
          </w:p>
        </w:tc>
        <w:tc>
          <w:tcPr>
            <w:tcW w:type="dxa" w:w="4680"/>
          </w:tcPr>
          <w:p>
            <w:pPr>
              <w:spacing w:line="240" w:lineRule="auto"/>
            </w:pPr>
            <w:r>
              <w:rPr>
                <w:sz w:val="18"/>
              </w:rPr>
            </w:r>
            <w:r>
              <w:rPr>
                <w:rFonts w:ascii="Consolas" w:hAnsi="Consolas"/>
                <w:color w:val="2F6F9F"/>
                <w:sz w:val="18"/>
              </w:rPr>
              <w:t>sql/06_dashboard_views.sql</w:t>
            </w:r>
          </w:p>
        </w:tc>
      </w:tr>
      <w:tr>
        <w:tc>
          <w:tcPr>
            <w:tcW w:type="dxa" w:w="4680"/>
          </w:tcPr>
          <w:p>
            <w:pPr>
              <w:spacing w:line="240" w:lineRule="auto"/>
            </w:pPr>
            <w:r>
              <w:rPr>
                <w:sz w:val="18"/>
              </w:rPr>
            </w:r>
            <w:r>
              <w:rPr>
                <w:sz w:val="18"/>
              </w:rPr>
              <w:t>Excel workbook</w:t>
            </w:r>
          </w:p>
        </w:tc>
        <w:tc>
          <w:tcPr>
            <w:tcW w:type="dxa" w:w="4680"/>
          </w:tcPr>
          <w:p>
            <w:pPr>
              <w:spacing w:line="240" w:lineRule="auto"/>
            </w:pPr>
            <w:r>
              <w:rPr>
                <w:sz w:val="18"/>
              </w:rPr>
            </w:r>
            <w:r>
              <w:rPr>
                <w:rFonts w:ascii="Consolas" w:hAnsi="Consolas"/>
                <w:color w:val="2F6F9F"/>
                <w:sz w:val="18"/>
              </w:rPr>
              <w:t>reports/Checkpoint_2_Workbook.xlsx</w:t>
            </w:r>
          </w:p>
        </w:tc>
      </w:tr>
      <w:tr>
        <w:tc>
          <w:tcPr>
            <w:tcW w:type="dxa" w:w="4680"/>
          </w:tcPr>
          <w:p>
            <w:pPr>
              <w:spacing w:line="240" w:lineRule="auto"/>
            </w:pPr>
            <w:r>
              <w:rPr>
                <w:sz w:val="18"/>
              </w:rPr>
            </w:r>
            <w:r>
              <w:rPr>
                <w:sz w:val="18"/>
              </w:rPr>
              <w:t>Power BI dashboard</w:t>
            </w:r>
          </w:p>
        </w:tc>
        <w:tc>
          <w:tcPr>
            <w:tcW w:type="dxa" w:w="4680"/>
          </w:tcPr>
          <w:p>
            <w:pPr>
              <w:spacing w:line="240" w:lineRule="auto"/>
            </w:pPr>
            <w:r>
              <w:rPr>
                <w:sz w:val="18"/>
              </w:rPr>
            </w:r>
            <w:r>
              <w:rPr>
                <w:rFonts w:ascii="Consolas" w:hAnsi="Consolas"/>
                <w:color w:val="2F6F9F"/>
                <w:sz w:val="18"/>
              </w:rPr>
              <w:t>Checkpoint_3_Dashboard.pbix</w:t>
            </w:r>
          </w:p>
        </w:tc>
      </w:tr>
      <w:tr>
        <w:tc>
          <w:tcPr>
            <w:tcW w:type="dxa" w:w="4680"/>
          </w:tcPr>
          <w:p>
            <w:pPr>
              <w:spacing w:line="240" w:lineRule="auto"/>
            </w:pPr>
            <w:r>
              <w:rPr>
                <w:sz w:val="18"/>
              </w:rPr>
            </w:r>
            <w:r>
              <w:rPr>
                <w:sz w:val="18"/>
              </w:rPr>
              <w:t>Predictive model output</w:t>
            </w:r>
          </w:p>
        </w:tc>
        <w:tc>
          <w:tcPr>
            <w:tcW w:type="dxa" w:w="4680"/>
          </w:tcPr>
          <w:p>
            <w:pPr>
              <w:spacing w:line="240" w:lineRule="auto"/>
            </w:pPr>
            <w:r>
              <w:rPr>
                <w:sz w:val="18"/>
              </w:rPr>
            </w:r>
            <w:r>
              <w:rPr>
                <w:rFonts w:ascii="Consolas" w:hAnsi="Consolas"/>
                <w:color w:val="2F6F9F"/>
                <w:sz w:val="18"/>
              </w:rPr>
              <w:t>reports/predictive_model_results.md</w:t>
            </w:r>
          </w:p>
        </w:tc>
      </w:tr>
      <w:tr>
        <w:tc>
          <w:tcPr>
            <w:tcW w:type="dxa" w:w="4680"/>
          </w:tcPr>
          <w:p>
            <w:pPr>
              <w:spacing w:line="240" w:lineRule="auto"/>
            </w:pPr>
            <w:r>
              <w:rPr>
                <w:sz w:val="18"/>
              </w:rPr>
            </w:r>
            <w:r>
              <w:rPr>
                <w:sz w:val="18"/>
              </w:rPr>
              <w:t>Defense slide deck</w:t>
            </w:r>
          </w:p>
        </w:tc>
        <w:tc>
          <w:tcPr>
            <w:tcW w:type="dxa" w:w="4680"/>
          </w:tcPr>
          <w:p>
            <w:pPr>
              <w:spacing w:line="240" w:lineRule="auto"/>
            </w:pPr>
            <w:r>
              <w:rPr>
                <w:sz w:val="18"/>
              </w:rPr>
            </w:r>
            <w:r>
              <w:rPr>
                <w:rFonts w:ascii="Consolas" w:hAnsi="Consolas"/>
                <w:color w:val="2F6F9F"/>
                <w:sz w:val="18"/>
              </w:rPr>
              <w:t>reports/Capstone_Defense_Deck.pptx</w:t>
            </w:r>
          </w:p>
        </w:tc>
      </w:tr>
    </w:tbl>
    <w:p>
      <w:pPr>
        <w:spacing w:after="200" w:line="240" w:lineRule="auto"/>
        <w:jc w:val="center"/>
      </w:pPr>
      <w:r>
        <w:rPr>
          <w:i/>
          <w:color w:val="7B8994"/>
          <w:sz w:val="20"/>
        </w:rPr>
        <w:t>Table 25. Where each artefact lives.</w:t>
      </w:r>
    </w:p>
    <w:p>
      <w:r>
        <w:br w:type="page"/>
      </w:r>
    </w:p>
    <w:p>
      <w:r>
        <w:rPr>
          <w:i/>
        </w:rPr>
        <w:t>Prepared in partial fulfilment of BED 106 — Business Analytics, Talibon Polytechnic College, A.Y. 2026–2027.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Arial" w:hAnsi="Arial"/>
      <w:color w:val="1F29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b/>
      <w:bCs/>
      <w:color w:val="2F6F9F"/>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b/>
      <w:bCs/>
      <w:color w:val="1F2933"/>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