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Checkpoint 4 — Capstone Analytics Project &amp; Final Defense</w:t>
      </w:r>
    </w:p>
    <w:p>
      <w:r>
        <w:rPr>
          <w:b/>
        </w:rPr>
        <w:t>BED 106 Business Analytics — Mini Capstone Project</w:t>
      </w:r>
      <w:r>
        <w:t xml:space="preserve"> Final Period · Weeks 14–18 · 100 Points</w:t>
      </w:r>
    </w:p>
    <w:p>
      <w:r>
        <w:br w:type="page"/>
      </w:r>
    </w:p>
    <w:p>
      <w:pPr>
        <w:pStyle w:val="Heading1"/>
      </w:pPr>
      <w:r>
        <w:t>Task 4.1 — Predictive Analytics Application</w:t>
      </w:r>
    </w:p>
    <w:p>
      <w:r>
        <w:rPr>
          <w:b/>
        </w:rPr>
        <w:t>Technique:</w:t>
      </w:r>
      <w:r>
        <w:t xml:space="preserve"> multiple linear regression, extending the simple regression from Checkpoint 2. Computed by </w:t>
      </w:r>
      <w:r>
        <w:rPr>
          <w:rFonts w:ascii="Consolas" w:hAnsi="Consolas"/>
          <w:color w:val="2F6F9F"/>
          <w:sz w:val="18"/>
        </w:rPr>
        <w:t>scripts/build_predictive_model.py</w:t>
      </w:r>
      <w:r>
        <w:t xml:space="preserve">; full output in </w:t>
      </w:r>
      <w:r>
        <w:rPr>
          <w:rFonts w:ascii="Consolas" w:hAnsi="Consolas"/>
          <w:color w:val="2F6F9F"/>
          <w:sz w:val="18"/>
        </w:rPr>
        <w:t>reports/predictive_model_results.md</w:t>
      </w:r>
      <w:r>
        <w:t>.</w:t>
      </w:r>
    </w:p>
    <w:p>
      <w:pPr>
        <w:pStyle w:val="Heading2"/>
      </w:pPr>
      <w:r>
        <w:t>The model</w:t>
      </w:r>
    </w:p>
    <w:p>
      <w:r>
        <w:rPr>
          <w:b/>
        </w:rPr>
        <w:t>Output variable:</w:t>
      </w:r>
      <w:r>
        <w:t xml:space="preserve"> monthly revenue.</w:t>
      </w:r>
    </w:p>
    <w:p>
      <w:r>
        <w:rPr>
          <w:b/>
        </w:rPr>
        <w:t>Predictors tested:</w:t>
      </w:r>
      <w:r>
        <w:t xml:space="preserve"> order count, units sold, distinct customers, Electronics share of lines, a time index, and quarter indicators for Q2, Q3 and Q4.</w:t>
      </w:r>
    </w:p>
    <w:p>
      <w:r>
        <w:t xml:space="preserve">The Electronics share is computed from </w:t>
      </w:r>
      <w:r>
        <w:rPr>
          <w:i/>
        </w:rPr>
        <w:t>line counts</w:t>
      </w:r>
      <w:r>
        <w:t>, not from revenue. A revenue share would be derived from the target and would leak it back into the model — a mistake that inflates R² while predicting nothing.</w:t>
      </w:r>
    </w:p>
    <w:p>
      <w:r>
        <w:t>Three models were fitted on the same 57-month window Checkpoint 2 used, trained on the first 51 months with the last six held out and never fitted.</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Model</w:t>
            </w:r>
          </w:p>
        </w:tc>
        <w:tc>
          <w:tcPr>
            <w:tcW w:type="dxa" w:w="2340"/>
          </w:tcPr>
          <w:p>
            <w:r>
              <w:rPr>
                <w:b/>
              </w:rPr>
            </w:r>
            <w:r>
              <w:rPr>
                <w:b/>
              </w:rPr>
              <w:t>Specification</w:t>
            </w:r>
          </w:p>
        </w:tc>
        <w:tc>
          <w:tcPr>
            <w:tcW w:type="dxa" w:w="2340"/>
          </w:tcPr>
          <w:p>
            <w:r>
              <w:rPr>
                <w:b/>
              </w:rPr>
            </w:r>
            <w:r>
              <w:rPr>
                <w:b/>
              </w:rPr>
              <w:t>R²</w:t>
            </w:r>
          </w:p>
        </w:tc>
        <w:tc>
          <w:tcPr>
            <w:tcW w:type="dxa" w:w="2340"/>
          </w:tcPr>
          <w:p>
            <w:r>
              <w:rPr>
                <w:b/>
              </w:rPr>
            </w:r>
            <w:r>
              <w:rPr>
                <w:b/>
              </w:rPr>
              <w:t>Adjusted R²</w:t>
            </w:r>
          </w:p>
        </w:tc>
      </w:tr>
      <w:tr>
        <w:tc>
          <w:tcPr>
            <w:tcW w:type="dxa" w:w="2340"/>
          </w:tcPr>
          <w:p>
            <w:pPr>
              <w:spacing w:line="240" w:lineRule="auto"/>
            </w:pPr>
            <w:r>
              <w:rPr>
                <w:sz w:val="18"/>
              </w:rPr>
            </w:r>
            <w:r>
              <w:rPr>
                <w:sz w:val="18"/>
              </w:rPr>
              <w:t>A</w:t>
            </w:r>
          </w:p>
        </w:tc>
        <w:tc>
          <w:tcPr>
            <w:tcW w:type="dxa" w:w="2340"/>
          </w:tcPr>
          <w:p>
            <w:pPr>
              <w:spacing w:line="240" w:lineRule="auto"/>
            </w:pPr>
            <w:r>
              <w:rPr>
                <w:sz w:val="18"/>
              </w:rPr>
            </w:r>
            <w:r>
              <w:rPr>
                <w:rFonts w:ascii="Consolas" w:hAnsi="Consolas"/>
                <w:color w:val="2F6F9F"/>
                <w:sz w:val="18"/>
              </w:rPr>
              <w:t>revenue ~ orders</w:t>
            </w:r>
            <w:r>
              <w:rPr>
                <w:sz w:val="18"/>
              </w:rPr>
              <w:t xml:space="preserve"> — the Checkpoint 2 baseline</w:t>
            </w:r>
          </w:p>
        </w:tc>
        <w:tc>
          <w:tcPr>
            <w:tcW w:type="dxa" w:w="2340"/>
          </w:tcPr>
          <w:p>
            <w:pPr>
              <w:spacing w:line="240" w:lineRule="auto"/>
            </w:pPr>
            <w:r>
              <w:rPr>
                <w:sz w:val="18"/>
              </w:rPr>
            </w:r>
            <w:r>
              <w:rPr>
                <w:sz w:val="18"/>
              </w:rPr>
              <w:t>0.8562</w:t>
            </w:r>
          </w:p>
        </w:tc>
        <w:tc>
          <w:tcPr>
            <w:tcW w:type="dxa" w:w="2340"/>
          </w:tcPr>
          <w:p>
            <w:pPr>
              <w:spacing w:line="240" w:lineRule="auto"/>
            </w:pPr>
            <w:r>
              <w:rPr>
                <w:sz w:val="18"/>
              </w:rPr>
            </w:r>
            <w:r>
              <w:rPr>
                <w:sz w:val="18"/>
              </w:rPr>
              <w:t>0.8533</w:t>
            </w:r>
          </w:p>
        </w:tc>
      </w:tr>
      <w:tr>
        <w:tc>
          <w:tcPr>
            <w:tcW w:type="dxa" w:w="2340"/>
          </w:tcPr>
          <w:p>
            <w:pPr>
              <w:spacing w:line="240" w:lineRule="auto"/>
            </w:pPr>
            <w:r>
              <w:rPr>
                <w:sz w:val="18"/>
              </w:rPr>
            </w:r>
            <w:r>
              <w:rPr>
                <w:sz w:val="18"/>
              </w:rPr>
              <w:t>B</w:t>
            </w:r>
          </w:p>
        </w:tc>
        <w:tc>
          <w:tcPr>
            <w:tcW w:type="dxa" w:w="2340"/>
          </w:tcPr>
          <w:p>
            <w:pPr>
              <w:spacing w:line="240" w:lineRule="auto"/>
            </w:pPr>
            <w:r>
              <w:rPr>
                <w:sz w:val="18"/>
              </w:rPr>
            </w:r>
            <w:r>
              <w:rPr>
                <w:sz w:val="18"/>
              </w:rPr>
              <w:t>all eight predictors</w:t>
            </w:r>
          </w:p>
        </w:tc>
        <w:tc>
          <w:tcPr>
            <w:tcW w:type="dxa" w:w="2340"/>
          </w:tcPr>
          <w:p>
            <w:pPr>
              <w:spacing w:line="240" w:lineRule="auto"/>
            </w:pPr>
            <w:r>
              <w:rPr>
                <w:sz w:val="18"/>
              </w:rPr>
            </w:r>
            <w:r>
              <w:rPr>
                <w:sz w:val="18"/>
              </w:rPr>
              <w:t>0.8746</w:t>
            </w:r>
          </w:p>
        </w:tc>
        <w:tc>
          <w:tcPr>
            <w:tcW w:type="dxa" w:w="2340"/>
          </w:tcPr>
          <w:p>
            <w:pPr>
              <w:spacing w:line="240" w:lineRule="auto"/>
            </w:pPr>
            <w:r>
              <w:rPr>
                <w:sz w:val="18"/>
              </w:rPr>
            </w:r>
            <w:r>
              <w:rPr>
                <w:b/>
                <w:sz w:val="18"/>
              </w:rPr>
              <w:t>0.8507</w:t>
            </w:r>
          </w:p>
        </w:tc>
      </w:tr>
      <w:tr>
        <w:tc>
          <w:tcPr>
            <w:tcW w:type="dxa" w:w="2340"/>
          </w:tcPr>
          <w:p>
            <w:pPr>
              <w:spacing w:line="240" w:lineRule="auto"/>
            </w:pPr>
            <w:r>
              <w:rPr>
                <w:sz w:val="18"/>
              </w:rPr>
            </w:r>
            <w:r>
              <w:rPr>
                <w:sz w:val="18"/>
              </w:rPr>
              <w:t>C</w:t>
            </w:r>
          </w:p>
        </w:tc>
        <w:tc>
          <w:tcPr>
            <w:tcW w:type="dxa" w:w="2340"/>
          </w:tcPr>
          <w:p>
            <w:pPr>
              <w:spacing w:line="240" w:lineRule="auto"/>
            </w:pPr>
            <w:r>
              <w:rPr>
                <w:sz w:val="18"/>
              </w:rPr>
            </w:r>
            <w:r>
              <w:rPr>
                <w:rFonts w:ascii="Consolas" w:hAnsi="Consolas"/>
                <w:color w:val="2F6F9F"/>
                <w:sz w:val="18"/>
              </w:rPr>
              <w:t>orders + Q2 + Q3 + Q4 + elec_line_share</w:t>
            </w:r>
          </w:p>
        </w:tc>
        <w:tc>
          <w:tcPr>
            <w:tcW w:type="dxa" w:w="2340"/>
          </w:tcPr>
          <w:p>
            <w:pPr>
              <w:spacing w:line="240" w:lineRule="auto"/>
            </w:pPr>
            <w:r>
              <w:rPr>
                <w:sz w:val="18"/>
              </w:rPr>
            </w:r>
            <w:r>
              <w:rPr>
                <w:sz w:val="18"/>
              </w:rPr>
              <w:t>0.8695</w:t>
            </w:r>
          </w:p>
        </w:tc>
        <w:tc>
          <w:tcPr>
            <w:tcW w:type="dxa" w:w="2340"/>
          </w:tcPr>
          <w:p>
            <w:pPr>
              <w:spacing w:line="240" w:lineRule="auto"/>
            </w:pPr>
            <w:r>
              <w:rPr>
                <w:sz w:val="18"/>
              </w:rPr>
            </w:r>
            <w:r>
              <w:rPr>
                <w:b/>
                <w:sz w:val="18"/>
              </w:rPr>
              <w:t>0.8550</w:t>
            </w:r>
          </w:p>
        </w:tc>
      </w:tr>
    </w:tbl>
    <w:p>
      <w:pPr>
        <w:spacing w:after="200" w:line="240" w:lineRule="auto"/>
        <w:jc w:val="center"/>
      </w:pPr>
      <w:r>
        <w:rPr>
          <w:i/>
          <w:color w:val="7B8994"/>
          <w:sz w:val="20"/>
        </w:rPr>
        <w:t>Table 1. The model</w:t>
      </w:r>
    </w:p>
    <w:p>
      <w:r>
        <w:rPr>
          <w:b/>
        </w:rPr>
        <w:t>Model B is the instructive failure.</w:t>
      </w:r>
      <w:r>
        <w:t xml:space="preserve"> Adding every predictor raised R² and </w:t>
      </w:r>
      <w:r>
        <w:rPr>
          <w:i/>
        </w:rPr>
        <w:t>lowered</w:t>
      </w:r>
      <w:r>
        <w:t xml:space="preserve"> adjusted R² below the one-variable baseline — the classic sign of predictors bought with degrees of freedom rather than information. Its variance inflation factors show why: orders at </w:t>
      </w:r>
      <w:r>
        <w:rPr>
          <w:b/>
        </w:rPr>
        <w:t>13.67</w:t>
      </w:r>
      <w:r>
        <w:t>, units at 7.64, customers at 5.48. Order count, units sold and customer count are 0.81 to 0.92 correlated with each other, because they all measure the same thing — how much trade happened. Fitting them together makes each coefficient unstable and uninterpretable. Dropping units and customers brings every VIF in Model C under 1.8.</w:t>
      </w:r>
    </w:p>
    <w:p>
      <w:pPr>
        <w:pStyle w:val="Heading2"/>
      </w:pPr>
      <w:r>
        <w:t>The reported model</w:t>
      </w:r>
    </w:p>
    <w:p>
      <w:r>
        <w:t>Model C, refitted on all 57 months once the holdout had done its job of choosing the specification:</w:t>
      </w:r>
    </w:p>
    <w:p>
      <w:pPr>
        <w:ind w:left="432"/>
      </w:pPr>
      <w:r>
        <w:rPr>
          <w:b/>
          <w:i/>
        </w:rPr>
        <w:t>Monthly Revenue = −12,275.79 + 5,219.51 × Orders + 11,382.65 × Q2 + 9,624.56 × Q3 + 5,989.42 × Q4 + 12,091.77 × Electronics line share</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Term</w:t>
            </w:r>
          </w:p>
        </w:tc>
        <w:tc>
          <w:tcPr>
            <w:tcW w:type="dxa" w:w="2340"/>
          </w:tcPr>
          <w:p>
            <w:r>
              <w:rPr>
                <w:b/>
              </w:rPr>
            </w:r>
            <w:r>
              <w:rPr>
                <w:b/>
              </w:rPr>
              <w:t>Coefficient</w:t>
            </w:r>
          </w:p>
        </w:tc>
        <w:tc>
          <w:tcPr>
            <w:tcW w:type="dxa" w:w="2340"/>
          </w:tcPr>
          <w:p>
            <w:r>
              <w:rPr>
                <w:b/>
              </w:rPr>
            </w:r>
            <w:r>
              <w:rPr>
                <w:b/>
              </w:rPr>
              <w:t>Robust SE</w:t>
            </w:r>
          </w:p>
        </w:tc>
        <w:tc>
          <w:tcPr>
            <w:tcW w:type="dxa" w:w="2340"/>
          </w:tcPr>
          <w:p>
            <w:r>
              <w:rPr>
                <w:b/>
              </w:rPr>
            </w:r>
            <w:r>
              <w:rPr>
                <w:b/>
              </w:rPr>
              <w:t>Robust p</w:t>
            </w:r>
          </w:p>
        </w:tc>
      </w:tr>
      <w:tr>
        <w:tc>
          <w:tcPr>
            <w:tcW w:type="dxa" w:w="2340"/>
          </w:tcPr>
          <w:p>
            <w:pPr>
              <w:spacing w:line="240" w:lineRule="auto"/>
            </w:pPr>
            <w:r>
              <w:rPr>
                <w:sz w:val="18"/>
              </w:rPr>
            </w:r>
            <w:r>
              <w:rPr>
                <w:sz w:val="18"/>
              </w:rPr>
              <w:t>Intercept</w:t>
            </w:r>
          </w:p>
        </w:tc>
        <w:tc>
          <w:tcPr>
            <w:tcW w:type="dxa" w:w="2340"/>
          </w:tcPr>
          <w:p>
            <w:pPr>
              <w:spacing w:line="240" w:lineRule="auto"/>
            </w:pPr>
            <w:r>
              <w:rPr>
                <w:sz w:val="18"/>
              </w:rPr>
            </w:r>
            <w:r>
              <w:rPr>
                <w:sz w:val="18"/>
              </w:rPr>
              <w:t>−12,275.79</w:t>
            </w:r>
          </w:p>
        </w:tc>
        <w:tc>
          <w:tcPr>
            <w:tcW w:type="dxa" w:w="2340"/>
          </w:tcPr>
          <w:p>
            <w:pPr>
              <w:spacing w:line="240" w:lineRule="auto"/>
            </w:pPr>
            <w:r>
              <w:rPr>
                <w:sz w:val="18"/>
              </w:rPr>
            </w:r>
            <w:r>
              <w:rPr>
                <w:sz w:val="18"/>
              </w:rPr>
              <w:t>9,775.60</w:t>
            </w:r>
          </w:p>
        </w:tc>
        <w:tc>
          <w:tcPr>
            <w:tcW w:type="dxa" w:w="2340"/>
          </w:tcPr>
          <w:p>
            <w:pPr>
              <w:spacing w:line="240" w:lineRule="auto"/>
            </w:pPr>
            <w:r>
              <w:rPr>
                <w:sz w:val="18"/>
              </w:rPr>
            </w:r>
            <w:r>
              <w:rPr>
                <w:sz w:val="18"/>
              </w:rPr>
              <w:t>0.215</w:t>
            </w:r>
          </w:p>
        </w:tc>
      </w:tr>
      <w:tr>
        <w:tc>
          <w:tcPr>
            <w:tcW w:type="dxa" w:w="2340"/>
          </w:tcPr>
          <w:p>
            <w:pPr>
              <w:spacing w:line="240" w:lineRule="auto"/>
            </w:pPr>
            <w:r>
              <w:rPr>
                <w:sz w:val="18"/>
              </w:rPr>
            </w:r>
            <w:r>
              <w:rPr>
                <w:b/>
                <w:sz w:val="18"/>
              </w:rPr>
              <w:t>Orders</w:t>
            </w:r>
          </w:p>
        </w:tc>
        <w:tc>
          <w:tcPr>
            <w:tcW w:type="dxa" w:w="2340"/>
          </w:tcPr>
          <w:p>
            <w:pPr>
              <w:spacing w:line="240" w:lineRule="auto"/>
            </w:pPr>
            <w:r>
              <w:rPr>
                <w:sz w:val="18"/>
              </w:rPr>
            </w:r>
            <w:r>
              <w:rPr>
                <w:b/>
                <w:sz w:val="18"/>
              </w:rPr>
              <w:t>5,219.51</w:t>
            </w:r>
          </w:p>
        </w:tc>
        <w:tc>
          <w:tcPr>
            <w:tcW w:type="dxa" w:w="2340"/>
          </w:tcPr>
          <w:p>
            <w:pPr>
              <w:spacing w:line="240" w:lineRule="auto"/>
            </w:pPr>
            <w:r>
              <w:rPr>
                <w:sz w:val="18"/>
              </w:rPr>
            </w:r>
            <w:r>
              <w:rPr>
                <w:sz w:val="18"/>
              </w:rPr>
              <w:t>388.49</w:t>
            </w:r>
          </w:p>
        </w:tc>
        <w:tc>
          <w:tcPr>
            <w:tcW w:type="dxa" w:w="2340"/>
          </w:tcPr>
          <w:p>
            <w:pPr>
              <w:spacing w:line="240" w:lineRule="auto"/>
            </w:pPr>
            <w:r>
              <w:rPr>
                <w:sz w:val="18"/>
              </w:rPr>
            </w:r>
            <w:r>
              <w:rPr>
                <w:b/>
                <w:sz w:val="18"/>
              </w:rPr>
              <w:t>2.21 × 10⁻¹⁸</w:t>
            </w:r>
          </w:p>
        </w:tc>
      </w:tr>
      <w:tr>
        <w:tc>
          <w:tcPr>
            <w:tcW w:type="dxa" w:w="2340"/>
          </w:tcPr>
          <w:p>
            <w:pPr>
              <w:spacing w:line="240" w:lineRule="auto"/>
            </w:pPr>
            <w:r>
              <w:rPr>
                <w:sz w:val="18"/>
              </w:rPr>
            </w:r>
            <w:r>
              <w:rPr>
                <w:b/>
                <w:sz w:val="18"/>
              </w:rPr>
              <w:t>Q2</w:t>
            </w:r>
          </w:p>
        </w:tc>
        <w:tc>
          <w:tcPr>
            <w:tcW w:type="dxa" w:w="2340"/>
          </w:tcPr>
          <w:p>
            <w:pPr>
              <w:spacing w:line="240" w:lineRule="auto"/>
            </w:pPr>
            <w:r>
              <w:rPr>
                <w:sz w:val="18"/>
              </w:rPr>
            </w:r>
            <w:r>
              <w:rPr>
                <w:b/>
                <w:sz w:val="18"/>
              </w:rPr>
              <w:t>11,382.65</w:t>
            </w:r>
          </w:p>
        </w:tc>
        <w:tc>
          <w:tcPr>
            <w:tcW w:type="dxa" w:w="2340"/>
          </w:tcPr>
          <w:p>
            <w:pPr>
              <w:spacing w:line="240" w:lineRule="auto"/>
            </w:pPr>
            <w:r>
              <w:rPr>
                <w:sz w:val="18"/>
              </w:rPr>
            </w:r>
            <w:r>
              <w:rPr>
                <w:sz w:val="18"/>
              </w:rPr>
              <w:t>5,484.91</w:t>
            </w:r>
          </w:p>
        </w:tc>
        <w:tc>
          <w:tcPr>
            <w:tcW w:type="dxa" w:w="2340"/>
          </w:tcPr>
          <w:p>
            <w:pPr>
              <w:spacing w:line="240" w:lineRule="auto"/>
            </w:pPr>
            <w:r>
              <w:rPr>
                <w:sz w:val="18"/>
              </w:rPr>
            </w:r>
            <w:r>
              <w:rPr>
                <w:b/>
                <w:sz w:val="18"/>
              </w:rPr>
              <w:t>0.043</w:t>
            </w:r>
          </w:p>
        </w:tc>
      </w:tr>
      <w:tr>
        <w:tc>
          <w:tcPr>
            <w:tcW w:type="dxa" w:w="2340"/>
          </w:tcPr>
          <w:p>
            <w:pPr>
              <w:spacing w:line="240" w:lineRule="auto"/>
            </w:pPr>
            <w:r>
              <w:rPr>
                <w:sz w:val="18"/>
              </w:rPr>
            </w:r>
            <w:r>
              <w:rPr>
                <w:sz w:val="18"/>
              </w:rPr>
              <w:t>Q3</w:t>
            </w:r>
          </w:p>
        </w:tc>
        <w:tc>
          <w:tcPr>
            <w:tcW w:type="dxa" w:w="2340"/>
          </w:tcPr>
          <w:p>
            <w:pPr>
              <w:spacing w:line="240" w:lineRule="auto"/>
            </w:pPr>
            <w:r>
              <w:rPr>
                <w:sz w:val="18"/>
              </w:rPr>
            </w:r>
            <w:r>
              <w:rPr>
                <w:sz w:val="18"/>
              </w:rPr>
              <w:t>9,624.56</w:t>
            </w:r>
          </w:p>
        </w:tc>
        <w:tc>
          <w:tcPr>
            <w:tcW w:type="dxa" w:w="2340"/>
          </w:tcPr>
          <w:p>
            <w:pPr>
              <w:spacing w:line="240" w:lineRule="auto"/>
            </w:pPr>
            <w:r>
              <w:rPr>
                <w:sz w:val="18"/>
              </w:rPr>
            </w:r>
            <w:r>
              <w:rPr>
                <w:sz w:val="18"/>
              </w:rPr>
              <w:t>5,455.74</w:t>
            </w:r>
          </w:p>
        </w:tc>
        <w:tc>
          <w:tcPr>
            <w:tcW w:type="dxa" w:w="2340"/>
          </w:tcPr>
          <w:p>
            <w:pPr>
              <w:spacing w:line="240" w:lineRule="auto"/>
            </w:pPr>
            <w:r>
              <w:rPr>
                <w:sz w:val="18"/>
              </w:rPr>
            </w:r>
            <w:r>
              <w:rPr>
                <w:sz w:val="18"/>
              </w:rPr>
              <w:t>0.084</w:t>
            </w:r>
          </w:p>
        </w:tc>
      </w:tr>
      <w:tr>
        <w:tc>
          <w:tcPr>
            <w:tcW w:type="dxa" w:w="2340"/>
          </w:tcPr>
          <w:p>
            <w:pPr>
              <w:spacing w:line="240" w:lineRule="auto"/>
            </w:pPr>
            <w:r>
              <w:rPr>
                <w:sz w:val="18"/>
              </w:rPr>
            </w:r>
            <w:r>
              <w:rPr>
                <w:sz w:val="18"/>
              </w:rPr>
              <w:t>Q4</w:t>
            </w:r>
          </w:p>
        </w:tc>
        <w:tc>
          <w:tcPr>
            <w:tcW w:type="dxa" w:w="2340"/>
          </w:tcPr>
          <w:p>
            <w:pPr>
              <w:spacing w:line="240" w:lineRule="auto"/>
            </w:pPr>
            <w:r>
              <w:rPr>
                <w:sz w:val="18"/>
              </w:rPr>
            </w:r>
            <w:r>
              <w:rPr>
                <w:sz w:val="18"/>
              </w:rPr>
              <w:t>5,989.42</w:t>
            </w:r>
          </w:p>
        </w:tc>
        <w:tc>
          <w:tcPr>
            <w:tcW w:type="dxa" w:w="2340"/>
          </w:tcPr>
          <w:p>
            <w:pPr>
              <w:spacing w:line="240" w:lineRule="auto"/>
            </w:pPr>
            <w:r>
              <w:rPr>
                <w:sz w:val="18"/>
              </w:rPr>
            </w:r>
            <w:r>
              <w:rPr>
                <w:sz w:val="18"/>
              </w:rPr>
              <w:t>6,199.18</w:t>
            </w:r>
          </w:p>
        </w:tc>
        <w:tc>
          <w:tcPr>
            <w:tcW w:type="dxa" w:w="2340"/>
          </w:tcPr>
          <w:p>
            <w:pPr>
              <w:spacing w:line="240" w:lineRule="auto"/>
            </w:pPr>
            <w:r>
              <w:rPr>
                <w:sz w:val="18"/>
              </w:rPr>
            </w:r>
            <w:r>
              <w:rPr>
                <w:sz w:val="18"/>
              </w:rPr>
              <w:t>0.339</w:t>
            </w:r>
          </w:p>
        </w:tc>
      </w:tr>
      <w:tr>
        <w:tc>
          <w:tcPr>
            <w:tcW w:type="dxa" w:w="2340"/>
          </w:tcPr>
          <w:p>
            <w:pPr>
              <w:spacing w:line="240" w:lineRule="auto"/>
            </w:pPr>
            <w:r>
              <w:rPr>
                <w:sz w:val="18"/>
              </w:rPr>
            </w:r>
            <w:r>
              <w:rPr>
                <w:sz w:val="18"/>
              </w:rPr>
              <w:t>Electronics line share</w:t>
            </w:r>
          </w:p>
        </w:tc>
        <w:tc>
          <w:tcPr>
            <w:tcW w:type="dxa" w:w="2340"/>
          </w:tcPr>
          <w:p>
            <w:pPr>
              <w:spacing w:line="240" w:lineRule="auto"/>
            </w:pPr>
            <w:r>
              <w:rPr>
                <w:sz w:val="18"/>
              </w:rPr>
            </w:r>
            <w:r>
              <w:rPr>
                <w:sz w:val="18"/>
              </w:rPr>
              <w:t>12,091.77</w:t>
            </w:r>
          </w:p>
        </w:tc>
        <w:tc>
          <w:tcPr>
            <w:tcW w:type="dxa" w:w="2340"/>
          </w:tcPr>
          <w:p>
            <w:pPr>
              <w:spacing w:line="240" w:lineRule="auto"/>
            </w:pPr>
            <w:r>
              <w:rPr>
                <w:sz w:val="18"/>
              </w:rPr>
            </w:r>
            <w:r>
              <w:rPr>
                <w:sz w:val="18"/>
              </w:rPr>
              <w:t>16,873.75</w:t>
            </w:r>
          </w:p>
        </w:tc>
        <w:tc>
          <w:tcPr>
            <w:tcW w:type="dxa" w:w="2340"/>
          </w:tcPr>
          <w:p>
            <w:pPr>
              <w:spacing w:line="240" w:lineRule="auto"/>
            </w:pPr>
            <w:r>
              <w:rPr>
                <w:sz w:val="18"/>
              </w:rPr>
            </w:r>
            <w:r>
              <w:rPr>
                <w:sz w:val="18"/>
              </w:rPr>
              <w:t>0.477</w:t>
            </w:r>
          </w:p>
        </w:tc>
      </w:tr>
    </w:tbl>
    <w:p>
      <w:pPr>
        <w:spacing w:after="200" w:line="240" w:lineRule="auto"/>
        <w:jc w:val="center"/>
      </w:pPr>
      <w:r>
        <w:rPr>
          <w:i/>
          <w:color w:val="7B8994"/>
          <w:sz w:val="20"/>
        </w:rPr>
        <w:t>Table 2. The reported model</w:t>
      </w:r>
    </w:p>
    <w:p>
      <w:r>
        <w:t>R² = 0.8647, adjusted R² = 0.8514, n = 57.</w:t>
      </w:r>
    </w:p>
    <w:p>
      <w:r>
        <w:rPr>
          <w:b/>
        </w:rPr>
        <w:t>On the standard errors.</w:t>
      </w:r>
      <w:r>
        <w:t xml:space="preserve"> The Breusch-Pagan test rejects constant variance (p = 0.0023), so the classical standard errors are unreliable and heteroscedasticity-consistent (HC1) errors are reported instead. This is not cosmetic: under classical errors Q2 sits at p = 0.062 and is not significant; under robust errors it is p = 0.043 and is. Both are close enough to 0.05 that the honest statement is "Q2 is marginally significant", not "Q2 is significant".</w:t>
      </w:r>
    </w:p>
    <w:p>
      <w:r>
        <w:rPr>
          <w:b/>
        </w:rPr>
        <w:t>The slope is the same number three times over.</w:t>
      </w:r>
      <w:r>
        <w:t xml:space="preserve"> 5,219.51 here, 5,224.25 in the Checkpoint 2 simple regression, and 5,178.09 as the plain mean order value in the data. Three routes, agreeing within 0.8%.</w:t>
      </w:r>
    </w:p>
    <w:p>
      <w:pPr>
        <w:pStyle w:val="Heading2"/>
      </w:pPr>
      <w:r>
        <w:t>Model performance</w:t>
      </w:r>
    </w:p>
    <w:p>
      <w:r>
        <w:t>Evaluated on six months the models never saw (July to December 2024):</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Model</w:t>
            </w:r>
          </w:p>
        </w:tc>
        <w:tc>
          <w:tcPr>
            <w:tcW w:type="dxa" w:w="4680"/>
          </w:tcPr>
          <w:p>
            <w:r>
              <w:rPr>
                <w:b/>
              </w:rPr>
            </w:r>
            <w:r>
              <w:rPr>
                <w:b/>
              </w:rPr>
              <w:t>Mean absolute percentage error</w:t>
            </w:r>
          </w:p>
        </w:tc>
      </w:tr>
      <w:tr>
        <w:tc>
          <w:tcPr>
            <w:tcW w:type="dxa" w:w="4680"/>
          </w:tcPr>
          <w:p>
            <w:pPr>
              <w:spacing w:line="240" w:lineRule="auto"/>
            </w:pPr>
            <w:r>
              <w:rPr>
                <w:sz w:val="18"/>
              </w:rPr>
            </w:r>
            <w:r>
              <w:rPr>
                <w:sz w:val="18"/>
              </w:rPr>
              <w:t>A — orders only</w:t>
            </w:r>
          </w:p>
        </w:tc>
        <w:tc>
          <w:tcPr>
            <w:tcW w:type="dxa" w:w="4680"/>
          </w:tcPr>
          <w:p>
            <w:pPr>
              <w:spacing w:line="240" w:lineRule="auto"/>
            </w:pPr>
            <w:r>
              <w:rPr>
                <w:sz w:val="18"/>
              </w:rPr>
            </w:r>
            <w:r>
              <w:rPr>
                <w:b/>
                <w:sz w:val="18"/>
              </w:rPr>
              <w:t>9.3%</w:t>
            </w:r>
          </w:p>
        </w:tc>
      </w:tr>
      <w:tr>
        <w:tc>
          <w:tcPr>
            <w:tcW w:type="dxa" w:w="4680"/>
          </w:tcPr>
          <w:p>
            <w:pPr>
              <w:spacing w:line="240" w:lineRule="auto"/>
            </w:pPr>
            <w:r>
              <w:rPr>
                <w:sz w:val="18"/>
              </w:rPr>
            </w:r>
            <w:r>
              <w:rPr>
                <w:sz w:val="18"/>
              </w:rPr>
              <w:t>C — reduced multiple</w:t>
            </w:r>
          </w:p>
        </w:tc>
        <w:tc>
          <w:tcPr>
            <w:tcW w:type="dxa" w:w="4680"/>
          </w:tcPr>
          <w:p>
            <w:pPr>
              <w:spacing w:line="240" w:lineRule="auto"/>
            </w:pPr>
            <w:r>
              <w:rPr>
                <w:sz w:val="18"/>
              </w:rPr>
            </w:r>
            <w:r>
              <w:rPr>
                <w:sz w:val="18"/>
              </w:rPr>
              <w:t>9.8%</w:t>
            </w:r>
          </w:p>
        </w:tc>
      </w:tr>
    </w:tbl>
    <w:p>
      <w:pPr>
        <w:spacing w:after="200" w:line="240" w:lineRule="auto"/>
        <w:jc w:val="center"/>
      </w:pPr>
      <w:r>
        <w:rPr>
          <w:i/>
          <w:color w:val="7B8994"/>
          <w:sz w:val="20"/>
        </w:rPr>
        <w:t>Table 3. Model performance</w:t>
      </w:r>
    </w:p>
    <w:p>
      <w:r>
        <w:rPr>
          <w:b/>
        </w:rPr>
        <w:t>The multiple regression did not beat the simple one out of sample.</w:t>
      </w:r>
      <w:r>
        <w:t xml:space="preserve"> We are reporting that rather than burying it, and it is the second time in this project that a more elaborate method lost to a simpler one — the Checkpoint 2 seasonal forecast lost to a flat average by 22.7% against 14.9%.</w:t>
      </w:r>
    </w:p>
    <w:p>
      <w:r>
        <w:t>Both models missed December 2024 badly, predicting about 130,000 against an actual 98,879, a 32% error. Every earlier December in the window was strong; this one was not. That single month accounts for most of the gap between the two models' scores.</w:t>
      </w:r>
    </w:p>
    <w:p>
      <w:r>
        <w:rPr>
          <w:b/>
        </w:rPr>
        <w:t>What the extension is worth is diagnostic, not predictive.</w:t>
      </w:r>
      <w:r>
        <w:t xml:space="preserve"> Model C's real output is the finding that </w:t>
      </w:r>
      <w:r>
        <w:rPr>
          <w:b/>
        </w:rPr>
        <w:t>order count is the only driver that matters</w:t>
      </w:r>
      <w:r>
        <w:t>. Units sold, customer count, product mix and elapsed time were each given a fair chance to explain monthly revenue alongside it, and none of them did. That is exactly the evidence needed to justify the Checkpoint 3 dashboard's central design decision.</w:t>
      </w:r>
    </w:p>
    <w:p>
      <w:pPr>
        <w:pStyle w:val="Heading2"/>
      </w:pPr>
      <w:r>
        <w:t>Business predictions</w:t>
      </w:r>
    </w:p>
    <w:p>
      <w:r>
        <w:t>At the mean Electronics line share, holding everything else at the model:</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Orders per month</w:t>
            </w:r>
          </w:p>
        </w:tc>
        <w:tc>
          <w:tcPr>
            <w:tcW w:type="dxa" w:w="2340"/>
          </w:tcPr>
          <w:p>
            <w:r>
              <w:rPr>
                <w:b/>
              </w:rPr>
            </w:r>
            <w:r>
              <w:rPr>
                <w:b/>
              </w:rPr>
              <w:t>Q1</w:t>
            </w:r>
          </w:p>
        </w:tc>
        <w:tc>
          <w:tcPr>
            <w:tcW w:type="dxa" w:w="2340"/>
          </w:tcPr>
          <w:p>
            <w:r>
              <w:rPr>
                <w:b/>
              </w:rPr>
            </w:r>
            <w:r>
              <w:rPr>
                <w:b/>
              </w:rPr>
              <w:t>Q2</w:t>
            </w:r>
          </w:p>
        </w:tc>
        <w:tc>
          <w:tcPr>
            <w:tcW w:type="dxa" w:w="2340"/>
          </w:tcPr>
          <w:p>
            <w:r>
              <w:rPr>
                <w:b/>
              </w:rPr>
            </w:r>
            <w:r>
              <w:rPr>
                <w:b/>
              </w:rPr>
              <w:t>Q4</w:t>
            </w:r>
          </w:p>
        </w:tc>
      </w:tr>
      <w:tr>
        <w:tc>
          <w:tcPr>
            <w:tcW w:type="dxa" w:w="2340"/>
          </w:tcPr>
          <w:p>
            <w:pPr>
              <w:spacing w:line="240" w:lineRule="auto"/>
            </w:pPr>
            <w:r>
              <w:rPr>
                <w:sz w:val="18"/>
              </w:rPr>
            </w:r>
            <w:r>
              <w:rPr>
                <w:sz w:val="18"/>
              </w:rPr>
              <w:t>20 — the 2024 level</w:t>
            </w:r>
          </w:p>
        </w:tc>
        <w:tc>
          <w:tcPr>
            <w:tcW w:type="dxa" w:w="2340"/>
          </w:tcPr>
          <w:p>
            <w:pPr>
              <w:spacing w:line="240" w:lineRule="auto"/>
            </w:pPr>
            <w:r>
              <w:rPr>
                <w:sz w:val="18"/>
              </w:rPr>
            </w:r>
            <w:r>
              <w:rPr>
                <w:sz w:val="18"/>
              </w:rPr>
              <w:t>96,027</w:t>
            </w:r>
          </w:p>
        </w:tc>
        <w:tc>
          <w:tcPr>
            <w:tcW w:type="dxa" w:w="2340"/>
          </w:tcPr>
          <w:p>
            <w:pPr>
              <w:spacing w:line="240" w:lineRule="auto"/>
            </w:pPr>
            <w:r>
              <w:rPr>
                <w:sz w:val="18"/>
              </w:rPr>
            </w:r>
            <w:r>
              <w:rPr>
                <w:sz w:val="18"/>
              </w:rPr>
              <w:t>107,410</w:t>
            </w:r>
          </w:p>
        </w:tc>
        <w:tc>
          <w:tcPr>
            <w:tcW w:type="dxa" w:w="2340"/>
          </w:tcPr>
          <w:p>
            <w:pPr>
              <w:spacing w:line="240" w:lineRule="auto"/>
            </w:pPr>
            <w:r>
              <w:rPr>
                <w:sz w:val="18"/>
              </w:rPr>
            </w:r>
            <w:r>
              <w:rPr>
                <w:sz w:val="18"/>
              </w:rPr>
              <w:t>102,017</w:t>
            </w:r>
          </w:p>
        </w:tc>
      </w:tr>
      <w:tr>
        <w:tc>
          <w:tcPr>
            <w:tcW w:type="dxa" w:w="2340"/>
          </w:tcPr>
          <w:p>
            <w:pPr>
              <w:spacing w:line="240" w:lineRule="auto"/>
            </w:pPr>
            <w:r>
              <w:rPr>
                <w:sz w:val="18"/>
              </w:rPr>
            </w:r>
            <w:r>
              <w:rPr>
                <w:sz w:val="18"/>
              </w:rPr>
              <w:t>22</w:t>
            </w:r>
          </w:p>
        </w:tc>
        <w:tc>
          <w:tcPr>
            <w:tcW w:type="dxa" w:w="2340"/>
          </w:tcPr>
          <w:p>
            <w:pPr>
              <w:spacing w:line="240" w:lineRule="auto"/>
            </w:pPr>
            <w:r>
              <w:rPr>
                <w:sz w:val="18"/>
              </w:rPr>
            </w:r>
            <w:r>
              <w:rPr>
                <w:sz w:val="18"/>
              </w:rPr>
              <w:t>106,466</w:t>
            </w:r>
          </w:p>
        </w:tc>
        <w:tc>
          <w:tcPr>
            <w:tcW w:type="dxa" w:w="2340"/>
          </w:tcPr>
          <w:p>
            <w:pPr>
              <w:spacing w:line="240" w:lineRule="auto"/>
            </w:pPr>
            <w:r>
              <w:rPr>
                <w:sz w:val="18"/>
              </w:rPr>
            </w:r>
            <w:r>
              <w:rPr>
                <w:sz w:val="18"/>
              </w:rPr>
              <w:t>117,849</w:t>
            </w:r>
          </w:p>
        </w:tc>
        <w:tc>
          <w:tcPr>
            <w:tcW w:type="dxa" w:w="2340"/>
          </w:tcPr>
          <w:p>
            <w:pPr>
              <w:spacing w:line="240" w:lineRule="auto"/>
            </w:pPr>
            <w:r>
              <w:rPr>
                <w:sz w:val="18"/>
              </w:rPr>
            </w:r>
            <w:r>
              <w:rPr>
                <w:sz w:val="18"/>
              </w:rPr>
              <w:t>112,456</w:t>
            </w:r>
          </w:p>
        </w:tc>
      </w:tr>
      <w:tr>
        <w:tc>
          <w:tcPr>
            <w:tcW w:type="dxa" w:w="2340"/>
          </w:tcPr>
          <w:p>
            <w:pPr>
              <w:spacing w:line="240" w:lineRule="auto"/>
            </w:pPr>
            <w:r>
              <w:rPr>
                <w:sz w:val="18"/>
              </w:rPr>
            </w:r>
            <w:r>
              <w:rPr>
                <w:sz w:val="18"/>
              </w:rPr>
              <w:t>24 — the 2022 peak level</w:t>
            </w:r>
          </w:p>
        </w:tc>
        <w:tc>
          <w:tcPr>
            <w:tcW w:type="dxa" w:w="2340"/>
          </w:tcPr>
          <w:p>
            <w:pPr>
              <w:spacing w:line="240" w:lineRule="auto"/>
            </w:pPr>
            <w:r>
              <w:rPr>
                <w:sz w:val="18"/>
              </w:rPr>
            </w:r>
            <w:r>
              <w:rPr>
                <w:sz w:val="18"/>
              </w:rPr>
              <w:t>116,905</w:t>
            </w:r>
          </w:p>
        </w:tc>
        <w:tc>
          <w:tcPr>
            <w:tcW w:type="dxa" w:w="2340"/>
          </w:tcPr>
          <w:p>
            <w:pPr>
              <w:spacing w:line="240" w:lineRule="auto"/>
            </w:pPr>
            <w:r>
              <w:rPr>
                <w:sz w:val="18"/>
              </w:rPr>
            </w:r>
            <w:r>
              <w:rPr>
                <w:b/>
                <w:sz w:val="18"/>
              </w:rPr>
              <w:t>128,288</w:t>
            </w:r>
          </w:p>
        </w:tc>
        <w:tc>
          <w:tcPr>
            <w:tcW w:type="dxa" w:w="2340"/>
          </w:tcPr>
          <w:p>
            <w:pPr>
              <w:spacing w:line="240" w:lineRule="auto"/>
            </w:pPr>
            <w:r>
              <w:rPr>
                <w:sz w:val="18"/>
              </w:rPr>
            </w:r>
            <w:r>
              <w:rPr>
                <w:sz w:val="18"/>
              </w:rPr>
              <w:t>122,895</w:t>
            </w:r>
          </w:p>
        </w:tc>
      </w:tr>
    </w:tbl>
    <w:p>
      <w:pPr>
        <w:spacing w:after="200" w:line="240" w:lineRule="auto"/>
        <w:jc w:val="center"/>
      </w:pPr>
      <w:r>
        <w:rPr>
          <w:i/>
          <w:color w:val="7B8994"/>
          <w:sz w:val="20"/>
        </w:rPr>
        <w:t>Table 4. Business predictions</w:t>
      </w:r>
    </w:p>
    <w:p>
      <w:pPr>
        <w:pStyle w:val="Heading2"/>
      </w:pPr>
      <w:r>
        <w:t>Recommendations</w:t>
      </w:r>
    </w:p>
    <w:p>
      <w:r>
        <w:rPr>
          <w:b/>
        </w:rPr>
        <w:t>One — the only lever that moves revenue is order count, so target it directly.</w:t>
      </w:r>
      <w:r>
        <w:t xml:space="preserve"> Each additional order in a month is worth about 5,220 in revenue (robust p = 2.21 × 10⁻¹⁸). The company is running four orders per month below its 2022 level; closing that gap is worth roughly </w:t>
      </w:r>
      <w:r>
        <w:rPr>
          <w:b/>
        </w:rPr>
        <w:t>250,000 a year</w:t>
      </w:r>
      <w:r>
        <w:t>, which corroborates the 257,297 shortfall Checkpoint 1 measured by summing category losses. Two independent methods, within 3% of each other.</w:t>
      </w:r>
    </w:p>
    <w:p>
      <w:r>
        <w:rPr>
          <w:b/>
        </w:rPr>
        <w:t>Two — stop setting volume and acquisition targets.</w:t>
      </w:r>
      <w:r>
        <w:t xml:space="preserve"> Units sold (p = 0.79) and distinct customers (p = 0.27) add nothing once order count is in the model. A "sell more units" or "sign more customers" incentive would not move revenue in this business, and the data says so directly rather than by inference.</w:t>
      </w:r>
    </w:p>
    <w:p>
      <w:r>
        <w:rPr>
          <w:b/>
        </w:rPr>
        <w:t>Three — plan for a Q2 uplift, not only a Q4 one.</w:t>
      </w:r>
      <w:r>
        <w:t xml:space="preserve"> Q2 runs about 11,400 above an equivalent Q1 month at the same order count, and it is the only quarter indicator that reaches significance. This confirms from a second direction what Checkpoint 1 found by category: Electronics peaks in Q2 at 30.79% of its annual revenue while the blended company curve points at Q4. Staffing and inventory planned on the blended curve are mistimed for a third of the business.</w:t>
      </w:r>
    </w:p>
    <w:p>
      <w:r>
        <w:rPr>
          <w:b/>
        </w:rPr>
        <w:t>Four — do not expect a forecast to do the work.</w:t>
      </w:r>
      <w:r>
        <w:t xml:space="preserve"> Neither model predicts within better than 9% on unseen months, and both missed December 2024 by 32%. Use the model to size the value of a decision, not to promise a number.</w:t>
      </w:r>
    </w:p>
    <w:p>
      <w:pPr>
        <w:pStyle w:val="Heading2"/>
      </w:pPr>
      <w:r>
        <w:t>Assumptions, limitations and conditions</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Assumption</w:t>
            </w:r>
          </w:p>
        </w:tc>
        <w:tc>
          <w:tcPr>
            <w:tcW w:type="dxa" w:w="3120"/>
          </w:tcPr>
          <w:p>
            <w:r>
              <w:rPr>
                <w:b/>
              </w:rPr>
            </w:r>
            <w:r>
              <w:rPr>
                <w:b/>
              </w:rPr>
              <w:t>Test</w:t>
            </w:r>
          </w:p>
        </w:tc>
        <w:tc>
          <w:tcPr>
            <w:tcW w:type="dxa" w:w="3120"/>
          </w:tcPr>
          <w:p>
            <w:r>
              <w:rPr>
                <w:b/>
              </w:rPr>
            </w:r>
            <w:r>
              <w:rPr>
                <w:b/>
              </w:rPr>
              <w:t>Result</w:t>
            </w:r>
          </w:p>
        </w:tc>
      </w:tr>
      <w:tr>
        <w:tc>
          <w:tcPr>
            <w:tcW w:type="dxa" w:w="3120"/>
          </w:tcPr>
          <w:p>
            <w:pPr>
              <w:spacing w:line="240" w:lineRule="auto"/>
            </w:pPr>
            <w:r>
              <w:rPr>
                <w:sz w:val="18"/>
              </w:rPr>
            </w:r>
            <w:r>
              <w:rPr>
                <w:sz w:val="18"/>
              </w:rPr>
              <w:t>Linearity</w:t>
            </w:r>
          </w:p>
        </w:tc>
        <w:tc>
          <w:tcPr>
            <w:tcW w:type="dxa" w:w="3120"/>
          </w:tcPr>
          <w:p>
            <w:pPr>
              <w:spacing w:line="240" w:lineRule="auto"/>
            </w:pPr>
            <w:r>
              <w:rPr>
                <w:sz w:val="18"/>
              </w:rPr>
            </w:r>
            <w:r>
              <w:rPr>
                <w:sz w:val="18"/>
              </w:rPr>
              <w:t>Residuals against fitted</w:t>
            </w:r>
          </w:p>
        </w:tc>
        <w:tc>
          <w:tcPr>
            <w:tcW w:type="dxa" w:w="3120"/>
          </w:tcPr>
          <w:p>
            <w:pPr>
              <w:spacing w:line="240" w:lineRule="auto"/>
            </w:pPr>
            <w:r>
              <w:rPr>
                <w:sz w:val="18"/>
              </w:rPr>
            </w:r>
            <w:r>
              <w:rPr>
                <w:sz w:val="18"/>
              </w:rPr>
              <w:t>No pattern</w:t>
            </w:r>
          </w:p>
        </w:tc>
      </w:tr>
      <w:tr>
        <w:tc>
          <w:tcPr>
            <w:tcW w:type="dxa" w:w="3120"/>
          </w:tcPr>
          <w:p>
            <w:pPr>
              <w:spacing w:line="240" w:lineRule="auto"/>
            </w:pPr>
            <w:r>
              <w:rPr>
                <w:sz w:val="18"/>
              </w:rPr>
            </w:r>
            <w:r>
              <w:rPr>
                <w:sz w:val="18"/>
              </w:rPr>
              <w:t>Independence of errors</w:t>
            </w:r>
          </w:p>
        </w:tc>
        <w:tc>
          <w:tcPr>
            <w:tcW w:type="dxa" w:w="3120"/>
          </w:tcPr>
          <w:p>
            <w:pPr>
              <w:spacing w:line="240" w:lineRule="auto"/>
            </w:pPr>
            <w:r>
              <w:rPr>
                <w:sz w:val="18"/>
              </w:rPr>
            </w:r>
            <w:r>
              <w:rPr>
                <w:sz w:val="18"/>
              </w:rPr>
              <w:t>Durbin-Watson</w:t>
            </w:r>
          </w:p>
        </w:tc>
        <w:tc>
          <w:tcPr>
            <w:tcW w:type="dxa" w:w="3120"/>
          </w:tcPr>
          <w:p>
            <w:pPr>
              <w:spacing w:line="240" w:lineRule="auto"/>
            </w:pPr>
            <w:r>
              <w:rPr>
                <w:sz w:val="18"/>
              </w:rPr>
            </w:r>
            <w:r>
              <w:rPr>
                <w:sz w:val="18"/>
              </w:rPr>
              <w:t>2.078 — no autocorrelation</w:t>
            </w:r>
          </w:p>
        </w:tc>
      </w:tr>
      <w:tr>
        <w:tc>
          <w:tcPr>
            <w:tcW w:type="dxa" w:w="3120"/>
          </w:tcPr>
          <w:p>
            <w:pPr>
              <w:spacing w:line="240" w:lineRule="auto"/>
            </w:pPr>
            <w:r>
              <w:rPr>
                <w:sz w:val="18"/>
              </w:rPr>
            </w:r>
            <w:r>
              <w:rPr>
                <w:sz w:val="18"/>
              </w:rPr>
              <w:t>Normality of residuals</w:t>
            </w:r>
          </w:p>
        </w:tc>
        <w:tc>
          <w:tcPr>
            <w:tcW w:type="dxa" w:w="3120"/>
          </w:tcPr>
          <w:p>
            <w:pPr>
              <w:spacing w:line="240" w:lineRule="auto"/>
            </w:pPr>
            <w:r>
              <w:rPr>
                <w:sz w:val="18"/>
              </w:rPr>
            </w:r>
            <w:r>
              <w:rPr>
                <w:sz w:val="18"/>
              </w:rPr>
              <w:t>Shapiro-Wilk</w:t>
            </w:r>
          </w:p>
        </w:tc>
        <w:tc>
          <w:tcPr>
            <w:tcW w:type="dxa" w:w="3120"/>
          </w:tcPr>
          <w:p>
            <w:pPr>
              <w:spacing w:line="240" w:lineRule="auto"/>
            </w:pPr>
            <w:r>
              <w:rPr>
                <w:sz w:val="18"/>
              </w:rPr>
            </w:r>
            <w:r>
              <w:rPr>
                <w:sz w:val="18"/>
              </w:rPr>
              <w:t>p = 0.86 — passes</w:t>
            </w:r>
          </w:p>
        </w:tc>
      </w:tr>
      <w:tr>
        <w:tc>
          <w:tcPr>
            <w:tcW w:type="dxa" w:w="3120"/>
          </w:tcPr>
          <w:p>
            <w:pPr>
              <w:spacing w:line="240" w:lineRule="auto"/>
            </w:pPr>
            <w:r>
              <w:rPr>
                <w:sz w:val="18"/>
              </w:rPr>
            </w:r>
            <w:r>
              <w:rPr>
                <w:sz w:val="18"/>
              </w:rPr>
              <w:t>Constant variance</w:t>
            </w:r>
          </w:p>
        </w:tc>
        <w:tc>
          <w:tcPr>
            <w:tcW w:type="dxa" w:w="3120"/>
          </w:tcPr>
          <w:p>
            <w:pPr>
              <w:spacing w:line="240" w:lineRule="auto"/>
            </w:pPr>
            <w:r>
              <w:rPr>
                <w:sz w:val="18"/>
              </w:rPr>
            </w:r>
            <w:r>
              <w:rPr>
                <w:sz w:val="18"/>
              </w:rPr>
              <w:t>Breusch-Pagan</w:t>
            </w:r>
          </w:p>
        </w:tc>
        <w:tc>
          <w:tcPr>
            <w:tcW w:type="dxa" w:w="3120"/>
          </w:tcPr>
          <w:p>
            <w:pPr>
              <w:spacing w:line="240" w:lineRule="auto"/>
            </w:pPr>
            <w:r>
              <w:rPr>
                <w:sz w:val="18"/>
              </w:rPr>
            </w:r>
            <w:r>
              <w:rPr>
                <w:b/>
                <w:sz w:val="18"/>
              </w:rPr>
              <w:t>p = 0.0023 — fails</w:t>
            </w:r>
            <w:r>
              <w:rPr>
                <w:sz w:val="18"/>
              </w:rPr>
              <w:t>; robust SEs used</w:t>
            </w:r>
          </w:p>
        </w:tc>
      </w:tr>
      <w:tr>
        <w:tc>
          <w:tcPr>
            <w:tcW w:type="dxa" w:w="3120"/>
          </w:tcPr>
          <w:p>
            <w:pPr>
              <w:spacing w:line="240" w:lineRule="auto"/>
            </w:pPr>
            <w:r>
              <w:rPr>
                <w:sz w:val="18"/>
              </w:rPr>
            </w:r>
            <w:r>
              <w:rPr>
                <w:sz w:val="18"/>
              </w:rPr>
              <w:t>No multicollinearity</w:t>
            </w:r>
          </w:p>
        </w:tc>
        <w:tc>
          <w:tcPr>
            <w:tcW w:type="dxa" w:w="3120"/>
          </w:tcPr>
          <w:p>
            <w:pPr>
              <w:spacing w:line="240" w:lineRule="auto"/>
            </w:pPr>
            <w:r>
              <w:rPr>
                <w:sz w:val="18"/>
              </w:rPr>
            </w:r>
            <w:r>
              <w:rPr>
                <w:sz w:val="18"/>
              </w:rPr>
              <w:t>VIF</w:t>
            </w:r>
          </w:p>
        </w:tc>
        <w:tc>
          <w:tcPr>
            <w:tcW w:type="dxa" w:w="3120"/>
          </w:tcPr>
          <w:p>
            <w:pPr>
              <w:spacing w:line="240" w:lineRule="auto"/>
            </w:pPr>
            <w:r>
              <w:rPr>
                <w:sz w:val="18"/>
              </w:rPr>
            </w:r>
            <w:r>
              <w:rPr>
                <w:sz w:val="18"/>
              </w:rPr>
              <w:t>Fails in Model B (13.67); Model C all under 1.8</w:t>
            </w:r>
          </w:p>
        </w:tc>
      </w:tr>
    </w:tbl>
    <w:p>
      <w:pPr>
        <w:spacing w:after="200" w:line="240" w:lineRule="auto"/>
        <w:jc w:val="center"/>
      </w:pPr>
      <w:r>
        <w:rPr>
          <w:i/>
          <w:color w:val="7B8994"/>
          <w:sz w:val="20"/>
        </w:rPr>
        <w:t>Table 5. Assumptions, limitations and conditions</w:t>
      </w:r>
    </w:p>
    <w:p>
      <w:r>
        <w:t>Six further conditions on any use of this model:</w:t>
      </w:r>
    </w:p>
    <w:p>
      <w:pPr>
        <w:pStyle w:val="ListBullet"/>
      </w:pPr>
      <w:r>
        <w:rPr>
          <w:b/>
        </w:rPr>
        <w:t>57 monthly observations is not many</w:t>
      </w:r>
      <w:r>
        <w:t xml:space="preserve"> for five predictors. Adjusted R² and the holdout are reported precisely because plain R² would flatter it.</w:t>
      </w:r>
    </w:p>
    <w:p>
      <w:pPr>
        <w:pStyle w:val="ListBullet"/>
      </w:pPr>
      <w:r>
        <w:rPr>
          <w:b/>
        </w:rPr>
        <w:t>Do not extrapolate beyond the observed range.</w:t>
      </w:r>
      <w:r>
        <w:t xml:space="preserve"> Order counts run from 9 to 45 per month and revenue from 22,187 to 204,413. The model says nothing outside that.</w:t>
      </w:r>
    </w:p>
    <w:p>
      <w:pPr>
        <w:pStyle w:val="ListBullet"/>
      </w:pPr>
      <w:r>
        <w:rPr>
          <w:b/>
        </w:rPr>
        <w:t>The intercept is not meaningful.</w:t>
      </w:r>
      <w:r>
        <w:t xml:space="preserve"> Zero orders cannot produce −12,276 in revenue; it is where the plane crosses the axis, far outside the data.</w:t>
      </w:r>
    </w:p>
    <w:p>
      <w:pPr>
        <w:pStyle w:val="ListBullet"/>
      </w:pPr>
      <w:r>
        <w:rPr>
          <w:b/>
        </w:rPr>
        <w:t>Association, not causation.</w:t>
      </w:r>
      <w:r>
        <w:t xml:space="preserve"> Orders and revenue move together over 57 months. Nothing here shows that generating an order causes the revenue, as opposed to both responding to demand we cannot observe.</w:t>
      </w:r>
    </w:p>
    <w:p>
      <w:pPr>
        <w:pStyle w:val="ListBullet"/>
      </w:pPr>
      <w:r>
        <w:rPr>
          <w:b/>
        </w:rPr>
        <w:t>The dataset is synthetic</w:t>
      </w:r>
      <w:r>
        <w:t>, so these coefficients describe a generated file. The method transfers to real data; the numbers do not.</w:t>
      </w:r>
    </w:p>
    <w:p>
      <w:pPr>
        <w:pStyle w:val="ListBullet"/>
      </w:pPr>
      <w:r>
        <w:rPr>
          <w:b/>
        </w:rPr>
        <w:t>Transactions only.</w:t>
      </w:r>
      <w:r>
        <w:t xml:space="preserve"> The file records sales that happened, never a customer who considered a purchase and did not make one, so the model cannot see demand that was lost.</w:t>
      </w:r>
    </w:p>
    <w:p>
      <w:r>
        <w:br w:type="page"/>
      </w:r>
    </w:p>
    <w:p>
      <w:pPr>
        <w:pStyle w:val="Heading1"/>
      </w:pPr>
      <w:r>
        <w:t>Task 4.2 — Data Ethics, Privacy &amp; Governance</w:t>
      </w:r>
    </w:p>
    <w:p>
      <w:r>
        <w:t xml:space="preserve">Written up in full at </w:t>
      </w:r>
      <w:r>
        <w:rPr>
          <w:rFonts w:ascii="Consolas" w:hAnsi="Consolas"/>
          <w:color w:val="2F6F9F"/>
          <w:sz w:val="18"/>
        </w:rPr>
        <w:t>docs/checkpoint4_ethics.md</w:t>
      </w:r>
      <w:r>
        <w:t xml:space="preserve"> (</w:t>
      </w:r>
      <w:r>
        <w:rPr>
          <w:rFonts w:ascii="Consolas" w:hAnsi="Consolas"/>
          <w:color w:val="2F6F9F"/>
          <w:sz w:val="18"/>
        </w:rPr>
        <w:t>Checkpoint_4_Ethics.docx</w:t>
      </w:r>
      <w:r>
        <w:t>), 1,153 words against the 500-word minimum, covering all four required areas.</w:t>
      </w:r>
    </w:p>
    <w:p>
      <w:r>
        <w:t>The argument in brief:</w:t>
      </w:r>
    </w:p>
    <w:p>
      <w:pPr>
        <w:pStyle w:val="ListBullet"/>
      </w:pPr>
      <w:r>
        <w:rPr>
          <w:b/>
        </w:rPr>
        <w:t>Privacy.</w:t>
      </w:r>
      <w:r>
        <w:t xml:space="preserve"> The names are synthetic, so there is no data subject and R.A. 10173 is not engaged. The reason matters: not that the file is public, but that the people in it do not exist. </w:t>
      </w:r>
      <w:r>
        <w:rPr>
          <w:b/>
        </w:rPr>
        <w:t>Public availability is not consent.</w:t>
      </w:r>
    </w:p>
    <w:p>
      <w:pPr>
        <w:pStyle w:val="ListBullet"/>
      </w:pPr>
      <w:r>
        <w:rPr>
          <w:b/>
        </w:rPr>
        <w:t>Ethics.</w:t>
      </w:r>
      <w:r>
        <w:t xml:space="preserve"> The sharpest issue is our own Checkpoint 3 segmentation. Labelling 350 customers "Thin-Margin Buyers" is accurate and commercially useful, and on real data it is a mechanism by which poorer customers could be served worse. Also covered: survivorship bias, and why we documented the </w:t>
      </w:r>
      <w:r>
        <w:rPr>
          <w:rFonts w:ascii="Consolas" w:hAnsi="Consolas"/>
          <w:color w:val="2F6F9F"/>
          <w:sz w:val="18"/>
        </w:rPr>
        <w:t>Order ID</w:t>
      </w:r>
      <w:r>
        <w:t xml:space="preserve"> defect instead of fabricating a repair.</w:t>
      </w:r>
    </w:p>
    <w:p>
      <w:pPr>
        <w:pStyle w:val="ListBullet"/>
      </w:pPr>
      <w:r>
        <w:rPr>
          <w:b/>
        </w:rPr>
        <w:t>Governance.</w:t>
      </w:r>
      <w:r>
        <w:t xml:space="preserve"> Four requirements — a named owner for the customer dimension, analysts working against pseudonymised views, a retention rule (every finding except the customer segmentation survives deleting every name), and the lineage this project already has.</w:t>
      </w:r>
    </w:p>
    <w:p>
      <w:pPr>
        <w:pStyle w:val="ListBullet"/>
      </w:pPr>
      <w:r>
        <w:rPr>
          <w:b/>
        </w:rPr>
        <w:t>Regulation.</w:t>
      </w:r>
      <w:r>
        <w:t xml:space="preserve"> R.A. 10173 in detail, with proportionality, purpose specification and the right to object applied to this analysis; GDPR Article 22 on automated decisions, and where our clustering would cross that line.</w:t>
      </w:r>
    </w:p>
    <w:p>
      <w:r>
        <w:br w:type="page"/>
      </w:r>
    </w:p>
    <w:p>
      <w:pPr>
        <w:pStyle w:val="Heading1"/>
      </w:pPr>
      <w:r>
        <w:t>Task 4.3 — Integrated Capstone Report</w:t>
      </w:r>
    </w:p>
    <w:p>
      <w:r>
        <w:t>The brief specifies eleven sections. Most already exist.</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Section</w:t>
            </w:r>
          </w:p>
        </w:tc>
        <w:tc>
          <w:tcPr>
            <w:tcW w:type="dxa" w:w="2340"/>
          </w:tcPr>
          <w:p>
            <w:r>
              <w:rPr>
                <w:b/>
              </w:rPr>
            </w:r>
            <w:r>
              <w:rPr>
                <w:b/>
              </w:rPr>
              <w:t>Source</w:t>
            </w:r>
          </w:p>
        </w:tc>
        <w:tc>
          <w:tcPr>
            <w:tcW w:type="dxa" w:w="2340"/>
          </w:tcPr>
          <w:p>
            <w:r>
              <w:rPr>
                <w:b/>
              </w:rPr>
            </w:r>
            <w:r>
              <w:rPr>
                <w:b/>
              </w:rPr>
              <w:t>Status</w:t>
            </w:r>
          </w:p>
        </w:tc>
      </w:tr>
      <w:tr>
        <w:tc>
          <w:tcPr>
            <w:tcW w:type="dxa" w:w="2340"/>
          </w:tcPr>
          <w:p>
            <w:pPr>
              <w:spacing w:line="240" w:lineRule="auto"/>
            </w:pPr>
            <w:r>
              <w:rPr>
                <w:sz w:val="18"/>
              </w:rPr>
            </w:r>
            <w:r>
              <w:rPr>
                <w:sz w:val="18"/>
              </w:rPr>
              <w:t>1</w:t>
            </w:r>
          </w:p>
        </w:tc>
        <w:tc>
          <w:tcPr>
            <w:tcW w:type="dxa" w:w="2340"/>
          </w:tcPr>
          <w:p>
            <w:pPr>
              <w:spacing w:line="240" w:lineRule="auto"/>
            </w:pPr>
            <w:r>
              <w:rPr>
                <w:sz w:val="18"/>
              </w:rPr>
            </w:r>
            <w:r>
              <w:rPr>
                <w:sz w:val="18"/>
              </w:rPr>
              <w:t>Title page</w:t>
            </w:r>
          </w:p>
        </w:tc>
        <w:tc>
          <w:tcPr>
            <w:tcW w:type="dxa" w:w="2340"/>
          </w:tcPr>
          <w:p>
            <w:pPr>
              <w:spacing w:line="240" w:lineRule="auto"/>
            </w:pPr>
            <w:r>
              <w:rPr>
                <w:sz w:val="18"/>
              </w:rPr>
            </w:r>
            <w:r>
              <w:rPr>
                <w:sz w:val="18"/>
              </w:rPr>
              <w:t>Checkpoint reports</w:t>
            </w:r>
          </w:p>
        </w:tc>
        <w:tc>
          <w:tcPr>
            <w:tcW w:type="dxa" w:w="2340"/>
          </w:tcPr>
          <w:p>
            <w:pPr>
              <w:spacing w:line="240" w:lineRule="auto"/>
            </w:pPr>
            <w:r>
              <w:rPr>
                <w:sz w:val="18"/>
              </w:rPr>
            </w:r>
            <w:r>
              <w:rPr>
                <w:b/>
                <w:sz w:val="18"/>
              </w:rPr>
              <w:t>ACTION: fill the blanks</w:t>
            </w:r>
          </w:p>
        </w:tc>
      </w:tr>
      <w:tr>
        <w:tc>
          <w:tcPr>
            <w:tcW w:type="dxa" w:w="2340"/>
          </w:tcPr>
          <w:p>
            <w:pPr>
              <w:spacing w:line="240" w:lineRule="auto"/>
            </w:pPr>
            <w:r>
              <w:rPr>
                <w:sz w:val="18"/>
              </w:rPr>
            </w:r>
            <w:r>
              <w:rPr>
                <w:sz w:val="18"/>
              </w:rPr>
              <w:t>2</w:t>
            </w:r>
          </w:p>
        </w:tc>
        <w:tc>
          <w:tcPr>
            <w:tcW w:type="dxa" w:w="2340"/>
          </w:tcPr>
          <w:p>
            <w:pPr>
              <w:spacing w:line="240" w:lineRule="auto"/>
            </w:pPr>
            <w:r>
              <w:rPr>
                <w:sz w:val="18"/>
              </w:rPr>
            </w:r>
            <w:r>
              <w:rPr>
                <w:sz w:val="18"/>
              </w:rPr>
              <w:t>Executive summary</w:t>
            </w:r>
          </w:p>
        </w:tc>
        <w:tc>
          <w:tcPr>
            <w:tcW w:type="dxa" w:w="2340"/>
          </w:tcPr>
          <w:p>
            <w:pPr>
              <w:spacing w:line="240" w:lineRule="auto"/>
            </w:pPr>
            <w:r>
              <w:rPr>
                <w:sz w:val="18"/>
              </w:rPr>
            </w:r>
            <w:r>
              <w:rPr>
                <w:sz w:val="18"/>
              </w:rPr>
              <w:t>—</w:t>
            </w:r>
          </w:p>
        </w:tc>
        <w:tc>
          <w:tcPr>
            <w:tcW w:type="dxa" w:w="2340"/>
          </w:tcPr>
          <w:p>
            <w:pPr>
              <w:spacing w:line="240" w:lineRule="auto"/>
            </w:pPr>
            <w:r>
              <w:rPr>
                <w:sz w:val="18"/>
              </w:rPr>
            </w:r>
            <w:r>
              <w:rPr>
                <w:b/>
                <w:sz w:val="18"/>
              </w:rPr>
              <w:t>ACTION: write, 1 page</w:t>
            </w:r>
          </w:p>
        </w:tc>
      </w:tr>
      <w:tr>
        <w:tc>
          <w:tcPr>
            <w:tcW w:type="dxa" w:w="2340"/>
          </w:tcPr>
          <w:p>
            <w:pPr>
              <w:spacing w:line="240" w:lineRule="auto"/>
            </w:pPr>
            <w:r>
              <w:rPr>
                <w:sz w:val="18"/>
              </w:rPr>
            </w:r>
            <w:r>
              <w:rPr>
                <w:sz w:val="18"/>
              </w:rPr>
              <w:t>3</w:t>
            </w:r>
          </w:p>
        </w:tc>
        <w:tc>
          <w:tcPr>
            <w:tcW w:type="dxa" w:w="2340"/>
          </w:tcPr>
          <w:p>
            <w:pPr>
              <w:spacing w:line="240" w:lineRule="auto"/>
            </w:pPr>
            <w:r>
              <w:rPr>
                <w:sz w:val="18"/>
              </w:rPr>
            </w:r>
            <w:r>
              <w:rPr>
                <w:sz w:val="18"/>
              </w:rPr>
              <w:t>Business problem &amp; data source</w:t>
            </w:r>
          </w:p>
        </w:tc>
        <w:tc>
          <w:tcPr>
            <w:tcW w:type="dxa" w:w="2340"/>
          </w:tcPr>
          <w:p>
            <w:pPr>
              <w:spacing w:line="240" w:lineRule="auto"/>
            </w:pPr>
            <w:r>
              <w:rPr>
                <w:sz w:val="18"/>
              </w:rPr>
            </w:r>
            <w:r>
              <w:rPr>
                <w:sz w:val="18"/>
              </w:rPr>
              <w:t>CP1 report, Tasks 1.1–1.2</w:t>
            </w:r>
          </w:p>
        </w:tc>
        <w:tc>
          <w:tcPr>
            <w:tcW w:type="dxa" w:w="2340"/>
          </w:tcPr>
          <w:p>
            <w:pPr>
              <w:spacing w:line="240" w:lineRule="auto"/>
            </w:pPr>
            <w:r>
              <w:rPr>
                <w:sz w:val="18"/>
              </w:rPr>
            </w:r>
            <w:r>
              <w:rPr>
                <w:sz w:val="18"/>
              </w:rPr>
              <w:t>Ready, refine</w:t>
            </w:r>
          </w:p>
        </w:tc>
      </w:tr>
      <w:tr>
        <w:tc>
          <w:tcPr>
            <w:tcW w:type="dxa" w:w="2340"/>
          </w:tcPr>
          <w:p>
            <w:pPr>
              <w:spacing w:line="240" w:lineRule="auto"/>
            </w:pPr>
            <w:r>
              <w:rPr>
                <w:sz w:val="18"/>
              </w:rPr>
            </w:r>
            <w:r>
              <w:rPr>
                <w:sz w:val="18"/>
              </w:rPr>
              <w:t>4</w:t>
            </w:r>
          </w:p>
        </w:tc>
        <w:tc>
          <w:tcPr>
            <w:tcW w:type="dxa" w:w="2340"/>
          </w:tcPr>
          <w:p>
            <w:pPr>
              <w:spacing w:line="240" w:lineRule="auto"/>
            </w:pPr>
            <w:r>
              <w:rPr>
                <w:sz w:val="18"/>
              </w:rPr>
            </w:r>
            <w:r>
              <w:rPr>
                <w:sz w:val="18"/>
              </w:rPr>
              <w:t>Database design &amp; SQL analysis</w:t>
            </w:r>
          </w:p>
        </w:tc>
        <w:tc>
          <w:tcPr>
            <w:tcW w:type="dxa" w:w="2340"/>
          </w:tcPr>
          <w:p>
            <w:pPr>
              <w:spacing w:line="240" w:lineRule="auto"/>
            </w:pPr>
            <w:r>
              <w:rPr>
                <w:sz w:val="18"/>
              </w:rPr>
            </w:r>
            <w:r>
              <w:rPr>
                <w:sz w:val="18"/>
              </w:rPr>
              <w:t>CP1 report, Tasks 1.3–1.4</w:t>
            </w:r>
          </w:p>
        </w:tc>
        <w:tc>
          <w:tcPr>
            <w:tcW w:type="dxa" w:w="2340"/>
          </w:tcPr>
          <w:p>
            <w:pPr>
              <w:spacing w:line="240" w:lineRule="auto"/>
            </w:pPr>
            <w:r>
              <w:rPr>
                <w:sz w:val="18"/>
              </w:rPr>
            </w:r>
            <w:r>
              <w:rPr>
                <w:sz w:val="18"/>
              </w:rPr>
              <w:t>Ready — 8 tables, 8 queries, all results</w:t>
            </w:r>
          </w:p>
        </w:tc>
      </w:tr>
      <w:tr>
        <w:tc>
          <w:tcPr>
            <w:tcW w:type="dxa" w:w="2340"/>
          </w:tcPr>
          <w:p>
            <w:pPr>
              <w:spacing w:line="240" w:lineRule="auto"/>
            </w:pPr>
            <w:r>
              <w:rPr>
                <w:sz w:val="18"/>
              </w:rPr>
            </w:r>
            <w:r>
              <w:rPr>
                <w:sz w:val="18"/>
              </w:rPr>
              <w:t>5</w:t>
            </w:r>
          </w:p>
        </w:tc>
        <w:tc>
          <w:tcPr>
            <w:tcW w:type="dxa" w:w="2340"/>
          </w:tcPr>
          <w:p>
            <w:pPr>
              <w:spacing w:line="240" w:lineRule="auto"/>
            </w:pPr>
            <w:r>
              <w:rPr>
                <w:sz w:val="18"/>
              </w:rPr>
            </w:r>
            <w:r>
              <w:rPr>
                <w:sz w:val="18"/>
              </w:rPr>
              <w:t>Statistical analysis</w:t>
            </w:r>
          </w:p>
        </w:tc>
        <w:tc>
          <w:tcPr>
            <w:tcW w:type="dxa" w:w="2340"/>
          </w:tcPr>
          <w:p>
            <w:pPr>
              <w:spacing w:line="240" w:lineRule="auto"/>
            </w:pPr>
            <w:r>
              <w:rPr>
                <w:sz w:val="18"/>
              </w:rPr>
            </w:r>
            <w:r>
              <w:rPr>
                <w:sz w:val="18"/>
              </w:rPr>
              <w:t>CP2 report</w:t>
            </w:r>
          </w:p>
        </w:tc>
        <w:tc>
          <w:tcPr>
            <w:tcW w:type="dxa" w:w="2340"/>
          </w:tcPr>
          <w:p>
            <w:pPr>
              <w:spacing w:line="240" w:lineRule="auto"/>
            </w:pPr>
            <w:r>
              <w:rPr>
                <w:sz w:val="18"/>
              </w:rPr>
            </w:r>
            <w:r>
              <w:rPr>
                <w:sz w:val="18"/>
              </w:rPr>
              <w:t>Ready</w:t>
            </w:r>
          </w:p>
        </w:tc>
      </w:tr>
      <w:tr>
        <w:tc>
          <w:tcPr>
            <w:tcW w:type="dxa" w:w="2340"/>
          </w:tcPr>
          <w:p>
            <w:pPr>
              <w:spacing w:line="240" w:lineRule="auto"/>
            </w:pPr>
            <w:r>
              <w:rPr>
                <w:sz w:val="18"/>
              </w:rPr>
            </w:r>
            <w:r>
              <w:rPr>
                <w:sz w:val="18"/>
              </w:rPr>
              <w:t>6</w:t>
            </w:r>
          </w:p>
        </w:tc>
        <w:tc>
          <w:tcPr>
            <w:tcW w:type="dxa" w:w="2340"/>
          </w:tcPr>
          <w:p>
            <w:pPr>
              <w:spacing w:line="240" w:lineRule="auto"/>
            </w:pPr>
            <w:r>
              <w:rPr>
                <w:sz w:val="18"/>
              </w:rPr>
            </w:r>
            <w:r>
              <w:rPr>
                <w:sz w:val="18"/>
              </w:rPr>
              <w:t>BI dashboard summary</w:t>
            </w:r>
          </w:p>
        </w:tc>
        <w:tc>
          <w:tcPr>
            <w:tcW w:type="dxa" w:w="2340"/>
          </w:tcPr>
          <w:p>
            <w:pPr>
              <w:spacing w:line="240" w:lineRule="auto"/>
            </w:pPr>
            <w:r>
              <w:rPr>
                <w:sz w:val="18"/>
              </w:rPr>
            </w:r>
            <w:r>
              <w:rPr>
                <w:sz w:val="18"/>
              </w:rPr>
              <w:t>CP3</w:t>
            </w:r>
          </w:p>
        </w:tc>
        <w:tc>
          <w:tcPr>
            <w:tcW w:type="dxa" w:w="2340"/>
          </w:tcPr>
          <w:p>
            <w:pPr>
              <w:spacing w:line="240" w:lineRule="auto"/>
            </w:pPr>
            <w:r>
              <w:rPr>
                <w:sz w:val="18"/>
              </w:rPr>
            </w:r>
            <w:r>
              <w:rPr>
                <w:b/>
                <w:sz w:val="18"/>
              </w:rPr>
              <w:t>ACTION: screenshots once built</w:t>
            </w:r>
          </w:p>
        </w:tc>
      </w:tr>
      <w:tr>
        <w:tc>
          <w:tcPr>
            <w:tcW w:type="dxa" w:w="2340"/>
          </w:tcPr>
          <w:p>
            <w:pPr>
              <w:spacing w:line="240" w:lineRule="auto"/>
            </w:pPr>
            <w:r>
              <w:rPr>
                <w:sz w:val="18"/>
              </w:rPr>
            </w:r>
            <w:r>
              <w:rPr>
                <w:sz w:val="18"/>
              </w:rPr>
              <w:t>7</w:t>
            </w:r>
          </w:p>
        </w:tc>
        <w:tc>
          <w:tcPr>
            <w:tcW w:type="dxa" w:w="2340"/>
          </w:tcPr>
          <w:p>
            <w:pPr>
              <w:spacing w:line="240" w:lineRule="auto"/>
            </w:pPr>
            <w:r>
              <w:rPr>
                <w:sz w:val="18"/>
              </w:rPr>
            </w:r>
            <w:r>
              <w:rPr>
                <w:sz w:val="18"/>
              </w:rPr>
              <w:t>Predictive analytics</w:t>
            </w:r>
          </w:p>
        </w:tc>
        <w:tc>
          <w:tcPr>
            <w:tcW w:type="dxa" w:w="2340"/>
          </w:tcPr>
          <w:p>
            <w:pPr>
              <w:spacing w:line="240" w:lineRule="auto"/>
            </w:pPr>
            <w:r>
              <w:rPr>
                <w:sz w:val="18"/>
              </w:rPr>
            </w:r>
            <w:r>
              <w:rPr>
                <w:sz w:val="18"/>
              </w:rPr>
              <w:t>Task 4.1 above</w:t>
            </w:r>
          </w:p>
        </w:tc>
        <w:tc>
          <w:tcPr>
            <w:tcW w:type="dxa" w:w="2340"/>
          </w:tcPr>
          <w:p>
            <w:pPr>
              <w:spacing w:line="240" w:lineRule="auto"/>
            </w:pPr>
            <w:r>
              <w:rPr>
                <w:sz w:val="18"/>
              </w:rPr>
            </w:r>
            <w:r>
              <w:rPr>
                <w:sz w:val="18"/>
              </w:rPr>
              <w:t>Ready</w:t>
            </w:r>
          </w:p>
        </w:tc>
      </w:tr>
      <w:tr>
        <w:tc>
          <w:tcPr>
            <w:tcW w:type="dxa" w:w="2340"/>
          </w:tcPr>
          <w:p>
            <w:pPr>
              <w:spacing w:line="240" w:lineRule="auto"/>
            </w:pPr>
            <w:r>
              <w:rPr>
                <w:sz w:val="18"/>
              </w:rPr>
            </w:r>
            <w:r>
              <w:rPr>
                <w:sz w:val="18"/>
              </w:rPr>
              <w:t>8</w:t>
            </w:r>
          </w:p>
        </w:tc>
        <w:tc>
          <w:tcPr>
            <w:tcW w:type="dxa" w:w="2340"/>
          </w:tcPr>
          <w:p>
            <w:pPr>
              <w:spacing w:line="240" w:lineRule="auto"/>
            </w:pPr>
            <w:r>
              <w:rPr>
                <w:sz w:val="18"/>
              </w:rPr>
            </w:r>
            <w:r>
              <w:rPr>
                <w:sz w:val="18"/>
              </w:rPr>
              <w:t>Ethics &amp; governance</w:t>
            </w:r>
          </w:p>
        </w:tc>
        <w:tc>
          <w:tcPr>
            <w:tcW w:type="dxa" w:w="2340"/>
          </w:tcPr>
          <w:p>
            <w:pPr>
              <w:spacing w:line="240" w:lineRule="auto"/>
            </w:pPr>
            <w:r>
              <w:rPr>
                <w:sz w:val="18"/>
              </w:rPr>
            </w:r>
            <w:r>
              <w:rPr>
                <w:rFonts w:ascii="Consolas" w:hAnsi="Consolas"/>
                <w:color w:val="2F6F9F"/>
                <w:sz w:val="18"/>
              </w:rPr>
              <w:t>checkpoint4_ethics.md</w:t>
            </w:r>
          </w:p>
        </w:tc>
        <w:tc>
          <w:tcPr>
            <w:tcW w:type="dxa" w:w="2340"/>
          </w:tcPr>
          <w:p>
            <w:pPr>
              <w:spacing w:line="240" w:lineRule="auto"/>
            </w:pPr>
            <w:r>
              <w:rPr>
                <w:sz w:val="18"/>
              </w:rPr>
            </w:r>
            <w:r>
              <w:rPr>
                <w:sz w:val="18"/>
              </w:rPr>
              <w:t>Ready</w:t>
            </w:r>
          </w:p>
        </w:tc>
      </w:tr>
      <w:tr>
        <w:tc>
          <w:tcPr>
            <w:tcW w:type="dxa" w:w="2340"/>
          </w:tcPr>
          <w:p>
            <w:pPr>
              <w:spacing w:line="240" w:lineRule="auto"/>
            </w:pPr>
            <w:r>
              <w:rPr>
                <w:sz w:val="18"/>
              </w:rPr>
            </w:r>
            <w:r>
              <w:rPr>
                <w:sz w:val="18"/>
              </w:rPr>
              <w:t>9</w:t>
            </w:r>
          </w:p>
        </w:tc>
        <w:tc>
          <w:tcPr>
            <w:tcW w:type="dxa" w:w="2340"/>
          </w:tcPr>
          <w:p>
            <w:pPr>
              <w:spacing w:line="240" w:lineRule="auto"/>
            </w:pPr>
            <w:r>
              <w:rPr>
                <w:sz w:val="18"/>
              </w:rPr>
            </w:r>
            <w:r>
              <w:rPr>
                <w:sz w:val="18"/>
              </w:rPr>
              <w:t>Conclusions &amp; recommendations</w:t>
            </w:r>
          </w:p>
        </w:tc>
        <w:tc>
          <w:tcPr>
            <w:tcW w:type="dxa" w:w="2340"/>
          </w:tcPr>
          <w:p>
            <w:pPr>
              <w:spacing w:line="240" w:lineRule="auto"/>
            </w:pPr>
            <w:r>
              <w:rPr>
                <w:sz w:val="18"/>
              </w:rPr>
            </w:r>
            <w:r>
              <w:rPr>
                <w:sz w:val="18"/>
              </w:rPr>
              <w:t>Below</w:t>
            </w:r>
          </w:p>
        </w:tc>
        <w:tc>
          <w:tcPr>
            <w:tcW w:type="dxa" w:w="2340"/>
          </w:tcPr>
          <w:p>
            <w:pPr>
              <w:spacing w:line="240" w:lineRule="auto"/>
            </w:pPr>
            <w:r>
              <w:rPr>
                <w:sz w:val="18"/>
              </w:rPr>
            </w:r>
            <w:r>
              <w:rPr>
                <w:sz w:val="18"/>
              </w:rPr>
              <w:t>Ready, 3–5 required</w:t>
            </w:r>
          </w:p>
        </w:tc>
      </w:tr>
      <w:tr>
        <w:tc>
          <w:tcPr>
            <w:tcW w:type="dxa" w:w="2340"/>
          </w:tcPr>
          <w:p>
            <w:pPr>
              <w:spacing w:line="240" w:lineRule="auto"/>
            </w:pPr>
            <w:r>
              <w:rPr>
                <w:sz w:val="18"/>
              </w:rPr>
            </w:r>
            <w:r>
              <w:rPr>
                <w:sz w:val="18"/>
              </w:rPr>
              <w:t>10</w:t>
            </w:r>
          </w:p>
        </w:tc>
        <w:tc>
          <w:tcPr>
            <w:tcW w:type="dxa" w:w="2340"/>
          </w:tcPr>
          <w:p>
            <w:pPr>
              <w:spacing w:line="240" w:lineRule="auto"/>
            </w:pPr>
            <w:r>
              <w:rPr>
                <w:sz w:val="18"/>
              </w:rPr>
            </w:r>
            <w:r>
              <w:rPr>
                <w:sz w:val="18"/>
              </w:rPr>
              <w:t>References</w:t>
            </w:r>
          </w:p>
        </w:tc>
        <w:tc>
          <w:tcPr>
            <w:tcW w:type="dxa" w:w="2340"/>
          </w:tcPr>
          <w:p>
            <w:pPr>
              <w:spacing w:line="240" w:lineRule="auto"/>
            </w:pPr>
            <w:r>
              <w:rPr>
                <w:sz w:val="18"/>
              </w:rPr>
            </w:r>
            <w:r>
              <w:rPr>
                <w:sz w:val="18"/>
              </w:rPr>
              <w:t>—</w:t>
            </w:r>
          </w:p>
        </w:tc>
        <w:tc>
          <w:tcPr>
            <w:tcW w:type="dxa" w:w="2340"/>
          </w:tcPr>
          <w:p>
            <w:pPr>
              <w:spacing w:line="240" w:lineRule="auto"/>
            </w:pPr>
            <w:r>
              <w:rPr>
                <w:sz w:val="18"/>
              </w:rPr>
            </w:r>
            <w:r>
              <w:rPr>
                <w:b/>
                <w:sz w:val="18"/>
              </w:rPr>
              <w:t>ACTION: APA format</w:t>
            </w:r>
          </w:p>
        </w:tc>
      </w:tr>
      <w:tr>
        <w:tc>
          <w:tcPr>
            <w:tcW w:type="dxa" w:w="2340"/>
          </w:tcPr>
          <w:p>
            <w:pPr>
              <w:spacing w:line="240" w:lineRule="auto"/>
            </w:pPr>
            <w:r>
              <w:rPr>
                <w:sz w:val="18"/>
              </w:rPr>
            </w:r>
            <w:r>
              <w:rPr>
                <w:sz w:val="18"/>
              </w:rPr>
              <w:t>11</w:t>
            </w:r>
          </w:p>
        </w:tc>
        <w:tc>
          <w:tcPr>
            <w:tcW w:type="dxa" w:w="2340"/>
          </w:tcPr>
          <w:p>
            <w:pPr>
              <w:spacing w:line="240" w:lineRule="auto"/>
            </w:pPr>
            <w:r>
              <w:rPr>
                <w:sz w:val="18"/>
              </w:rPr>
            </w:r>
            <w:r>
              <w:rPr>
                <w:sz w:val="18"/>
              </w:rPr>
              <w:t>Appendix</w:t>
            </w:r>
          </w:p>
        </w:tc>
        <w:tc>
          <w:tcPr>
            <w:tcW w:type="dxa" w:w="2340"/>
          </w:tcPr>
          <w:p>
            <w:pPr>
              <w:spacing w:line="240" w:lineRule="auto"/>
            </w:pPr>
            <w:r>
              <w:rPr>
                <w:sz w:val="18"/>
              </w:rPr>
            </w:r>
            <w:r>
              <w:rPr>
                <w:sz w:val="18"/>
              </w:rPr>
              <w:t>Form A, raw sample, Form B</w:t>
            </w:r>
          </w:p>
        </w:tc>
        <w:tc>
          <w:tcPr>
            <w:tcW w:type="dxa" w:w="2340"/>
          </w:tcPr>
          <w:p>
            <w:pPr>
              <w:spacing w:line="240" w:lineRule="auto"/>
            </w:pPr>
            <w:r>
              <w:rPr>
                <w:sz w:val="18"/>
              </w:rPr>
            </w:r>
            <w:r>
              <w:rPr>
                <w:sz w:val="18"/>
              </w:rPr>
              <w:t xml:space="preserve">Forms ready — </w:t>
            </w:r>
            <w:r>
              <w:rPr>
                <w:b/>
                <w:sz w:val="18"/>
              </w:rPr>
              <w:t>ACTION: sign them</w:t>
            </w:r>
          </w:p>
        </w:tc>
      </w:tr>
    </w:tbl>
    <w:p>
      <w:pPr>
        <w:spacing w:after="200" w:line="240" w:lineRule="auto"/>
        <w:jc w:val="center"/>
      </w:pPr>
      <w:r>
        <w:rPr>
          <w:i/>
          <w:color w:val="7B8994"/>
          <w:sz w:val="20"/>
        </w:rPr>
        <w:t>Table 6. Task 4.3 — Integrated Capstone Report</w:t>
      </w:r>
    </w:p>
    <w:p>
      <w:pPr>
        <w:pStyle w:val="Heading3"/>
      </w:pPr>
      <w:r>
        <w:t>The 3–5 actionable recommendations for section 9</w:t>
      </w:r>
    </w:p>
    <w:p>
      <w:pPr>
        <w:pStyle w:val="ListNumber"/>
      </w:pPr>
      <w:r>
        <w:rPr>
          <w:b/>
        </w:rPr>
        <w:t>Track order count as the primary KPI.</w:t>
      </w:r>
      <w:r>
        <w:t xml:space="preserve"> It explains 85% of revenue variation and is the only predictor that survives a multiple regression.</w:t>
      </w:r>
    </w:p>
    <w:p>
      <w:pPr>
        <w:pStyle w:val="ListNumber"/>
      </w:pPr>
      <w:r>
        <w:rPr>
          <w:b/>
        </w:rPr>
        <w:t>Investigate Printers first.</w:t>
      </w:r>
      <w:r>
        <w:t xml:space="preserve"> One sub-category lost 136,865 between 2023 and 2024 — over half the entire peak-to-2024 gap.</w:t>
      </w:r>
    </w:p>
    <w:p>
      <w:pPr>
        <w:pStyle w:val="ListNumber"/>
      </w:pPr>
      <w:r>
        <w:rPr>
          <w:b/>
        </w:rPr>
        <w:t>Plan seasonality by category.</w:t>
      </w:r>
      <w:r>
        <w:t xml:space="preserve"> Electronics peaks in Q2, Furniture and Office Supplies in Q4; the blended curve is wrong for all three.</w:t>
      </w:r>
    </w:p>
    <w:p>
      <w:pPr>
        <w:pStyle w:val="ListNumber"/>
      </w:pPr>
      <w:r>
        <w:rPr>
          <w:b/>
        </w:rPr>
        <w:t>Segment on margin, not revenue.</w:t>
      </w:r>
      <w:r>
        <w:t xml:space="preserve"> Thin-Margin Buyers are 43% of customers and a third of revenue, and return 19% of profit.</w:t>
      </w:r>
    </w:p>
    <w:p>
      <w:pPr>
        <w:pStyle w:val="ListNumber"/>
      </w:pPr>
      <w:r>
        <w:rPr>
          <w:b/>
        </w:rPr>
        <w:t>Do not set volume or acquisition targets.</w:t>
      </w:r>
      <w:r>
        <w:t xml:space="preserve"> Units sold and customer count add nothing to revenue prediction once orders are accounted for.</w:t>
      </w:r>
    </w:p>
    <w:p>
      <w:r>
        <w:br w:type="page"/>
      </w:r>
    </w:p>
    <w:p>
      <w:pPr>
        <w:pStyle w:val="Heading1"/>
      </w:pPr>
      <w:r>
        <w:t>Task 4.4 — Final Presentation &amp; Defense</w:t>
      </w:r>
    </w:p>
    <w:p>
      <w:r>
        <w:t>20–25 minutes, Weeks 16–18, all members speaking.</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Segment</w:t>
            </w:r>
          </w:p>
        </w:tc>
        <w:tc>
          <w:tcPr>
            <w:tcW w:type="dxa" w:w="3120"/>
          </w:tcPr>
          <w:p>
            <w:r>
              <w:rPr>
                <w:b/>
              </w:rPr>
            </w:r>
            <w:r>
              <w:rPr>
                <w:b/>
              </w:rPr>
              <w:t>Time</w:t>
            </w:r>
          </w:p>
        </w:tc>
        <w:tc>
          <w:tcPr>
            <w:tcW w:type="dxa" w:w="3120"/>
          </w:tcPr>
          <w:p>
            <w:r>
              <w:rPr>
                <w:b/>
              </w:rPr>
            </w:r>
            <w:r>
              <w:rPr>
                <w:b/>
              </w:rPr>
              <w:t>Material</w:t>
            </w:r>
          </w:p>
        </w:tc>
      </w:tr>
      <w:tr>
        <w:tc>
          <w:tcPr>
            <w:tcW w:type="dxa" w:w="3120"/>
          </w:tcPr>
          <w:p>
            <w:pPr>
              <w:spacing w:line="240" w:lineRule="auto"/>
            </w:pPr>
            <w:r>
              <w:rPr>
                <w:sz w:val="18"/>
              </w:rPr>
            </w:r>
            <w:r>
              <w:rPr>
                <w:sz w:val="18"/>
              </w:rPr>
              <w:t>Introduction &amp; business context</w:t>
            </w:r>
          </w:p>
        </w:tc>
        <w:tc>
          <w:tcPr>
            <w:tcW w:type="dxa" w:w="3120"/>
          </w:tcPr>
          <w:p>
            <w:pPr>
              <w:spacing w:line="240" w:lineRule="auto"/>
            </w:pPr>
            <w:r>
              <w:rPr>
                <w:sz w:val="18"/>
              </w:rPr>
            </w:r>
            <w:r>
              <w:rPr>
                <w:sz w:val="18"/>
              </w:rPr>
              <w:t>2–3 min</w:t>
            </w:r>
          </w:p>
        </w:tc>
        <w:tc>
          <w:tcPr>
            <w:tcW w:type="dxa" w:w="3120"/>
          </w:tcPr>
          <w:p>
            <w:pPr>
              <w:spacing w:line="240" w:lineRule="auto"/>
            </w:pPr>
            <w:r>
              <w:rPr>
                <w:sz w:val="18"/>
              </w:rPr>
            </w:r>
            <w:r>
              <w:rPr>
                <w:sz w:val="18"/>
              </w:rPr>
              <w:t>Discussion script, Part 1</w:t>
            </w:r>
          </w:p>
        </w:tc>
      </w:tr>
      <w:tr>
        <w:tc>
          <w:tcPr>
            <w:tcW w:type="dxa" w:w="3120"/>
          </w:tcPr>
          <w:p>
            <w:pPr>
              <w:spacing w:line="240" w:lineRule="auto"/>
            </w:pPr>
            <w:r>
              <w:rPr>
                <w:sz w:val="18"/>
              </w:rPr>
            </w:r>
            <w:r>
              <w:rPr>
                <w:sz w:val="18"/>
              </w:rPr>
              <w:t>Data &amp; SQL overview</w:t>
            </w:r>
          </w:p>
        </w:tc>
        <w:tc>
          <w:tcPr>
            <w:tcW w:type="dxa" w:w="3120"/>
          </w:tcPr>
          <w:p>
            <w:pPr>
              <w:spacing w:line="240" w:lineRule="auto"/>
            </w:pPr>
            <w:r>
              <w:rPr>
                <w:sz w:val="18"/>
              </w:rPr>
            </w:r>
            <w:r>
              <w:rPr>
                <w:sz w:val="18"/>
              </w:rPr>
              <w:t>3–4 min</w:t>
            </w:r>
          </w:p>
        </w:tc>
        <w:tc>
          <w:tcPr>
            <w:tcW w:type="dxa" w:w="3120"/>
          </w:tcPr>
          <w:p>
            <w:pPr>
              <w:spacing w:line="240" w:lineRule="auto"/>
            </w:pPr>
            <w:r>
              <w:rPr>
                <w:sz w:val="18"/>
              </w:rPr>
            </w:r>
            <w:r>
              <w:rPr>
                <w:sz w:val="18"/>
              </w:rPr>
              <w:t>ERD, plus Q3, Q7 and Q8</w:t>
            </w:r>
          </w:p>
        </w:tc>
      </w:tr>
      <w:tr>
        <w:tc>
          <w:tcPr>
            <w:tcW w:type="dxa" w:w="3120"/>
          </w:tcPr>
          <w:p>
            <w:pPr>
              <w:spacing w:line="240" w:lineRule="auto"/>
            </w:pPr>
            <w:r>
              <w:rPr>
                <w:sz w:val="18"/>
              </w:rPr>
            </w:r>
            <w:r>
              <w:rPr>
                <w:sz w:val="18"/>
              </w:rPr>
              <w:t>Statistical insights</w:t>
            </w:r>
          </w:p>
        </w:tc>
        <w:tc>
          <w:tcPr>
            <w:tcW w:type="dxa" w:w="3120"/>
          </w:tcPr>
          <w:p>
            <w:pPr>
              <w:spacing w:line="240" w:lineRule="auto"/>
            </w:pPr>
            <w:r>
              <w:rPr>
                <w:sz w:val="18"/>
              </w:rPr>
            </w:r>
            <w:r>
              <w:rPr>
                <w:sz w:val="18"/>
              </w:rPr>
              <w:t>3–4 min</w:t>
            </w:r>
          </w:p>
        </w:tc>
        <w:tc>
          <w:tcPr>
            <w:tcW w:type="dxa" w:w="3120"/>
          </w:tcPr>
          <w:p>
            <w:pPr>
              <w:spacing w:line="240" w:lineRule="auto"/>
            </w:pPr>
            <w:r>
              <w:rPr>
                <w:sz w:val="18"/>
              </w:rPr>
            </w:r>
            <w:r>
              <w:rPr>
                <w:sz w:val="18"/>
              </w:rPr>
              <w:t>CP2 descriptive stats and regression</w:t>
            </w:r>
          </w:p>
        </w:tc>
      </w:tr>
      <w:tr>
        <w:tc>
          <w:tcPr>
            <w:tcW w:type="dxa" w:w="3120"/>
          </w:tcPr>
          <w:p>
            <w:pPr>
              <w:spacing w:line="240" w:lineRule="auto"/>
            </w:pPr>
            <w:r>
              <w:rPr>
                <w:sz w:val="18"/>
              </w:rPr>
            </w:r>
            <w:r>
              <w:rPr>
                <w:sz w:val="18"/>
              </w:rPr>
              <w:t>Live dashboard demo</w:t>
            </w:r>
          </w:p>
        </w:tc>
        <w:tc>
          <w:tcPr>
            <w:tcW w:type="dxa" w:w="3120"/>
          </w:tcPr>
          <w:p>
            <w:pPr>
              <w:spacing w:line="240" w:lineRule="auto"/>
            </w:pPr>
            <w:r>
              <w:rPr>
                <w:sz w:val="18"/>
              </w:rPr>
            </w:r>
            <w:r>
              <w:rPr>
                <w:sz w:val="18"/>
              </w:rPr>
              <w:t>5–6 min</w:t>
            </w:r>
          </w:p>
        </w:tc>
        <w:tc>
          <w:tcPr>
            <w:tcW w:type="dxa" w:w="3120"/>
          </w:tcPr>
          <w:p>
            <w:pPr>
              <w:spacing w:line="240" w:lineRule="auto"/>
            </w:pPr>
            <w:r>
              <w:rPr>
                <w:sz w:val="18"/>
              </w:rPr>
            </w:r>
            <w:r>
              <w:rPr>
                <w:b/>
                <w:sz w:val="18"/>
              </w:rPr>
              <w:t>ACTION: the .pbix, with the segment slicer</w:t>
            </w:r>
          </w:p>
        </w:tc>
      </w:tr>
      <w:tr>
        <w:tc>
          <w:tcPr>
            <w:tcW w:type="dxa" w:w="3120"/>
          </w:tcPr>
          <w:p>
            <w:pPr>
              <w:spacing w:line="240" w:lineRule="auto"/>
            </w:pPr>
            <w:r>
              <w:rPr>
                <w:sz w:val="18"/>
              </w:rPr>
            </w:r>
            <w:r>
              <w:rPr>
                <w:sz w:val="18"/>
              </w:rPr>
              <w:t>Predictive analytics &amp; recommendations</w:t>
            </w:r>
          </w:p>
        </w:tc>
        <w:tc>
          <w:tcPr>
            <w:tcW w:type="dxa" w:w="3120"/>
          </w:tcPr>
          <w:p>
            <w:pPr>
              <w:spacing w:line="240" w:lineRule="auto"/>
            </w:pPr>
            <w:r>
              <w:rPr>
                <w:sz w:val="18"/>
              </w:rPr>
            </w:r>
            <w:r>
              <w:rPr>
                <w:sz w:val="18"/>
              </w:rPr>
              <w:t>4–5 min</w:t>
            </w:r>
          </w:p>
        </w:tc>
        <w:tc>
          <w:tcPr>
            <w:tcW w:type="dxa" w:w="3120"/>
          </w:tcPr>
          <w:p>
            <w:pPr>
              <w:spacing w:line="240" w:lineRule="auto"/>
            </w:pPr>
            <w:r>
              <w:rPr>
                <w:sz w:val="18"/>
              </w:rPr>
            </w:r>
            <w:r>
              <w:rPr>
                <w:sz w:val="18"/>
              </w:rPr>
              <w:t>Task 4.1 above</w:t>
            </w:r>
          </w:p>
        </w:tc>
      </w:tr>
      <w:tr>
        <w:tc>
          <w:tcPr>
            <w:tcW w:type="dxa" w:w="3120"/>
          </w:tcPr>
          <w:p>
            <w:pPr>
              <w:spacing w:line="240" w:lineRule="auto"/>
            </w:pPr>
            <w:r>
              <w:rPr>
                <w:sz w:val="18"/>
              </w:rPr>
            </w:r>
            <w:r>
              <w:rPr>
                <w:sz w:val="18"/>
              </w:rPr>
              <w:t>Ethics &amp; governance</w:t>
            </w:r>
          </w:p>
        </w:tc>
        <w:tc>
          <w:tcPr>
            <w:tcW w:type="dxa" w:w="3120"/>
          </w:tcPr>
          <w:p>
            <w:pPr>
              <w:spacing w:line="240" w:lineRule="auto"/>
            </w:pPr>
            <w:r>
              <w:rPr>
                <w:sz w:val="18"/>
              </w:rPr>
            </w:r>
            <w:r>
              <w:rPr>
                <w:sz w:val="18"/>
              </w:rPr>
              <w:t>1–2 min</w:t>
            </w:r>
          </w:p>
        </w:tc>
        <w:tc>
          <w:tcPr>
            <w:tcW w:type="dxa" w:w="3120"/>
          </w:tcPr>
          <w:p>
            <w:pPr>
              <w:spacing w:line="240" w:lineRule="auto"/>
            </w:pPr>
            <w:r>
              <w:rPr>
                <w:sz w:val="18"/>
              </w:rPr>
            </w:r>
            <w:r>
              <w:rPr>
                <w:sz w:val="18"/>
              </w:rPr>
              <w:t>Task 4.2 summary</w:t>
            </w:r>
          </w:p>
        </w:tc>
      </w:tr>
      <w:tr>
        <w:tc>
          <w:tcPr>
            <w:tcW w:type="dxa" w:w="3120"/>
          </w:tcPr>
          <w:p>
            <w:pPr>
              <w:spacing w:line="240" w:lineRule="auto"/>
            </w:pPr>
            <w:r>
              <w:rPr>
                <w:sz w:val="18"/>
              </w:rPr>
            </w:r>
            <w:r>
              <w:rPr>
                <w:sz w:val="18"/>
              </w:rPr>
              <w:t>Open defense / Q&amp;A</w:t>
            </w:r>
          </w:p>
        </w:tc>
        <w:tc>
          <w:tcPr>
            <w:tcW w:type="dxa" w:w="3120"/>
          </w:tcPr>
          <w:p>
            <w:pPr>
              <w:spacing w:line="240" w:lineRule="auto"/>
            </w:pPr>
            <w:r>
              <w:rPr>
                <w:sz w:val="18"/>
              </w:rPr>
            </w:r>
            <w:r>
              <w:rPr>
                <w:sz w:val="18"/>
              </w:rPr>
              <w:t>5 min</w:t>
            </w:r>
          </w:p>
        </w:tc>
        <w:tc>
          <w:tcPr>
            <w:tcW w:type="dxa" w:w="3120"/>
          </w:tcPr>
          <w:p>
            <w:pPr>
              <w:spacing w:line="240" w:lineRule="auto"/>
            </w:pPr>
            <w:r>
              <w:rPr>
                <w:sz w:val="18"/>
              </w:rPr>
            </w:r>
            <w:r>
              <w:rPr>
                <w:sz w:val="18"/>
              </w:rPr>
              <w:t xml:space="preserve">Defence questions in </w:t>
            </w:r>
            <w:r>
              <w:rPr>
                <w:rFonts w:ascii="Consolas" w:hAnsi="Consolas"/>
                <w:color w:val="2F6F9F"/>
                <w:sz w:val="18"/>
              </w:rPr>
              <w:t>project_explained.md</w:t>
            </w:r>
            <w:r>
              <w:rPr>
                <w:sz w:val="18"/>
              </w:rPr>
              <w:t>, Part 5</w:t>
            </w:r>
          </w:p>
        </w:tc>
      </w:tr>
    </w:tbl>
    <w:p>
      <w:pPr>
        <w:spacing w:after="200" w:line="240" w:lineRule="auto"/>
        <w:jc w:val="center"/>
      </w:pPr>
      <w:r>
        <w:rPr>
          <w:i/>
          <w:color w:val="7B8994"/>
          <w:sz w:val="20"/>
        </w:rPr>
        <w:t>Table 7. Task 4.4 — Final Presentation &amp; Defense</w:t>
      </w:r>
    </w:p>
    <w:p>
      <w:r>
        <w:rPr>
          <w:rFonts w:ascii="Consolas" w:hAnsi="Consolas"/>
          <w:color w:val="2F6F9F"/>
          <w:sz w:val="18"/>
        </w:rPr>
        <w:t>docs/discussion_script.md</w:t>
      </w:r>
      <w:r>
        <w:t xml:space="preserve"> already covers the first three segments and the recommendations as spoken lines and can be extended for the last three.</w:t>
      </w:r>
    </w:p>
    <w:p>
      <w:pPr>
        <w:pStyle w:val="Heading3"/>
      </w:pPr>
      <w:r>
        <w:t>The four questions most likely to be asked</w:t>
      </w:r>
    </w:p>
    <w:p>
      <w:r>
        <w:rPr>
          <w:b/>
        </w:rPr>
        <w:t>"Your multiple regression performed worse than your simple one. Why present it?"</w:t>
      </w:r>
      <w:r>
        <w:t xml:space="preserve"> Because that is the result. Its value is diagnostic: it rules out units, customers, mix and time as drivers, which is what justifies building the dashboard on order count.</w:t>
      </w:r>
    </w:p>
    <w:p>
      <w:r>
        <w:rPr>
          <w:b/>
        </w:rPr>
        <w:t>"Your dataset is fake. What is the project worth?"</w:t>
      </w:r>
      <w:r>
        <w:t xml:space="preserve"> The figures illustrate a method rather than describe a company. Every query, statistic and model would run identically on a real export. We proved the file was synthetic rather than discovering it late, and we did not fabricate corrections.</w:t>
      </w:r>
    </w:p>
    <w:p>
      <w:r>
        <w:rPr>
          <w:b/>
        </w:rPr>
        <w:t>"Why three clusters and not five?"</w:t>
      </w:r>
      <w:r>
        <w:t xml:space="preserve"> k=5 does score higher on silhouette, 0.295 against 0.277. Two of its five clusters came out with the same profile, and the brief asks for two or three. The full scan is in the Checkpoint 3 spec.</w:t>
      </w:r>
    </w:p>
    <w:p>
      <w:r>
        <w:rPr>
          <w:b/>
        </w:rPr>
        <w:t>"What would you do differently?"</w:t>
      </w:r>
      <w:r>
        <w:t xml:space="preserve"> Check the completeness of both ends of the date range before building on it. That is what caused the one real error in this project — treating a nine-month 2020 as a full year, which overstated growth as 69.9% when it is 30.9%.</w:t>
      </w:r>
    </w:p>
    <w:p>
      <w:r>
        <w:br w:type="page"/>
      </w:r>
    </w:p>
    <w:p>
      <w:pPr>
        <w:pStyle w:val="Heading2"/>
      </w:pPr>
      <w:r>
        <w:t>Rubric map</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Criterion</w:t>
            </w:r>
          </w:p>
        </w:tc>
        <w:tc>
          <w:tcPr>
            <w:tcW w:type="dxa" w:w="3120"/>
          </w:tcPr>
          <w:p>
            <w:r>
              <w:rPr>
                <w:b/>
              </w:rPr>
            </w:r>
            <w:r>
              <w:rPr>
                <w:b/>
              </w:rPr>
              <w:t>Points</w:t>
            </w:r>
          </w:p>
        </w:tc>
        <w:tc>
          <w:tcPr>
            <w:tcW w:type="dxa" w:w="3120"/>
          </w:tcPr>
          <w:p>
            <w:r>
              <w:rPr>
                <w:b/>
              </w:rPr>
            </w:r>
            <w:r>
              <w:rPr>
                <w:b/>
              </w:rPr>
              <w:t>Where</w:t>
            </w:r>
          </w:p>
        </w:tc>
      </w:tr>
      <w:tr>
        <w:tc>
          <w:tcPr>
            <w:tcW w:type="dxa" w:w="3120"/>
          </w:tcPr>
          <w:p>
            <w:pPr>
              <w:spacing w:line="240" w:lineRule="auto"/>
            </w:pPr>
            <w:r>
              <w:rPr>
                <w:sz w:val="18"/>
              </w:rPr>
            </w:r>
            <w:r>
              <w:rPr>
                <w:sz w:val="18"/>
              </w:rPr>
              <w:t>Business problem &amp; scope</w:t>
            </w:r>
          </w:p>
        </w:tc>
        <w:tc>
          <w:tcPr>
            <w:tcW w:type="dxa" w:w="3120"/>
          </w:tcPr>
          <w:p>
            <w:pPr>
              <w:spacing w:line="240" w:lineRule="auto"/>
            </w:pPr>
            <w:r>
              <w:rPr>
                <w:sz w:val="18"/>
              </w:rPr>
            </w:r>
            <w:r>
              <w:rPr>
                <w:sz w:val="18"/>
              </w:rPr>
              <w:t>15</w:t>
            </w:r>
          </w:p>
        </w:tc>
        <w:tc>
          <w:tcPr>
            <w:tcW w:type="dxa" w:w="3120"/>
          </w:tcPr>
          <w:p>
            <w:pPr>
              <w:spacing w:line="240" w:lineRule="auto"/>
            </w:pPr>
            <w:r>
              <w:rPr>
                <w:sz w:val="18"/>
              </w:rPr>
            </w:r>
            <w:r>
              <w:rPr>
                <w:sz w:val="18"/>
              </w:rPr>
              <w:t>CP1 Task 1.1, carried consistently through every checkpoint</w:t>
            </w:r>
          </w:p>
        </w:tc>
      </w:tr>
      <w:tr>
        <w:tc>
          <w:tcPr>
            <w:tcW w:type="dxa" w:w="3120"/>
          </w:tcPr>
          <w:p>
            <w:pPr>
              <w:spacing w:line="240" w:lineRule="auto"/>
            </w:pPr>
            <w:r>
              <w:rPr>
                <w:sz w:val="18"/>
              </w:rPr>
            </w:r>
            <w:r>
              <w:rPr>
                <w:sz w:val="18"/>
              </w:rPr>
              <w:t>Analysis &amp; predictive technique</w:t>
            </w:r>
          </w:p>
        </w:tc>
        <w:tc>
          <w:tcPr>
            <w:tcW w:type="dxa" w:w="3120"/>
          </w:tcPr>
          <w:p>
            <w:pPr>
              <w:spacing w:line="240" w:lineRule="auto"/>
            </w:pPr>
            <w:r>
              <w:rPr>
                <w:sz w:val="18"/>
              </w:rPr>
            </w:r>
            <w:r>
              <w:rPr>
                <w:sz w:val="18"/>
              </w:rPr>
              <w:t>25</w:t>
            </w:r>
          </w:p>
        </w:tc>
        <w:tc>
          <w:tcPr>
            <w:tcW w:type="dxa" w:w="3120"/>
          </w:tcPr>
          <w:p>
            <w:pPr>
              <w:spacing w:line="240" w:lineRule="auto"/>
            </w:pPr>
            <w:r>
              <w:rPr>
                <w:sz w:val="18"/>
              </w:rPr>
            </w:r>
            <w:r>
              <w:rPr>
                <w:sz w:val="18"/>
              </w:rPr>
              <w:t>Task 4.1 above, with model evaluation, VIF, robust SEs and diagnostics; ethics in Task 4.2</w:t>
            </w:r>
          </w:p>
        </w:tc>
      </w:tr>
      <w:tr>
        <w:tc>
          <w:tcPr>
            <w:tcW w:type="dxa" w:w="3120"/>
          </w:tcPr>
          <w:p>
            <w:pPr>
              <w:spacing w:line="240" w:lineRule="auto"/>
            </w:pPr>
            <w:r>
              <w:rPr>
                <w:sz w:val="18"/>
              </w:rPr>
            </w:r>
            <w:r>
              <w:rPr>
                <w:sz w:val="18"/>
              </w:rPr>
              <w:t>Dashboard / report quality</w:t>
            </w:r>
          </w:p>
        </w:tc>
        <w:tc>
          <w:tcPr>
            <w:tcW w:type="dxa" w:w="3120"/>
          </w:tcPr>
          <w:p>
            <w:pPr>
              <w:spacing w:line="240" w:lineRule="auto"/>
            </w:pPr>
            <w:r>
              <w:rPr>
                <w:sz w:val="18"/>
              </w:rPr>
            </w:r>
            <w:r>
              <w:rPr>
                <w:sz w:val="18"/>
              </w:rPr>
              <w:t>25</w:t>
            </w:r>
          </w:p>
        </w:tc>
        <w:tc>
          <w:tcPr>
            <w:tcW w:type="dxa" w:w="3120"/>
          </w:tcPr>
          <w:p>
            <w:pPr>
              <w:spacing w:line="240" w:lineRule="auto"/>
            </w:pPr>
            <w:r>
              <w:rPr>
                <w:sz w:val="18"/>
              </w:rPr>
            </w:r>
            <w:r>
              <w:rPr>
                <w:b/>
                <w:sz w:val="18"/>
              </w:rPr>
              <w:t>ACTION: integrate the 11 sections; dashboard screenshots</w:t>
            </w:r>
          </w:p>
        </w:tc>
      </w:tr>
      <w:tr>
        <w:tc>
          <w:tcPr>
            <w:tcW w:type="dxa" w:w="3120"/>
          </w:tcPr>
          <w:p>
            <w:pPr>
              <w:spacing w:line="240" w:lineRule="auto"/>
            </w:pPr>
            <w:r>
              <w:rPr>
                <w:sz w:val="18"/>
              </w:rPr>
            </w:r>
            <w:r>
              <w:rPr>
                <w:sz w:val="18"/>
              </w:rPr>
              <w:t>Presentation &amp; defense</w:t>
            </w:r>
          </w:p>
        </w:tc>
        <w:tc>
          <w:tcPr>
            <w:tcW w:type="dxa" w:w="3120"/>
          </w:tcPr>
          <w:p>
            <w:pPr>
              <w:spacing w:line="240" w:lineRule="auto"/>
            </w:pPr>
            <w:r>
              <w:rPr>
                <w:sz w:val="18"/>
              </w:rPr>
            </w:r>
            <w:r>
              <w:rPr>
                <w:sz w:val="18"/>
              </w:rPr>
              <w:t>20</w:t>
            </w:r>
          </w:p>
        </w:tc>
        <w:tc>
          <w:tcPr>
            <w:tcW w:type="dxa" w:w="3120"/>
          </w:tcPr>
          <w:p>
            <w:pPr>
              <w:spacing w:line="240" w:lineRule="auto"/>
            </w:pPr>
            <w:r>
              <w:rPr>
                <w:sz w:val="18"/>
              </w:rPr>
            </w:r>
            <w:r>
              <w:rPr>
                <w:b/>
                <w:sz w:val="18"/>
              </w:rPr>
              <w:t>ACTION: present</w:t>
            </w:r>
          </w:p>
        </w:tc>
      </w:tr>
      <w:tr>
        <w:tc>
          <w:tcPr>
            <w:tcW w:type="dxa" w:w="3120"/>
          </w:tcPr>
          <w:p>
            <w:pPr>
              <w:spacing w:line="240" w:lineRule="auto"/>
            </w:pPr>
            <w:r>
              <w:rPr>
                <w:sz w:val="18"/>
              </w:rPr>
            </w:r>
            <w:r>
              <w:rPr>
                <w:sz w:val="18"/>
              </w:rPr>
              <w:t>Documentation &amp; peer eval</w:t>
            </w:r>
          </w:p>
        </w:tc>
        <w:tc>
          <w:tcPr>
            <w:tcW w:type="dxa" w:w="3120"/>
          </w:tcPr>
          <w:p>
            <w:pPr>
              <w:spacing w:line="240" w:lineRule="auto"/>
            </w:pPr>
            <w:r>
              <w:rPr>
                <w:sz w:val="18"/>
              </w:rPr>
            </w:r>
            <w:r>
              <w:rPr>
                <w:sz w:val="18"/>
              </w:rPr>
              <w:t>15</w:t>
            </w:r>
          </w:p>
        </w:tc>
        <w:tc>
          <w:tcPr>
            <w:tcW w:type="dxa" w:w="3120"/>
          </w:tcPr>
          <w:p>
            <w:pPr>
              <w:spacing w:line="240" w:lineRule="auto"/>
            </w:pPr>
            <w:r>
              <w:rPr>
                <w:sz w:val="18"/>
              </w:rPr>
            </w:r>
            <w:r>
              <w:rPr>
                <w:sz w:val="18"/>
              </w:rPr>
              <w:t xml:space="preserve">Form A ready; </w:t>
            </w:r>
            <w:r>
              <w:rPr>
                <w:b/>
                <w:sz w:val="18"/>
              </w:rPr>
              <w:t>ACTION: peer evaluation forms, APA references</w:t>
            </w:r>
          </w:p>
        </w:tc>
      </w:tr>
    </w:tbl>
    <w:p>
      <w:pPr>
        <w:spacing w:after="200" w:line="240" w:lineRule="auto"/>
        <w:jc w:val="center"/>
      </w:pPr>
      <w:r>
        <w:rPr>
          <w:i/>
          <w:color w:val="7B8994"/>
          <w:sz w:val="20"/>
        </w:rPr>
        <w:t>Table 8. Rubric map</w:t>
      </w:r>
    </w:p>
    <w:p>
      <w:pPr>
        <w:pStyle w:val="Heading3"/>
      </w:pPr>
      <w:r>
        <w:t>Submission checklist</w:t>
      </w:r>
    </w:p>
    <w:p>
      <w:r>
        <w:t>Taken from the brief's Checkpoint 4 submission requirements, in its order.</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Deliverable</w:t>
            </w:r>
          </w:p>
        </w:tc>
        <w:tc>
          <w:tcPr>
            <w:tcW w:type="dxa" w:w="4680"/>
          </w:tcPr>
          <w:p>
            <w:r>
              <w:rPr>
                <w:b/>
              </w:rPr>
            </w:r>
            <w:r>
              <w:rPr>
                <w:b/>
              </w:rPr>
              <w:t>Status</w:t>
            </w:r>
          </w:p>
        </w:tc>
      </w:tr>
      <w:tr>
        <w:tc>
          <w:tcPr>
            <w:tcW w:type="dxa" w:w="4680"/>
          </w:tcPr>
          <w:p>
            <w:pPr>
              <w:spacing w:line="240" w:lineRule="auto"/>
            </w:pPr>
            <w:r>
              <w:rPr>
                <w:sz w:val="18"/>
              </w:rPr>
            </w:r>
            <w:r>
              <w:rPr>
                <w:sz w:val="18"/>
              </w:rPr>
              <w:t xml:space="preserve">Final capstone report — spiral-bound hardcopy </w:t>
            </w:r>
            <w:r>
              <w:rPr>
                <w:b/>
                <w:sz w:val="18"/>
              </w:rPr>
              <w:t>and</w:t>
            </w:r>
            <w:r>
              <w:rPr>
                <w:sz w:val="18"/>
              </w:rPr>
              <w:t xml:space="preserve"> digital PDF</w:t>
            </w:r>
          </w:p>
        </w:tc>
        <w:tc>
          <w:tcPr>
            <w:tcW w:type="dxa" w:w="4680"/>
          </w:tcPr>
          <w:p>
            <w:pPr>
              <w:spacing w:line="240" w:lineRule="auto"/>
            </w:pPr>
            <w:r>
              <w:rPr>
                <w:sz w:val="18"/>
              </w:rPr>
            </w:r>
            <w:r>
              <w:rPr>
                <w:b/>
                <w:sz w:val="18"/>
              </w:rPr>
              <w:t>ACTION: integrate the 11 sections</w:t>
            </w:r>
          </w:p>
        </w:tc>
      </w:tr>
      <w:tr>
        <w:tc>
          <w:tcPr>
            <w:tcW w:type="dxa" w:w="4680"/>
          </w:tcPr>
          <w:p>
            <w:pPr>
              <w:spacing w:line="240" w:lineRule="auto"/>
            </w:pPr>
            <w:r>
              <w:rPr>
                <w:sz w:val="18"/>
              </w:rPr>
            </w:r>
            <w:r>
              <w:rPr>
                <w:sz w:val="18"/>
              </w:rPr>
              <w:t>All digital files in one organised folder: SQL, Excel, Power BI, datasets</w:t>
            </w:r>
          </w:p>
        </w:tc>
        <w:tc>
          <w:tcPr>
            <w:tcW w:type="dxa" w:w="4680"/>
          </w:tcPr>
          <w:p>
            <w:pPr>
              <w:spacing w:line="240" w:lineRule="auto"/>
            </w:pPr>
            <w:r>
              <w:rPr>
                <w:sz w:val="18"/>
              </w:rPr>
            </w:r>
            <w:r>
              <w:rPr>
                <w:sz w:val="18"/>
              </w:rPr>
              <w:t xml:space="preserve">Everything exists except the </w:t>
            </w:r>
            <w:r>
              <w:rPr>
                <w:rFonts w:ascii="Consolas" w:hAnsi="Consolas"/>
                <w:color w:val="2F6F9F"/>
                <w:sz w:val="18"/>
              </w:rPr>
              <w:t>.pbix</w:t>
            </w:r>
            <w:r>
              <w:rPr>
                <w:sz w:val="18"/>
              </w:rPr>
              <w:t xml:space="preserve"> — see below</w:t>
            </w:r>
          </w:p>
        </w:tc>
      </w:tr>
      <w:tr>
        <w:tc>
          <w:tcPr>
            <w:tcW w:type="dxa" w:w="4680"/>
          </w:tcPr>
          <w:p>
            <w:pPr>
              <w:spacing w:line="240" w:lineRule="auto"/>
            </w:pPr>
            <w:r>
              <w:rPr>
                <w:sz w:val="18"/>
              </w:rPr>
            </w:r>
            <w:r>
              <w:rPr>
                <w:sz w:val="18"/>
              </w:rPr>
              <w:t xml:space="preserve">Presentation slide deck, </w:t>
            </w:r>
            <w:r>
              <w:rPr>
                <w:rFonts w:ascii="Consolas" w:hAnsi="Consolas"/>
                <w:color w:val="2F6F9F"/>
                <w:sz w:val="18"/>
              </w:rPr>
              <w:t>.pptx</w:t>
            </w:r>
            <w:r>
              <w:rPr>
                <w:sz w:val="18"/>
              </w:rPr>
              <w:t xml:space="preserve"> or </w:t>
            </w:r>
            <w:r>
              <w:rPr>
                <w:rFonts w:ascii="Consolas" w:hAnsi="Consolas"/>
                <w:color w:val="2F6F9F"/>
                <w:sz w:val="18"/>
              </w:rPr>
              <w:t>.pdf</w:t>
            </w:r>
          </w:p>
        </w:tc>
        <w:tc>
          <w:tcPr>
            <w:tcW w:type="dxa" w:w="4680"/>
          </w:tcPr>
          <w:p>
            <w:pPr>
              <w:spacing w:line="240" w:lineRule="auto"/>
            </w:pPr>
            <w:r>
              <w:rPr>
                <w:sz w:val="18"/>
              </w:rPr>
            </w:r>
            <w:r>
              <w:rPr>
                <w:b/>
                <w:sz w:val="18"/>
              </w:rPr>
              <w:t>ACTION: not yet built</w:t>
            </w:r>
          </w:p>
        </w:tc>
      </w:tr>
      <w:tr>
        <w:tc>
          <w:tcPr>
            <w:tcW w:type="dxa" w:w="4680"/>
          </w:tcPr>
          <w:p>
            <w:pPr>
              <w:spacing w:line="240" w:lineRule="auto"/>
            </w:pPr>
            <w:r>
              <w:rPr>
                <w:sz w:val="18"/>
              </w:rPr>
            </w:r>
            <w:r>
              <w:rPr>
                <w:sz w:val="18"/>
              </w:rPr>
              <w:t>Peer Evaluation Forms, one per member, signed</w:t>
            </w:r>
          </w:p>
        </w:tc>
        <w:tc>
          <w:tcPr>
            <w:tcW w:type="dxa" w:w="4680"/>
          </w:tcPr>
          <w:p>
            <w:pPr>
              <w:spacing w:line="240" w:lineRule="auto"/>
            </w:pPr>
            <w:r>
              <w:rPr>
                <w:sz w:val="18"/>
              </w:rPr>
            </w:r>
            <w:r>
              <w:rPr>
                <w:rFonts w:ascii="Consolas" w:hAnsi="Consolas"/>
                <w:color w:val="2F6F9F"/>
                <w:sz w:val="18"/>
              </w:rPr>
              <w:t>reports/Form_B_Peer_Evaluation.docx</w:t>
            </w:r>
            <w:r>
              <w:rPr>
                <w:sz w:val="18"/>
              </w:rPr>
              <w:t xml:space="preserve"> — three copies, </w:t>
            </w:r>
            <w:r>
              <w:rPr>
                <w:b/>
                <w:sz w:val="18"/>
              </w:rPr>
              <w:t>ACTION: sign</w:t>
            </w:r>
          </w:p>
        </w:tc>
      </w:tr>
      <w:tr>
        <w:tc>
          <w:tcPr>
            <w:tcW w:type="dxa" w:w="4680"/>
          </w:tcPr>
          <w:p>
            <w:pPr>
              <w:spacing w:line="240" w:lineRule="auto"/>
            </w:pPr>
            <w:r>
              <w:rPr>
                <w:sz w:val="18"/>
              </w:rPr>
            </w:r>
            <w:r>
              <w:rPr>
                <w:sz w:val="18"/>
              </w:rPr>
              <w:t xml:space="preserve">Individual Contribution Forms for </w:t>
            </w:r>
            <w:r>
              <w:rPr>
                <w:b/>
                <w:sz w:val="18"/>
              </w:rPr>
              <w:t>all four</w:t>
            </w:r>
            <w:r>
              <w:rPr>
                <w:sz w:val="18"/>
              </w:rPr>
              <w:t xml:space="preserve"> checkpoints</w:t>
            </w:r>
          </w:p>
        </w:tc>
        <w:tc>
          <w:tcPr>
            <w:tcW w:type="dxa" w:w="4680"/>
          </w:tcPr>
          <w:p>
            <w:pPr>
              <w:spacing w:line="240" w:lineRule="auto"/>
            </w:pPr>
            <w:r>
              <w:rPr>
                <w:sz w:val="18"/>
              </w:rPr>
            </w:r>
            <w:r>
              <w:rPr>
                <w:rFonts w:ascii="Consolas" w:hAnsi="Consolas"/>
                <w:color w:val="2F6F9F"/>
                <w:sz w:val="18"/>
              </w:rPr>
              <w:t>reports/Form_A_Individual_Contribution.docx</w:t>
            </w:r>
            <w:r>
              <w:rPr>
                <w:sz w:val="18"/>
              </w:rPr>
              <w:t xml:space="preserve"> — twelve copies, </w:t>
            </w:r>
            <w:r>
              <w:rPr>
                <w:b/>
                <w:sz w:val="18"/>
              </w:rPr>
              <w:t>ACTION: sign</w:t>
            </w:r>
          </w:p>
        </w:tc>
      </w:tr>
      <w:tr>
        <w:tc>
          <w:tcPr>
            <w:tcW w:type="dxa" w:w="4680"/>
          </w:tcPr>
          <w:p>
            <w:pPr>
              <w:spacing w:line="240" w:lineRule="auto"/>
            </w:pPr>
            <w:r>
              <w:rPr>
                <w:sz w:val="18"/>
              </w:rPr>
            </w:r>
            <w:r>
              <w:rPr>
                <w:sz w:val="18"/>
              </w:rPr>
              <w:t>Due: beginning of Week 16, before defense schedules begin</w:t>
            </w:r>
          </w:p>
        </w:tc>
        <w:tc>
          <w:tcPr>
            <w:tcW w:type="dxa" w:w="4680"/>
          </w:tcPr>
          <w:p>
            <w:pPr>
              <w:spacing w:line="240" w:lineRule="auto"/>
            </w:pPr>
            <w:r>
              <w:rPr>
                <w:sz w:val="18"/>
              </w:rPr>
            </w:r>
            <w:r>
              <w:rPr>
                <w:sz w:val="18"/>
              </w:rPr>
              <w:t>—</w:t>
            </w:r>
          </w:p>
        </w:tc>
      </w:tr>
    </w:tbl>
    <w:p>
      <w:pPr>
        <w:spacing w:after="200" w:line="240" w:lineRule="auto"/>
        <w:jc w:val="center"/>
      </w:pPr>
      <w:r>
        <w:rPr>
          <w:i/>
          <w:color w:val="7B8994"/>
          <w:sz w:val="20"/>
        </w:rPr>
        <w:t>Table 9. Submission checklist</w:t>
      </w:r>
    </w:p>
    <w:p>
      <w:r>
        <w:rPr>
          <w:b/>
        </w:rPr>
        <w:t>What goes in the digital folder.</w:t>
      </w:r>
      <w:r>
        <w:t xml:space="preserve"> The brief asks for one organised folder containing the SQL, the Excel, the Power BI file and the datasets:</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Folder</w:t>
            </w:r>
          </w:p>
        </w:tc>
        <w:tc>
          <w:tcPr>
            <w:tcW w:type="dxa" w:w="4680"/>
          </w:tcPr>
          <w:p>
            <w:r>
              <w:rPr>
                <w:b/>
              </w:rPr>
            </w:r>
            <w:r>
              <w:rPr>
                <w:b/>
              </w:rPr>
              <w:t>From this repository</w:t>
            </w:r>
          </w:p>
        </w:tc>
      </w:tr>
      <w:tr>
        <w:tc>
          <w:tcPr>
            <w:tcW w:type="dxa" w:w="4680"/>
          </w:tcPr>
          <w:p>
            <w:pPr>
              <w:spacing w:line="240" w:lineRule="auto"/>
            </w:pPr>
            <w:r>
              <w:rPr>
                <w:sz w:val="18"/>
              </w:rPr>
            </w:r>
            <w:r>
              <w:rPr>
                <w:rFonts w:ascii="Consolas" w:hAnsi="Consolas"/>
                <w:color w:val="2F6F9F"/>
                <w:sz w:val="18"/>
              </w:rPr>
              <w:t>sql/</w:t>
            </w:r>
          </w:p>
        </w:tc>
        <w:tc>
          <w:tcPr>
            <w:tcW w:type="dxa" w:w="4680"/>
          </w:tcPr>
          <w:p>
            <w:pPr>
              <w:spacing w:line="240" w:lineRule="auto"/>
            </w:pPr>
            <w:r>
              <w:rPr>
                <w:sz w:val="18"/>
              </w:rPr>
            </w:r>
            <w:r>
              <w:rPr>
                <w:rFonts w:ascii="Consolas" w:hAnsi="Consolas"/>
                <w:color w:val="2F6F9F"/>
                <w:sz w:val="18"/>
              </w:rPr>
              <w:t>01_schema_mysql.sql</w:t>
            </w:r>
            <w:r>
              <w:rPr>
                <w:sz w:val="18"/>
              </w:rPr>
              <w:t xml:space="preserve">, </w:t>
            </w:r>
            <w:r>
              <w:rPr>
                <w:rFonts w:ascii="Consolas" w:hAnsi="Consolas"/>
                <w:color w:val="2F6F9F"/>
                <w:sz w:val="18"/>
              </w:rPr>
              <w:t>02_mysql_full_import.sql</w:t>
            </w:r>
            <w:r>
              <w:rPr>
                <w:sz w:val="18"/>
              </w:rPr>
              <w:t xml:space="preserve">, </w:t>
            </w:r>
            <w:r>
              <w:rPr>
                <w:rFonts w:ascii="Consolas" w:hAnsi="Consolas"/>
                <w:color w:val="2F6F9F"/>
                <w:sz w:val="18"/>
              </w:rPr>
              <w:t>04_queries.sql</w:t>
            </w:r>
            <w:r>
              <w:rPr>
                <w:sz w:val="18"/>
              </w:rPr>
              <w:t xml:space="preserve">, </w:t>
            </w:r>
            <w:r>
              <w:rPr>
                <w:rFonts w:ascii="Consolas" w:hAnsi="Consolas"/>
                <w:color w:val="2F6F9F"/>
                <w:sz w:val="18"/>
              </w:rPr>
              <w:t>06_dashboard_views.sql</w:t>
            </w:r>
          </w:p>
        </w:tc>
      </w:tr>
      <w:tr>
        <w:tc>
          <w:tcPr>
            <w:tcW w:type="dxa" w:w="4680"/>
          </w:tcPr>
          <w:p>
            <w:pPr>
              <w:spacing w:line="240" w:lineRule="auto"/>
            </w:pPr>
            <w:r>
              <w:rPr>
                <w:sz w:val="18"/>
              </w:rPr>
            </w:r>
            <w:r>
              <w:rPr>
                <w:rFonts w:ascii="Consolas" w:hAnsi="Consolas"/>
                <w:color w:val="2F6F9F"/>
                <w:sz w:val="18"/>
              </w:rPr>
              <w:t>excel/</w:t>
            </w:r>
          </w:p>
        </w:tc>
        <w:tc>
          <w:tcPr>
            <w:tcW w:type="dxa" w:w="4680"/>
          </w:tcPr>
          <w:p>
            <w:pPr>
              <w:spacing w:line="240" w:lineRule="auto"/>
            </w:pPr>
            <w:r>
              <w:rPr>
                <w:sz w:val="18"/>
              </w:rPr>
            </w:r>
            <w:r>
              <w:rPr>
                <w:rFonts w:ascii="Consolas" w:hAnsi="Consolas"/>
                <w:color w:val="2F6F9F"/>
                <w:sz w:val="18"/>
              </w:rPr>
              <w:t>reports/Checkpoint_2_Workbook.xlsx</w:t>
            </w:r>
            <w:r>
              <w:rPr>
                <w:sz w:val="18"/>
              </w:rPr>
              <w:t xml:space="preserve"> — the Checkpoint 2 deliverable, unchanged</w:t>
            </w:r>
          </w:p>
        </w:tc>
      </w:tr>
      <w:tr>
        <w:tc>
          <w:tcPr>
            <w:tcW w:type="dxa" w:w="4680"/>
          </w:tcPr>
          <w:p>
            <w:pPr>
              <w:spacing w:line="240" w:lineRule="auto"/>
            </w:pPr>
            <w:r>
              <w:rPr>
                <w:sz w:val="18"/>
              </w:rPr>
            </w:r>
            <w:r>
              <w:rPr>
                <w:rFonts w:ascii="Consolas" w:hAnsi="Consolas"/>
                <w:color w:val="2F6F9F"/>
                <w:sz w:val="18"/>
              </w:rPr>
              <w:t>powerbi/</w:t>
            </w:r>
          </w:p>
        </w:tc>
        <w:tc>
          <w:tcPr>
            <w:tcW w:type="dxa" w:w="4680"/>
          </w:tcPr>
          <w:p>
            <w:pPr>
              <w:spacing w:line="240" w:lineRule="auto"/>
            </w:pPr>
            <w:r>
              <w:rPr>
                <w:sz w:val="18"/>
              </w:rPr>
            </w:r>
            <w:r>
              <w:rPr>
                <w:rFonts w:ascii="Consolas" w:hAnsi="Consolas"/>
                <w:color w:val="2F6F9F"/>
                <w:sz w:val="18"/>
              </w:rPr>
              <w:t>Checkpoint_3_Dashboard.pbix</w:t>
            </w:r>
            <w:r>
              <w:rPr>
                <w:sz w:val="18"/>
              </w:rPr>
              <w:t xml:space="preserve"> and its exported PDF — </w:t>
            </w:r>
            <w:r>
              <w:rPr>
                <w:b/>
                <w:sz w:val="18"/>
              </w:rPr>
              <w:t>ACTION</w:t>
            </w:r>
          </w:p>
        </w:tc>
      </w:tr>
      <w:tr>
        <w:tc>
          <w:tcPr>
            <w:tcW w:type="dxa" w:w="4680"/>
          </w:tcPr>
          <w:p>
            <w:pPr>
              <w:spacing w:line="240" w:lineRule="auto"/>
            </w:pPr>
            <w:r>
              <w:rPr>
                <w:sz w:val="18"/>
              </w:rPr>
            </w:r>
            <w:r>
              <w:rPr>
                <w:rFonts w:ascii="Consolas" w:hAnsi="Consolas"/>
                <w:color w:val="2F6F9F"/>
                <w:sz w:val="18"/>
              </w:rPr>
              <w:t>data/</w:t>
            </w:r>
          </w:p>
        </w:tc>
        <w:tc>
          <w:tcPr>
            <w:tcW w:type="dxa" w:w="4680"/>
          </w:tcPr>
          <w:p>
            <w:pPr>
              <w:spacing w:line="240" w:lineRule="auto"/>
            </w:pPr>
            <w:r>
              <w:rPr>
                <w:sz w:val="18"/>
              </w:rPr>
            </w:r>
            <w:r>
              <w:rPr>
                <w:rFonts w:ascii="Consolas" w:hAnsi="Consolas"/>
                <w:color w:val="2F6F9F"/>
                <w:sz w:val="18"/>
              </w:rPr>
              <w:t>data/raw/sales_dataset_raw.csv</w:t>
            </w:r>
            <w:r>
              <w:rPr>
                <w:sz w:val="18"/>
              </w:rPr>
              <w:t xml:space="preserve"> and </w:t>
            </w:r>
            <w:r>
              <w:rPr>
                <w:rFonts w:ascii="Consolas" w:hAnsi="Consolas"/>
                <w:color w:val="2F6F9F"/>
                <w:sz w:val="18"/>
              </w:rPr>
              <w:t>data/dashboard/*.csv</w:t>
            </w:r>
          </w:p>
        </w:tc>
      </w:tr>
      <w:tr>
        <w:tc>
          <w:tcPr>
            <w:tcW w:type="dxa" w:w="4680"/>
          </w:tcPr>
          <w:p>
            <w:pPr>
              <w:spacing w:line="240" w:lineRule="auto"/>
            </w:pPr>
            <w:r>
              <w:rPr>
                <w:sz w:val="18"/>
              </w:rPr>
            </w:r>
            <w:r>
              <w:rPr>
                <w:rFonts w:ascii="Consolas" w:hAnsi="Consolas"/>
                <w:color w:val="2F6F9F"/>
                <w:sz w:val="18"/>
              </w:rPr>
              <w:t>reports/</w:t>
            </w:r>
          </w:p>
        </w:tc>
        <w:tc>
          <w:tcPr>
            <w:tcW w:type="dxa" w:w="4680"/>
          </w:tcPr>
          <w:p>
            <w:pPr>
              <w:spacing w:line="240" w:lineRule="auto"/>
            </w:pPr>
            <w:r>
              <w:rPr>
                <w:sz w:val="18"/>
              </w:rPr>
            </w:r>
            <w:r>
              <w:rPr>
                <w:sz w:val="18"/>
              </w:rPr>
              <w:t>All four checkpoint reports as PDF</w:t>
            </w:r>
          </w:p>
        </w:tc>
      </w:tr>
    </w:tbl>
    <w:p>
      <w:pPr>
        <w:spacing w:after="200" w:line="240" w:lineRule="auto"/>
        <w:jc w:val="center"/>
      </w:pPr>
      <w:r>
        <w:rPr>
          <w:i/>
          <w:color w:val="7B8994"/>
          <w:sz w:val="20"/>
        </w:rPr>
        <w:t>Table 10. Submission checklist</w:t>
      </w:r>
    </w:p>
    <w:p>
      <w:r>
        <w:t>The Excel workbook is Checkpoint 2's and needs no changes for Checkpoint 4 — it is included because the brief asks for all digital files together, not because anything new is required of it.</w:t>
      </w:r>
    </w:p>
    <w:p>
      <w:pPr>
        <w:pStyle w:val="ListBullet"/>
      </w:pPr>
      <w:r>
        <w:t>Defense scheduled, Weeks 16–18</w:t>
      </w:r>
    </w:p>
    <w:p>
      <w:pPr>
        <w:pStyle w:val="Heading3"/>
      </w:pPr>
      <w:r>
        <w:t>And the standing constraint</w:t>
      </w:r>
    </w:p>
    <w:p>
      <w:r>
        <w:t>Section 3.2 still applies to every word of the integrated report. The model output, the diagnostics and the coefficients are computed; the reading of them must be the group's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