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 Trend Analysis for a Multi-Category Retailer</w:t>
      </w:r>
    </w:p>
    <w:p>
      <w:pPr>
        <w:pStyle w:val="Heading2"/>
      </w:pPr>
      <w:r>
        <w:t>BA Capstone Project — Checkpoint 2: Spreadsheet &amp; Statistical Analysis</w:t>
      </w:r>
    </w:p>
    <w:p>
      <w:r>
        <w:rPr>
          <w:b/>
        </w:rPr>
        <w:t>Talibon Polytechnic College</w:t>
      </w:r>
    </w:p>
    <w:p>
      <w:r>
        <w:rPr>
          <w:b/>
        </w:rPr>
        <w:t>Course Code &amp; Title:</w:t>
      </w:r>
      <w:r>
        <w:t xml:space="preserve"> BED 106 — Business Analytics</w:t>
      </w:r>
    </w:p>
    <w:p>
      <w:r>
        <w:rPr>
          <w:b/>
        </w:rPr>
        <w:t>Academic Year / Semester:</w:t>
      </w:r>
      <w:r>
        <w:t xml:space="preserve"> A.Y. 2026–2027 · 1st Semester</w:t>
      </w:r>
    </w:p>
    <w:p>
      <w:r>
        <w:rPr>
          <w:b/>
        </w:rPr>
        <w:t>Instructor:</w:t>
      </w:r>
      <w:r>
        <w:t xml:space="preserve"> Jessie A. Melendres</w:t>
      </w:r>
    </w:p>
    <w:p>
      <w:r>
        <w:rPr>
          <w:b/>
        </w:rPr>
        <w:t>Business Domain:</w:t>
      </w:r>
      <w:r>
        <w:t xml:space="preserve"> Retail &amp; Sales Analytics</w:t>
      </w:r>
    </w:p>
    <w:p>
      <w:r>
        <w:rPr>
          <w:b/>
        </w:rPr>
        <w:t>Group Name / Number:</w:t>
      </w:r>
      <w:r>
        <w:t xml:space="preserve"> _______________________</w:t>
      </w:r>
    </w:p>
    <w:p>
      <w:r>
        <w:rPr>
          <w:b/>
        </w:rPr>
        <w:t>Date of Submission:</w:t>
      </w:r>
      <w:r>
        <w:t xml:space="preserve"> _______________________</w:t>
      </w:r>
    </w:p>
    <w:p>
      <w:r>
        <w:rPr>
          <w:b/>
        </w:rPr>
        <w:t>Group Members &amp; Roles</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Member Name</w:t>
            </w:r>
          </w:p>
        </w:tc>
        <w:tc>
          <w:tcPr>
            <w:tcW w:type="dxa" w:w="4680"/>
          </w:tcPr>
          <w:p>
            <w:r>
              <w:rPr>
                <w:b/>
              </w:rPr>
            </w:r>
            <w:r>
              <w:rPr>
                <w:b/>
              </w:rPr>
              <w:t>Role</w:t>
            </w:r>
          </w:p>
        </w:tc>
      </w:tr>
      <w:tr>
        <w:tc>
          <w:tcPr>
            <w:tcW w:type="dxa" w:w="4680"/>
          </w:tcPr>
          <w:p>
            <w:pPr>
              <w:spacing w:line="240" w:lineRule="auto"/>
            </w:pPr>
            <w:r>
              <w:rPr>
                <w:sz w:val="18"/>
              </w:rPr>
            </w:r>
            <w:r>
              <w:rPr>
                <w:sz w:val="18"/>
              </w:rPr>
              <w:t>_______________________</w:t>
            </w:r>
          </w:p>
        </w:tc>
        <w:tc>
          <w:tcPr>
            <w:tcW w:type="dxa" w:w="4680"/>
          </w:tcPr>
          <w:p>
            <w:pPr>
              <w:spacing w:line="240" w:lineRule="auto"/>
            </w:pPr>
            <w:r>
              <w:rPr>
                <w:sz w:val="18"/>
              </w:rPr>
            </w:r>
            <w:r>
              <w:rPr>
                <w:sz w:val="18"/>
              </w:rPr>
              <w:t>Project Lead / Analyst</w:t>
            </w:r>
          </w:p>
        </w:tc>
      </w:tr>
      <w:tr>
        <w:tc>
          <w:tcPr>
            <w:tcW w:type="dxa" w:w="4680"/>
          </w:tcPr>
          <w:p>
            <w:pPr>
              <w:spacing w:line="240" w:lineRule="auto"/>
            </w:pPr>
            <w:r>
              <w:rPr>
                <w:sz w:val="18"/>
              </w:rPr>
            </w:r>
            <w:r>
              <w:rPr>
                <w:sz w:val="18"/>
              </w:rPr>
              <w:t>_______________________</w:t>
            </w:r>
          </w:p>
        </w:tc>
        <w:tc>
          <w:tcPr>
            <w:tcW w:type="dxa" w:w="4680"/>
          </w:tcPr>
          <w:p>
            <w:pPr>
              <w:spacing w:line="240" w:lineRule="auto"/>
            </w:pPr>
            <w:r>
              <w:rPr>
                <w:sz w:val="18"/>
              </w:rPr>
            </w:r>
            <w:r>
              <w:rPr>
                <w:sz w:val="18"/>
              </w:rPr>
              <w:t>Data Engineer</w:t>
            </w:r>
          </w:p>
        </w:tc>
      </w:tr>
      <w:tr>
        <w:tc>
          <w:tcPr>
            <w:tcW w:type="dxa" w:w="4680"/>
          </w:tcPr>
          <w:p>
            <w:pPr>
              <w:spacing w:line="240" w:lineRule="auto"/>
            </w:pPr>
            <w:r>
              <w:rPr>
                <w:sz w:val="18"/>
              </w:rPr>
            </w:r>
            <w:r>
              <w:rPr>
                <w:sz w:val="18"/>
              </w:rPr>
              <w:t>_______________________</w:t>
            </w:r>
          </w:p>
        </w:tc>
        <w:tc>
          <w:tcPr>
            <w:tcW w:type="dxa" w:w="4680"/>
          </w:tcPr>
          <w:p>
            <w:pPr>
              <w:spacing w:line="240" w:lineRule="auto"/>
            </w:pPr>
            <w:r>
              <w:rPr>
                <w:sz w:val="18"/>
              </w:rPr>
            </w:r>
            <w:r>
              <w:rPr>
                <w:sz w:val="18"/>
              </w:rPr>
              <w:t>Statistician / Modeler</w:t>
            </w:r>
          </w:p>
        </w:tc>
      </w:tr>
      <w:tr>
        <w:tc>
          <w:tcPr>
            <w:tcW w:type="dxa" w:w="4680"/>
          </w:tcPr>
          <w:p>
            <w:pPr>
              <w:spacing w:line="240" w:lineRule="auto"/>
            </w:pPr>
            <w:r>
              <w:rPr>
                <w:sz w:val="18"/>
              </w:rPr>
            </w:r>
            <w:r>
              <w:rPr>
                <w:sz w:val="18"/>
              </w:rPr>
              <w:t>_______________________</w:t>
            </w:r>
          </w:p>
        </w:tc>
        <w:tc>
          <w:tcPr>
            <w:tcW w:type="dxa" w:w="4680"/>
          </w:tcPr>
          <w:p>
            <w:pPr>
              <w:spacing w:line="240" w:lineRule="auto"/>
            </w:pPr>
            <w:r>
              <w:rPr>
                <w:sz w:val="18"/>
              </w:rPr>
            </w:r>
            <w:r>
              <w:rPr>
                <w:sz w:val="18"/>
              </w:rPr>
              <w:t>BI Developer / Visualizer</w:t>
            </w:r>
          </w:p>
        </w:tc>
      </w:tr>
    </w:tbl>
    <w:p>
      <w:pPr>
        <w:spacing w:after="200" w:line="240" w:lineRule="auto"/>
        <w:jc w:val="center"/>
      </w:pPr>
      <w:r>
        <w:rPr>
          <w:i/>
          <w:color w:val="7B8994"/>
          <w:sz w:val="20"/>
        </w:rPr>
        <w:t>Table 1. Group members and assigned project roles.</w:t>
      </w:r>
    </w:p>
    <w:p>
      <w:r>
        <w:rPr>
          <w:b/>
        </w:rPr>
        <w:t>Accompanying file:</w:t>
      </w:r>
      <w:r>
        <w:t xml:space="preserve"> </w:t>
      </w:r>
      <w:r>
        <w:rPr>
          <w:rFonts w:ascii="Consolas" w:hAnsi="Consolas"/>
          <w:color w:val="2F6F9F"/>
          <w:sz w:val="18"/>
        </w:rPr>
        <w:t>Checkpoint_2_Workbook.xlsx</w:t>
      </w:r>
      <w:r>
        <w:t xml:space="preserve"> (submitted digitally). </w:t>
      </w:r>
      <w:r>
        <w:rPr>
          <w:b/>
        </w:rPr>
        <w:t>Dataset:</w:t>
      </w:r>
      <w:r>
        <w:t xml:space="preserve"> unchanged from Checkpoint 1, as Section 2 of the brief requires.</w:t>
      </w:r>
    </w:p>
    <w:p>
      <w:r>
        <w:br w:type="page"/>
      </w:r>
    </w:p>
    <w:p>
      <w:pPr>
        <w:pStyle w:val="Heading1"/>
      </w:pPr>
      <w:r>
        <w:t>Correction Carried Forward from Checkpoint 1</w:t>
      </w:r>
    </w:p>
    <w:p>
      <w:r>
        <w:t>Building the monthly series for this checkpoint exposed an error in the Checkpoint 1 report, which is corrected here and in the reissued Checkpoint 1 document.</w:t>
      </w:r>
    </w:p>
    <w:p>
      <w:r>
        <w:t xml:space="preserve">The dataset runs </w:t>
      </w:r>
      <w:r>
        <w:rPr>
          <w:b/>
        </w:rPr>
        <w:t>22 March 2020 to 15 March 2025</w:t>
      </w:r>
      <w:r>
        <w:t xml:space="preserve">. Checkpoint 1 correctly excluded 2025 as a partial year, but treated </w:t>
      </w:r>
      <w:r>
        <w:rPr>
          <w:b/>
        </w:rPr>
        <w:t>2020 as a full year when it holds only nine complete months</w:t>
      </w:r>
      <w:r>
        <w:t xml:space="preserve">. Comparing a nine-month total against a twelve-month total overstated growth: the reported </w:t>
      </w:r>
      <w:r>
        <w:rPr>
          <w:i/>
        </w:rPr>
        <w:t>"revenue rose 69.9% between 2020 and 2022"</w:t>
      </w:r>
      <w:r>
        <w:t xml:space="preserve"> is, on a like-for-like monthly basis, </w:t>
      </w:r>
      <w:r>
        <w:rPr>
          <w:b/>
        </w:rPr>
        <w:t>30.9%</w:t>
      </w:r>
      <w:r>
        <w:t>.</w:t>
      </w:r>
    </w:p>
    <w:p>
      <w:r>
        <w:t>A second, smaller effect: March 2020 contains only ten days of trading. Leaving that ten-day month inside a monthly average pulled March's seasonal index down from 1.025 to 0.876 — a 15% distortion that would have made an average month look weak.</w:t>
      </w:r>
    </w:p>
    <w:p>
      <w:r>
        <w:rPr>
          <w:b/>
        </w:rPr>
        <w:t>What changed.</w:t>
      </w:r>
      <w:r>
        <w:t xml:space="preserve"> </w:t>
      </w:r>
      <w:r>
        <w:rPr>
          <w:rFonts w:ascii="Consolas" w:hAnsi="Consolas"/>
          <w:color w:val="2F6F9F"/>
          <w:sz w:val="18"/>
        </w:rPr>
        <w:t>dates</w:t>
      </w:r>
      <w:r>
        <w:t xml:space="preserve"> now carries a second flag, </w:t>
      </w:r>
      <w:r>
        <w:rPr>
          <w:rFonts w:ascii="Consolas" w:hAnsi="Consolas"/>
          <w:color w:val="2F6F9F"/>
          <w:sz w:val="18"/>
        </w:rPr>
        <w:t>is_complete_month</w:t>
      </w:r>
      <w:r>
        <w:t xml:space="preserve">, alongside </w:t>
      </w:r>
      <w:r>
        <w:rPr>
          <w:rFonts w:ascii="Consolas" w:hAnsi="Consolas"/>
          <w:color w:val="2F6F9F"/>
          <w:sz w:val="18"/>
        </w:rPr>
        <w:t>is_complete_year</w:t>
      </w:r>
      <w:r>
        <w:t xml:space="preserve">. The analysis window is the </w:t>
      </w:r>
      <w:r>
        <w:rPr>
          <w:b/>
        </w:rPr>
        <w:t>57 whole months from April 2020 to December 2024</w:t>
      </w:r>
      <w:r>
        <w:t xml:space="preserve">. Query Q3 now reports </w:t>
      </w:r>
      <w:r>
        <w:rPr>
          <w:rFonts w:ascii="Consolas" w:hAnsi="Consolas"/>
          <w:color w:val="2F6F9F"/>
          <w:sz w:val="18"/>
        </w:rPr>
        <w:t>months_covered</w:t>
      </w:r>
      <w:r>
        <w:t xml:space="preserve"> and </w:t>
      </w:r>
      <w:r>
        <w:rPr>
          <w:rFonts w:ascii="Consolas" w:hAnsi="Consolas"/>
          <w:color w:val="2F6F9F"/>
          <w:sz w:val="18"/>
        </w:rPr>
        <w:t>revenue_per_month</w:t>
      </w:r>
      <w:r>
        <w:t xml:space="preserve"> so the short year is visible in the table rather than hidden inside a total.</w:t>
      </w:r>
    </w:p>
    <w:p>
      <w:r>
        <w:rPr>
          <w:b/>
        </w:rPr>
        <w:t>What did not change.</w:t>
      </w:r>
      <w:r>
        <w:t xml:space="preserve"> Every conclusion that compared two full years is unaffected:</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Checkpoint 1 finding</w:t>
            </w:r>
          </w:p>
        </w:tc>
        <w:tc>
          <w:tcPr>
            <w:tcW w:type="dxa" w:w="4680"/>
          </w:tcPr>
          <w:p>
            <w:r>
              <w:rPr>
                <w:b/>
              </w:rPr>
            </w:r>
            <w:r>
              <w:rPr>
                <w:b/>
              </w:rPr>
              <w:t>Status</w:t>
            </w:r>
          </w:p>
        </w:tc>
      </w:tr>
      <w:tr>
        <w:tc>
          <w:tcPr>
            <w:tcW w:type="dxa" w:w="4680"/>
          </w:tcPr>
          <w:p>
            <w:pPr>
              <w:spacing w:line="240" w:lineRule="auto"/>
            </w:pPr>
            <w:r>
              <w:rPr>
                <w:sz w:val="18"/>
              </w:rPr>
            </w:r>
            <w:r>
              <w:rPr>
                <w:sz w:val="18"/>
              </w:rPr>
              <w:t>2024 revenue is 17.6% below the 2022 peak</w:t>
            </w:r>
          </w:p>
        </w:tc>
        <w:tc>
          <w:tcPr>
            <w:tcW w:type="dxa" w:w="4680"/>
          </w:tcPr>
          <w:p>
            <w:pPr>
              <w:spacing w:line="240" w:lineRule="auto"/>
            </w:pPr>
            <w:r>
              <w:rPr>
                <w:sz w:val="18"/>
              </w:rPr>
            </w:r>
            <w:r>
              <w:rPr>
                <w:sz w:val="18"/>
              </w:rPr>
              <w:t>Unchanged — both are full years</w:t>
            </w:r>
          </w:p>
        </w:tc>
      </w:tr>
      <w:tr>
        <w:tc>
          <w:tcPr>
            <w:tcW w:type="dxa" w:w="4680"/>
          </w:tcPr>
          <w:p>
            <w:pPr>
              <w:spacing w:line="240" w:lineRule="auto"/>
            </w:pPr>
            <w:r>
              <w:rPr>
                <w:sz w:val="18"/>
              </w:rPr>
            </w:r>
            <w:r>
              <w:rPr>
                <w:sz w:val="18"/>
              </w:rPr>
              <w:t>Printers lost 136,865 between 2023 and 2024</w:t>
            </w:r>
          </w:p>
        </w:tc>
        <w:tc>
          <w:tcPr>
            <w:tcW w:type="dxa" w:w="4680"/>
          </w:tcPr>
          <w:p>
            <w:pPr>
              <w:spacing w:line="240" w:lineRule="auto"/>
            </w:pPr>
            <w:r>
              <w:rPr>
                <w:sz w:val="18"/>
              </w:rPr>
            </w:r>
            <w:r>
              <w:rPr>
                <w:sz w:val="18"/>
              </w:rPr>
              <w:t>Unchanged</w:t>
            </w:r>
          </w:p>
        </w:tc>
      </w:tr>
      <w:tr>
        <w:tc>
          <w:tcPr>
            <w:tcW w:type="dxa" w:w="4680"/>
          </w:tcPr>
          <w:p>
            <w:pPr>
              <w:spacing w:line="240" w:lineRule="auto"/>
            </w:pPr>
            <w:r>
              <w:rPr>
                <w:sz w:val="18"/>
              </w:rPr>
            </w:r>
            <w:r>
              <w:rPr>
                <w:sz w:val="18"/>
              </w:rPr>
              <w:t>Electronics fell 40.8% in 2024; Office Supplies rebounded</w:t>
            </w:r>
          </w:p>
        </w:tc>
        <w:tc>
          <w:tcPr>
            <w:tcW w:type="dxa" w:w="4680"/>
          </w:tcPr>
          <w:p>
            <w:pPr>
              <w:spacing w:line="240" w:lineRule="auto"/>
            </w:pPr>
            <w:r>
              <w:rPr>
                <w:sz w:val="18"/>
              </w:rPr>
            </w:r>
            <w:r>
              <w:rPr>
                <w:sz w:val="18"/>
              </w:rPr>
              <w:t>Unchanged</w:t>
            </w:r>
          </w:p>
        </w:tc>
      </w:tr>
      <w:tr>
        <w:tc>
          <w:tcPr>
            <w:tcW w:type="dxa" w:w="4680"/>
          </w:tcPr>
          <w:p>
            <w:pPr>
              <w:spacing w:line="240" w:lineRule="auto"/>
            </w:pPr>
            <w:r>
              <w:rPr>
                <w:sz w:val="18"/>
              </w:rPr>
            </w:r>
            <w:r>
              <w:rPr>
                <w:sz w:val="18"/>
              </w:rPr>
              <w:t>Seasonality is category-specific; Electronics peaks in Q2</w:t>
            </w:r>
          </w:p>
        </w:tc>
        <w:tc>
          <w:tcPr>
            <w:tcW w:type="dxa" w:w="4680"/>
          </w:tcPr>
          <w:p>
            <w:pPr>
              <w:spacing w:line="240" w:lineRule="auto"/>
            </w:pPr>
            <w:r>
              <w:rPr>
                <w:sz w:val="18"/>
              </w:rPr>
            </w:r>
            <w:r>
              <w:rPr>
                <w:sz w:val="18"/>
              </w:rPr>
              <w:t>Unchanged (shares move by under 0.5pp)</w:t>
            </w:r>
          </w:p>
        </w:tc>
      </w:tr>
      <w:tr>
        <w:tc>
          <w:tcPr>
            <w:tcW w:type="dxa" w:w="4680"/>
          </w:tcPr>
          <w:p>
            <w:pPr>
              <w:spacing w:line="240" w:lineRule="auto"/>
            </w:pPr>
            <w:r>
              <w:rPr>
                <w:sz w:val="18"/>
              </w:rPr>
            </w:r>
            <w:r>
              <w:rPr>
                <w:sz w:val="18"/>
              </w:rPr>
              <w:t>Geography is not a factor</w:t>
            </w:r>
          </w:p>
        </w:tc>
        <w:tc>
          <w:tcPr>
            <w:tcW w:type="dxa" w:w="4680"/>
          </w:tcPr>
          <w:p>
            <w:pPr>
              <w:spacing w:line="240" w:lineRule="auto"/>
            </w:pPr>
            <w:r>
              <w:rPr>
                <w:sz w:val="18"/>
              </w:rPr>
            </w:r>
            <w:r>
              <w:rPr>
                <w:sz w:val="18"/>
              </w:rPr>
              <w:t>Unchanged</w:t>
            </w:r>
          </w:p>
        </w:tc>
      </w:tr>
      <w:tr>
        <w:tc>
          <w:tcPr>
            <w:tcW w:type="dxa" w:w="4680"/>
          </w:tcPr>
          <w:p>
            <w:pPr>
              <w:spacing w:line="240" w:lineRule="auto"/>
            </w:pPr>
            <w:r>
              <w:rPr>
                <w:sz w:val="18"/>
              </w:rPr>
            </w:r>
            <w:r>
              <w:rPr>
                <w:b/>
                <w:sz w:val="18"/>
              </w:rPr>
              <w:t>Growth from 2020 to 2022 was 69.9%</w:t>
            </w:r>
          </w:p>
        </w:tc>
        <w:tc>
          <w:tcPr>
            <w:tcW w:type="dxa" w:w="4680"/>
          </w:tcPr>
          <w:p>
            <w:pPr>
              <w:spacing w:line="240" w:lineRule="auto"/>
            </w:pPr>
            <w:r>
              <w:rPr>
                <w:sz w:val="18"/>
              </w:rPr>
            </w:r>
            <w:r>
              <w:rPr>
                <w:b/>
                <w:sz w:val="18"/>
              </w:rPr>
              <w:t>Corrected to 30.9% per month</w:t>
            </w:r>
          </w:p>
        </w:tc>
      </w:tr>
    </w:tbl>
    <w:p>
      <w:pPr>
        <w:spacing w:after="200" w:line="240" w:lineRule="auto"/>
        <w:jc w:val="center"/>
      </w:pPr>
      <w:r>
        <w:rPr>
          <w:i/>
          <w:color w:val="7B8994"/>
          <w:sz w:val="20"/>
        </w:rPr>
        <w:t>Table 2. Which Checkpoint 1 findings the correction affects.</w:t>
      </w:r>
    </w:p>
    <w:p>
      <w:r>
        <w:t>The central thesis — growth stalled after 2022, concentrated in one sub-category — stands. One supporting number was overstated.</w:t>
      </w:r>
    </w:p>
    <w:p>
      <w:r>
        <w:br w:type="page"/>
      </w:r>
    </w:p>
    <w:p>
      <w:pPr>
        <w:pStyle w:val="Heading1"/>
      </w:pPr>
      <w:r>
        <w:t>Task 2.1 — Spreadsheet Analytics Report</w:t>
      </w:r>
    </w:p>
    <w:p>
      <w:r>
        <w:t xml:space="preserve">The workbook </w:t>
      </w:r>
      <w:r>
        <w:rPr>
          <w:rFonts w:ascii="Consolas" w:hAnsi="Consolas"/>
          <w:color w:val="2F6F9F"/>
          <w:sz w:val="18"/>
        </w:rPr>
        <w:t>Checkpoint_2_Workbook.xlsx</w:t>
      </w:r>
      <w:r>
        <w:t xml:space="preserve"> contains thirteen sheets. Every computed cell is a </w:t>
      </w:r>
      <w:r>
        <w:rPr>
          <w:b/>
        </w:rPr>
        <w:t>live formula</w:t>
      </w:r>
      <w:r>
        <w:t xml:space="preserve"> over named ranges, not a pasted value, so the workbook recalculates if the data changes.</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Sheet</w:t>
            </w:r>
          </w:p>
        </w:tc>
        <w:tc>
          <w:tcPr>
            <w:tcW w:type="dxa" w:w="3120"/>
          </w:tcPr>
          <w:p>
            <w:r>
              <w:rPr>
                <w:b/>
              </w:rPr>
            </w:r>
            <w:r>
              <w:rPr>
                <w:b/>
              </w:rPr>
              <w:t>Task</w:t>
            </w:r>
          </w:p>
        </w:tc>
        <w:tc>
          <w:tcPr>
            <w:tcW w:type="dxa" w:w="3120"/>
          </w:tcPr>
          <w:p>
            <w:r>
              <w:rPr>
                <w:b/>
              </w:rPr>
            </w:r>
            <w:r>
              <w:rPr>
                <w:b/>
              </w:rPr>
              <w:t>Contents</w:t>
            </w:r>
          </w:p>
        </w:tc>
      </w:tr>
      <w:tr>
        <w:tc>
          <w:tcPr>
            <w:tcW w:type="dxa" w:w="3120"/>
          </w:tcPr>
          <w:p>
            <w:pPr>
              <w:spacing w:line="240" w:lineRule="auto"/>
            </w:pPr>
            <w:r>
              <w:rPr>
                <w:sz w:val="18"/>
              </w:rPr>
            </w:r>
            <w:r>
              <w:rPr>
                <w:sz w:val="18"/>
              </w:rPr>
              <w:t>Read Me</w:t>
            </w:r>
          </w:p>
        </w:tc>
        <w:tc>
          <w:tcPr>
            <w:tcW w:type="dxa" w:w="3120"/>
          </w:tcPr>
          <w:p>
            <w:pPr>
              <w:spacing w:line="240" w:lineRule="auto"/>
            </w:pPr>
            <w:r>
              <w:rPr>
                <w:sz w:val="18"/>
              </w:rPr>
            </w:r>
            <w:r>
              <w:rPr>
                <w:sz w:val="18"/>
              </w:rPr>
              <w:t>—</w:t>
            </w:r>
          </w:p>
        </w:tc>
        <w:tc>
          <w:tcPr>
            <w:tcW w:type="dxa" w:w="3120"/>
          </w:tcPr>
          <w:p>
            <w:pPr>
              <w:spacing w:line="240" w:lineRule="auto"/>
            </w:pPr>
            <w:r>
              <w:rPr>
                <w:sz w:val="18"/>
              </w:rPr>
            </w:r>
            <w:r>
              <w:rPr>
                <w:sz w:val="18"/>
              </w:rPr>
              <w:t>Sheet guide plus seven self-check formulas</w:t>
            </w:r>
          </w:p>
        </w:tc>
      </w:tr>
      <w:tr>
        <w:tc>
          <w:tcPr>
            <w:tcW w:type="dxa" w:w="3120"/>
          </w:tcPr>
          <w:p>
            <w:pPr>
              <w:spacing w:line="240" w:lineRule="auto"/>
            </w:pPr>
            <w:r>
              <w:rPr>
                <w:sz w:val="18"/>
              </w:rPr>
            </w:r>
            <w:r>
              <w:rPr>
                <w:sz w:val="18"/>
              </w:rPr>
              <w:t>Cleaned Data</w:t>
            </w:r>
          </w:p>
        </w:tc>
        <w:tc>
          <w:tcPr>
            <w:tcW w:type="dxa" w:w="3120"/>
          </w:tcPr>
          <w:p>
            <w:pPr>
              <w:spacing w:line="240" w:lineRule="auto"/>
            </w:pPr>
            <w:r>
              <w:rPr>
                <w:sz w:val="18"/>
              </w:rPr>
            </w:r>
            <w:r>
              <w:rPr>
                <w:sz w:val="18"/>
              </w:rPr>
              <w:t>2.1 sheet 1</w:t>
            </w:r>
          </w:p>
        </w:tc>
        <w:tc>
          <w:tcPr>
            <w:tcW w:type="dxa" w:w="3120"/>
          </w:tcPr>
          <w:p>
            <w:pPr>
              <w:spacing w:line="240" w:lineRule="auto"/>
            </w:pPr>
            <w:r>
              <w:rPr>
                <w:sz w:val="18"/>
              </w:rPr>
            </w:r>
            <w:r>
              <w:rPr>
                <w:sz w:val="18"/>
              </w:rPr>
              <w:t>All 1,194 transaction lines, 19 columns</w:t>
            </w:r>
          </w:p>
        </w:tc>
      </w:tr>
      <w:tr>
        <w:tc>
          <w:tcPr>
            <w:tcW w:type="dxa" w:w="3120"/>
          </w:tcPr>
          <w:p>
            <w:pPr>
              <w:spacing w:line="240" w:lineRule="auto"/>
            </w:pPr>
            <w:r>
              <w:rPr>
                <w:sz w:val="18"/>
              </w:rPr>
            </w:r>
            <w:r>
              <w:rPr>
                <w:sz w:val="18"/>
              </w:rPr>
              <w:t>Pivot Analysis</w:t>
            </w:r>
          </w:p>
        </w:tc>
        <w:tc>
          <w:tcPr>
            <w:tcW w:type="dxa" w:w="3120"/>
          </w:tcPr>
          <w:p>
            <w:pPr>
              <w:spacing w:line="240" w:lineRule="auto"/>
            </w:pPr>
            <w:r>
              <w:rPr>
                <w:sz w:val="18"/>
              </w:rPr>
            </w:r>
            <w:r>
              <w:rPr>
                <w:sz w:val="18"/>
              </w:rPr>
              <w:t>2.1 sheet 2</w:t>
            </w:r>
          </w:p>
        </w:tc>
        <w:tc>
          <w:tcPr>
            <w:tcW w:type="dxa" w:w="3120"/>
          </w:tcPr>
          <w:p>
            <w:pPr>
              <w:spacing w:line="240" w:lineRule="auto"/>
            </w:pPr>
            <w:r>
              <w:rPr>
                <w:sz w:val="18"/>
              </w:rPr>
            </w:r>
            <w:r>
              <w:rPr>
                <w:sz w:val="18"/>
              </w:rPr>
              <w:t>Four cross-tabs (SUMIFS / COUNTIFS / AVERAGEIFS)</w:t>
            </w:r>
          </w:p>
        </w:tc>
      </w:tr>
      <w:tr>
        <w:tc>
          <w:tcPr>
            <w:tcW w:type="dxa" w:w="3120"/>
          </w:tcPr>
          <w:p>
            <w:pPr>
              <w:spacing w:line="240" w:lineRule="auto"/>
            </w:pPr>
            <w:r>
              <w:rPr>
                <w:sz w:val="18"/>
              </w:rPr>
            </w:r>
            <w:r>
              <w:rPr>
                <w:sz w:val="18"/>
              </w:rPr>
              <w:t>Pivot Charts</w:t>
            </w:r>
          </w:p>
        </w:tc>
        <w:tc>
          <w:tcPr>
            <w:tcW w:type="dxa" w:w="3120"/>
          </w:tcPr>
          <w:p>
            <w:pPr>
              <w:spacing w:line="240" w:lineRule="auto"/>
            </w:pPr>
            <w:r>
              <w:rPr>
                <w:sz w:val="18"/>
              </w:rPr>
            </w:r>
            <w:r>
              <w:rPr>
                <w:sz w:val="18"/>
              </w:rPr>
              <w:t>2.1 sheet 3</w:t>
            </w:r>
          </w:p>
        </w:tc>
        <w:tc>
          <w:tcPr>
            <w:tcW w:type="dxa" w:w="3120"/>
          </w:tcPr>
          <w:p>
            <w:pPr>
              <w:spacing w:line="240" w:lineRule="auto"/>
            </w:pPr>
            <w:r>
              <w:rPr>
                <w:sz w:val="18"/>
              </w:rPr>
            </w:r>
            <w:r>
              <w:rPr>
                <w:sz w:val="18"/>
              </w:rPr>
              <w:t>Four charts drawn from those cross-tabs</w:t>
            </w:r>
          </w:p>
        </w:tc>
      </w:tr>
      <w:tr>
        <w:tc>
          <w:tcPr>
            <w:tcW w:type="dxa" w:w="3120"/>
          </w:tcPr>
          <w:p>
            <w:pPr>
              <w:spacing w:line="240" w:lineRule="auto"/>
            </w:pPr>
            <w:r>
              <w:rPr>
                <w:sz w:val="18"/>
              </w:rPr>
            </w:r>
            <w:r>
              <w:rPr>
                <w:sz w:val="18"/>
              </w:rPr>
              <w:t>Formulas Showcase</w:t>
            </w:r>
          </w:p>
        </w:tc>
        <w:tc>
          <w:tcPr>
            <w:tcW w:type="dxa" w:w="3120"/>
          </w:tcPr>
          <w:p>
            <w:pPr>
              <w:spacing w:line="240" w:lineRule="auto"/>
            </w:pPr>
            <w:r>
              <w:rPr>
                <w:sz w:val="18"/>
              </w:rPr>
            </w:r>
            <w:r>
              <w:rPr>
                <w:sz w:val="18"/>
              </w:rPr>
              <w:t>2.1 sheet 4</w:t>
            </w:r>
          </w:p>
        </w:tc>
        <w:tc>
          <w:tcPr>
            <w:tcW w:type="dxa" w:w="3120"/>
          </w:tcPr>
          <w:p>
            <w:pPr>
              <w:spacing w:line="240" w:lineRule="auto"/>
            </w:pPr>
            <w:r>
              <w:rPr>
                <w:sz w:val="18"/>
              </w:rPr>
            </w:r>
            <w:r>
              <w:rPr>
                <w:sz w:val="18"/>
              </w:rPr>
              <w:t>Eight Excel functions in business context</w:t>
            </w:r>
          </w:p>
        </w:tc>
      </w:tr>
      <w:tr>
        <w:tc>
          <w:tcPr>
            <w:tcW w:type="dxa" w:w="3120"/>
          </w:tcPr>
          <w:p>
            <w:pPr>
              <w:spacing w:line="240" w:lineRule="auto"/>
            </w:pPr>
            <w:r>
              <w:rPr>
                <w:sz w:val="18"/>
              </w:rPr>
            </w:r>
            <w:r>
              <w:rPr>
                <w:sz w:val="18"/>
              </w:rPr>
              <w:t>Descriptive Stats</w:t>
            </w:r>
          </w:p>
        </w:tc>
        <w:tc>
          <w:tcPr>
            <w:tcW w:type="dxa" w:w="3120"/>
          </w:tcPr>
          <w:p>
            <w:pPr>
              <w:spacing w:line="240" w:lineRule="auto"/>
            </w:pPr>
            <w:r>
              <w:rPr>
                <w:sz w:val="18"/>
              </w:rPr>
            </w:r>
            <w:r>
              <w:rPr>
                <w:sz w:val="18"/>
              </w:rPr>
              <w:t>2.2</w:t>
            </w:r>
          </w:p>
        </w:tc>
        <w:tc>
          <w:tcPr>
            <w:tcW w:type="dxa" w:w="3120"/>
          </w:tcPr>
          <w:p>
            <w:pPr>
              <w:spacing w:line="240" w:lineRule="auto"/>
            </w:pPr>
            <w:r>
              <w:rPr>
                <w:sz w:val="18"/>
              </w:rPr>
            </w:r>
            <w:r>
              <w:rPr>
                <w:sz w:val="18"/>
              </w:rPr>
              <w:t>13 statistics × 3 variables</w:t>
            </w:r>
          </w:p>
        </w:tc>
      </w:tr>
      <w:tr>
        <w:tc>
          <w:tcPr>
            <w:tcW w:type="dxa" w:w="3120"/>
          </w:tcPr>
          <w:p>
            <w:pPr>
              <w:spacing w:line="240" w:lineRule="auto"/>
            </w:pPr>
            <w:r>
              <w:rPr>
                <w:sz w:val="18"/>
              </w:rPr>
            </w:r>
            <w:r>
              <w:rPr>
                <w:sz w:val="18"/>
              </w:rPr>
              <w:t>Frequency</w:t>
            </w:r>
          </w:p>
        </w:tc>
        <w:tc>
          <w:tcPr>
            <w:tcW w:type="dxa" w:w="3120"/>
          </w:tcPr>
          <w:p>
            <w:pPr>
              <w:spacing w:line="240" w:lineRule="auto"/>
            </w:pPr>
            <w:r>
              <w:rPr>
                <w:sz w:val="18"/>
              </w:rPr>
            </w:r>
            <w:r>
              <w:rPr>
                <w:sz w:val="18"/>
              </w:rPr>
              <w:t>2.2</w:t>
            </w:r>
          </w:p>
        </w:tc>
        <w:tc>
          <w:tcPr>
            <w:tcW w:type="dxa" w:w="3120"/>
          </w:tcPr>
          <w:p>
            <w:pPr>
              <w:spacing w:line="240" w:lineRule="auto"/>
            </w:pPr>
            <w:r>
              <w:rPr>
                <w:sz w:val="18"/>
              </w:rPr>
            </w:r>
            <w:r>
              <w:rPr>
                <w:sz w:val="18"/>
              </w:rPr>
              <w:t>Distribution table and histogram</w:t>
            </w:r>
          </w:p>
        </w:tc>
      </w:tr>
      <w:tr>
        <w:tc>
          <w:tcPr>
            <w:tcW w:type="dxa" w:w="3120"/>
          </w:tcPr>
          <w:p>
            <w:pPr>
              <w:spacing w:line="240" w:lineRule="auto"/>
            </w:pPr>
            <w:r>
              <w:rPr>
                <w:sz w:val="18"/>
              </w:rPr>
            </w:r>
            <w:r>
              <w:rPr>
                <w:sz w:val="18"/>
              </w:rPr>
              <w:t>Correlation</w:t>
            </w:r>
          </w:p>
        </w:tc>
        <w:tc>
          <w:tcPr>
            <w:tcW w:type="dxa" w:w="3120"/>
          </w:tcPr>
          <w:p>
            <w:pPr>
              <w:spacing w:line="240" w:lineRule="auto"/>
            </w:pPr>
            <w:r>
              <w:rPr>
                <w:sz w:val="18"/>
              </w:rPr>
            </w:r>
            <w:r>
              <w:rPr>
                <w:sz w:val="18"/>
              </w:rPr>
              <w:t>2.3</w:t>
            </w:r>
          </w:p>
        </w:tc>
        <w:tc>
          <w:tcPr>
            <w:tcW w:type="dxa" w:w="3120"/>
          </w:tcPr>
          <w:p>
            <w:pPr>
              <w:spacing w:line="240" w:lineRule="auto"/>
            </w:pPr>
            <w:r>
              <w:rPr>
                <w:sz w:val="18"/>
              </w:rPr>
            </w:r>
            <w:r>
              <w:rPr>
                <w:sz w:val="18"/>
              </w:rPr>
              <w:t>Two pairs plus a supporting third, with scatter plots</w:t>
            </w:r>
          </w:p>
        </w:tc>
      </w:tr>
      <w:tr>
        <w:tc>
          <w:tcPr>
            <w:tcW w:type="dxa" w:w="3120"/>
          </w:tcPr>
          <w:p>
            <w:pPr>
              <w:spacing w:line="240" w:lineRule="auto"/>
            </w:pPr>
            <w:r>
              <w:rPr>
                <w:sz w:val="18"/>
              </w:rPr>
            </w:r>
            <w:r>
              <w:rPr>
                <w:sz w:val="18"/>
              </w:rPr>
              <w:t>Regression</w:t>
            </w:r>
          </w:p>
        </w:tc>
        <w:tc>
          <w:tcPr>
            <w:tcW w:type="dxa" w:w="3120"/>
          </w:tcPr>
          <w:p>
            <w:pPr>
              <w:spacing w:line="240" w:lineRule="auto"/>
            </w:pPr>
            <w:r>
              <w:rPr>
                <w:sz w:val="18"/>
              </w:rPr>
            </w:r>
            <w:r>
              <w:rPr>
                <w:sz w:val="18"/>
              </w:rPr>
              <w:t>2.4</w:t>
            </w:r>
          </w:p>
        </w:tc>
        <w:tc>
          <w:tcPr>
            <w:tcW w:type="dxa" w:w="3120"/>
          </w:tcPr>
          <w:p>
            <w:pPr>
              <w:spacing w:line="240" w:lineRule="auto"/>
            </w:pPr>
            <w:r>
              <w:rPr>
                <w:sz w:val="18"/>
              </w:rPr>
            </w:r>
            <w:r>
              <w:rPr>
                <w:sz w:val="18"/>
              </w:rPr>
              <w:t>Equation, R², t, p-value, forecasts, limitations</w:t>
            </w:r>
          </w:p>
        </w:tc>
      </w:tr>
      <w:tr>
        <w:tc>
          <w:tcPr>
            <w:tcW w:type="dxa" w:w="3120"/>
          </w:tcPr>
          <w:p>
            <w:pPr>
              <w:spacing w:line="240" w:lineRule="auto"/>
            </w:pPr>
            <w:r>
              <w:rPr>
                <w:sz w:val="18"/>
              </w:rPr>
            </w:r>
            <w:r>
              <w:rPr>
                <w:sz w:val="18"/>
              </w:rPr>
              <w:t>Forecast</w:t>
            </w:r>
          </w:p>
        </w:tc>
        <w:tc>
          <w:tcPr>
            <w:tcW w:type="dxa" w:w="3120"/>
          </w:tcPr>
          <w:p>
            <w:pPr>
              <w:spacing w:line="240" w:lineRule="auto"/>
            </w:pPr>
            <w:r>
              <w:rPr>
                <w:sz w:val="18"/>
              </w:rPr>
            </w:r>
            <w:r>
              <w:rPr>
                <w:sz w:val="18"/>
              </w:rPr>
              <w:t>2.5</w:t>
            </w:r>
          </w:p>
        </w:tc>
        <w:tc>
          <w:tcPr>
            <w:tcW w:type="dxa" w:w="3120"/>
          </w:tcPr>
          <w:p>
            <w:pPr>
              <w:spacing w:line="240" w:lineRule="auto"/>
            </w:pPr>
            <w:r>
              <w:rPr>
                <w:sz w:val="18"/>
              </w:rPr>
            </w:r>
            <w:r>
              <w:rPr>
                <w:sz w:val="18"/>
              </w:rPr>
              <w:t>Trend test, seasonal index, forecast, holdout check</w:t>
            </w:r>
          </w:p>
        </w:tc>
      </w:tr>
      <w:tr>
        <w:tc>
          <w:tcPr>
            <w:tcW w:type="dxa" w:w="3120"/>
          </w:tcPr>
          <w:p>
            <w:pPr>
              <w:spacing w:line="240" w:lineRule="auto"/>
            </w:pPr>
            <w:r>
              <w:rPr>
                <w:sz w:val="18"/>
              </w:rPr>
            </w:r>
            <w:r>
              <w:rPr>
                <w:sz w:val="18"/>
              </w:rPr>
              <w:t>PivotTable 1–3</w:t>
            </w:r>
          </w:p>
        </w:tc>
        <w:tc>
          <w:tcPr>
            <w:tcW w:type="dxa" w:w="3120"/>
          </w:tcPr>
          <w:p>
            <w:pPr>
              <w:spacing w:line="240" w:lineRule="auto"/>
            </w:pPr>
            <w:r>
              <w:rPr>
                <w:sz w:val="18"/>
              </w:rPr>
            </w:r>
            <w:r>
              <w:rPr>
                <w:sz w:val="18"/>
              </w:rPr>
              <w:t>2.1 sheets 2–3</w:t>
            </w:r>
          </w:p>
        </w:tc>
        <w:tc>
          <w:tcPr>
            <w:tcW w:type="dxa" w:w="3120"/>
          </w:tcPr>
          <w:p>
            <w:pPr>
              <w:spacing w:line="240" w:lineRule="auto"/>
            </w:pPr>
            <w:r>
              <w:rPr>
                <w:sz w:val="18"/>
              </w:rPr>
            </w:r>
            <w:r>
              <w:rPr>
                <w:sz w:val="18"/>
              </w:rPr>
              <w:t>Three native Excel PivotTables, each with a PivotChart</w:t>
            </w:r>
          </w:p>
        </w:tc>
      </w:tr>
    </w:tbl>
    <w:p>
      <w:pPr>
        <w:spacing w:after="200" w:line="240" w:lineRule="auto"/>
        <w:jc w:val="center"/>
      </w:pPr>
      <w:r>
        <w:rPr>
          <w:i/>
          <w:color w:val="7B8994"/>
          <w:sz w:val="20"/>
        </w:rPr>
        <w:t>Table 3. Workbook structure and the task each sheet satisfies.</w:t>
      </w:r>
    </w:p>
    <w:p>
      <w:r>
        <w:t>_(Insert your screenshots of the three PivotTables and their PivotCharts here, taken from the workbook after opening it in Excel.)_</w:t>
      </w:r>
    </w:p>
    <w:p>
      <w:pPr>
        <w:pStyle w:val="Heading2"/>
      </w:pPr>
      <w:r>
        <w:t>Sheet 1 — Cleaned Data</w:t>
      </w:r>
    </w:p>
    <w:p>
      <w:r>
        <w:t xml:space="preserve">The 1,194 transaction lines exported from the Checkpoint 1 database, with the calendar and product-hierarchy columns joined on. </w:t>
      </w:r>
      <w:r>
        <w:rPr>
          <w:rFonts w:ascii="Consolas" w:hAnsi="Consolas"/>
          <w:color w:val="2F6F9F"/>
          <w:sz w:val="18"/>
        </w:rPr>
        <w:t>MarginPct</w:t>
      </w:r>
      <w:r>
        <w:t xml:space="preserve"> is a formula (</w:t>
      </w:r>
      <w:r>
        <w:rPr>
          <w:rFonts w:ascii="Consolas" w:hAnsi="Consolas"/>
          <w:color w:val="2F6F9F"/>
          <w:sz w:val="18"/>
        </w:rPr>
        <w:t>=Profit/Amount</w:t>
      </w:r>
      <w:r>
        <w:t>), not a stored number.</w:t>
      </w:r>
    </w:p>
    <w:p>
      <w:pPr>
        <w:pStyle w:val="Heading2"/>
      </w:pPr>
      <w:r>
        <w:t>Sheet 2 — Pivot Analysis (four cross-tabs)</w:t>
      </w:r>
    </w:p>
    <w:p>
      <w:r>
        <w:t>The brief asks for at least three pivot tables. There are four:</w:t>
      </w:r>
    </w:p>
    <w:p>
      <w:pPr>
        <w:pStyle w:val="ListNumber"/>
      </w:pPr>
      <w:r>
        <w:rPr>
          <w:b/>
        </w:rPr>
        <w:t>Revenue by Category × Year</w:t>
      </w:r>
      <w:r>
        <w:t xml:space="preserve"> — </w:t>
      </w:r>
      <w:r>
        <w:rPr>
          <w:rFonts w:ascii="Consolas" w:hAnsi="Consolas"/>
          <w:color w:val="2F6F9F"/>
          <w:sz w:val="18"/>
        </w:rPr>
        <w:t>SUMIFS(Amount, Category, …, Yr, …)</w:t>
      </w:r>
    </w:p>
    <w:p>
      <w:pPr>
        <w:pStyle w:val="ListNumber"/>
      </w:pPr>
      <w:r>
        <w:rPr>
          <w:b/>
        </w:rPr>
        <w:t>Orders, revenue, average order value and margin by State</w:t>
      </w:r>
      <w:r>
        <w:t xml:space="preserve"> — </w:t>
      </w:r>
      <w:r>
        <w:rPr>
          <w:rFonts w:ascii="Consolas" w:hAnsi="Consolas"/>
          <w:color w:val="2F6F9F"/>
          <w:sz w:val="18"/>
        </w:rPr>
        <w:t>COUNTIFS</w:t>
      </w:r>
      <w:r>
        <w:t xml:space="preserve">, </w:t>
      </w:r>
      <w:r>
        <w:rPr>
          <w:rFonts w:ascii="Consolas" w:hAnsi="Consolas"/>
          <w:color w:val="2F6F9F"/>
          <w:sz w:val="18"/>
        </w:rPr>
        <w:t>SUMIFS</w:t>
      </w:r>
      <w:r>
        <w:t xml:space="preserve">, </w:t>
      </w:r>
      <w:r>
        <w:rPr>
          <w:rFonts w:ascii="Consolas" w:hAnsi="Consolas"/>
          <w:color w:val="2F6F9F"/>
          <w:sz w:val="18"/>
        </w:rPr>
        <w:t>AVERAGEIFS</w:t>
      </w:r>
    </w:p>
    <w:p>
      <w:pPr>
        <w:pStyle w:val="ListNumber"/>
      </w:pPr>
      <w:r>
        <w:rPr>
          <w:b/>
        </w:rPr>
        <w:t>Orders, revenue and units by month</w:t>
      </w:r>
      <w:r>
        <w:t xml:space="preserve"> — the series everything else is built on</w:t>
      </w:r>
    </w:p>
    <w:p>
      <w:pPr>
        <w:pStyle w:val="ListNumber"/>
      </w:pPr>
      <w:r>
        <w:rPr>
          <w:b/>
        </w:rPr>
        <w:t>Revenue by Sub-Category, 2023 vs 2024</w:t>
      </w:r>
      <w:r>
        <w:t xml:space="preserve"> — two-criteria </w:t>
      </w:r>
      <w:r>
        <w:rPr>
          <w:rFonts w:ascii="Consolas" w:hAnsi="Consolas"/>
          <w:color w:val="2F6F9F"/>
          <w:sz w:val="18"/>
        </w:rPr>
        <w:t>SUMIFS</w:t>
      </w:r>
    </w:p>
    <w:p>
      <w:pPr>
        <w:ind w:left="432"/>
      </w:pPr>
      <w:r>
        <w:rPr>
          <w:b/>
          <w:i/>
        </w:rPr>
        <w:t>Both forms of pivot are supplied.</w:t>
      </w:r>
      <w:r>
        <w:rPr>
          <w:i/>
        </w:rPr>
        <w:t xml:space="preserve"> These four are formula-driven cross-tabs, which compute exactly what a PivotTable computes and can be audited cell by cell. Sheets </w:t>
      </w:r>
      <w:r>
        <w:rPr>
          <w:b/>
          <w:i/>
        </w:rPr>
        <w:t>PivotTable 1–3</w:t>
      </w:r>
      <w:r>
        <w:rPr>
          <w:i/>
        </w:rPr>
        <w:t xml:space="preserve"> hold three </w:t>
      </w:r>
      <w:r>
        <w:rPr>
          <w:i/>
        </w:rPr>
        <w:t>native</w:t>
      </w:r>
      <w:r>
        <w:rPr>
          <w:i/>
        </w:rPr>
        <w:t xml:space="preserve"> Excel PivotTable objects over the same data — Category × Year, average order value by State, and orders by period — sharing one pivot cache, each with a </w:t>
      </w:r>
      <w:r>
        <w:rPr>
          <w:b/>
          <w:i/>
        </w:rPr>
        <w:t>PivotChart</w:t>
      </w:r>
      <w:r>
        <w:rPr>
          <w:i/>
        </w:rPr>
        <w:t xml:space="preserve"> bound to it. Whichever reading of the brief applies is covered.</w:t>
      </w:r>
    </w:p>
    <w:p>
      <w:pPr>
        <w:pStyle w:val="Heading2"/>
      </w:pPr>
      <w:r>
        <w:t>Sheet 3 — Pivot Charts</w:t>
      </w:r>
    </w:p>
    <w:p>
      <w:r>
        <w:t>Four charts, each titled, axis-labelled and annotated with what it shows: revenue by category and year; average order value by state; monthly revenue over time; and the 2023→2024 sub-category change.</w:t>
      </w:r>
    </w:p>
    <w:p>
      <w:pPr>
        <w:pStyle w:val="Heading2"/>
      </w:pPr>
      <w:r>
        <w:t>Sheet 4 — Formulas Showcase</w:t>
      </w:r>
    </w:p>
    <w:p>
      <w:r>
        <w:t xml:space="preserve">The brief asks for at least five functions. There are eight, each answering a real question rather than demonstrating syntax: </w:t>
      </w:r>
      <w:r>
        <w:rPr>
          <w:rFonts w:ascii="Consolas" w:hAnsi="Consolas"/>
          <w:color w:val="2F6F9F"/>
          <w:sz w:val="18"/>
        </w:rPr>
        <w:t>SUMIF</w:t>
      </w:r>
      <w:r>
        <w:t xml:space="preserve">, </w:t>
      </w:r>
      <w:r>
        <w:rPr>
          <w:rFonts w:ascii="Consolas" w:hAnsi="Consolas"/>
          <w:color w:val="2F6F9F"/>
          <w:sz w:val="18"/>
        </w:rPr>
        <w:t>COUNTIF</w:t>
      </w:r>
      <w:r>
        <w:t xml:space="preserve">, </w:t>
      </w:r>
      <w:r>
        <w:rPr>
          <w:rFonts w:ascii="Consolas" w:hAnsi="Consolas"/>
          <w:color w:val="2F6F9F"/>
          <w:sz w:val="18"/>
        </w:rPr>
        <w:t>SUMIFS</w:t>
      </w:r>
      <w:r>
        <w:t xml:space="preserve">, </w:t>
      </w:r>
      <w:r>
        <w:rPr>
          <w:rFonts w:ascii="Consolas" w:hAnsi="Consolas"/>
          <w:color w:val="2F6F9F"/>
          <w:sz w:val="18"/>
        </w:rPr>
        <w:t>AVERAGEIF</w:t>
      </w:r>
      <w:r>
        <w:t xml:space="preserve">, </w:t>
      </w:r>
      <w:r>
        <w:rPr>
          <w:rFonts w:ascii="Consolas" w:hAnsi="Consolas"/>
          <w:color w:val="2F6F9F"/>
          <w:sz w:val="18"/>
        </w:rPr>
        <w:t>VLOOKUP</w:t>
      </w:r>
      <w:r>
        <w:t xml:space="preserve">, </w:t>
      </w:r>
      <w:r>
        <w:rPr>
          <w:rFonts w:ascii="Consolas" w:hAnsi="Consolas"/>
          <w:color w:val="2F6F9F"/>
          <w:sz w:val="18"/>
        </w:rPr>
        <w:t>IF</w:t>
      </w:r>
      <w:r>
        <w:t xml:space="preserve">, </w:t>
      </w:r>
      <w:r>
        <w:rPr>
          <w:rFonts w:ascii="Consolas" w:hAnsi="Consolas"/>
          <w:color w:val="2F6F9F"/>
          <w:sz w:val="18"/>
        </w:rPr>
        <w:t>TEXT</w:t>
      </w:r>
      <w:r>
        <w:t xml:space="preserve">, and </w:t>
      </w:r>
      <w:r>
        <w:rPr>
          <w:rFonts w:ascii="Consolas" w:hAnsi="Consolas"/>
          <w:color w:val="2F6F9F"/>
          <w:sz w:val="18"/>
        </w:rPr>
        <w:t>MAX</w:t>
      </w:r>
      <w:r>
        <w:t>/</w:t>
      </w:r>
      <w:r>
        <w:rPr>
          <w:rFonts w:ascii="Consolas" w:hAnsi="Consolas"/>
          <w:color w:val="2F6F9F"/>
          <w:sz w:val="18"/>
        </w:rPr>
        <w:t>MIN</w:t>
      </w:r>
      <w:r>
        <w:t>.</w:t>
      </w:r>
    </w:p>
    <w:p>
      <w:r>
        <w:br w:type="page"/>
      </w:r>
    </w:p>
    <w:p>
      <w:pPr>
        <w:pStyle w:val="Heading1"/>
      </w:pPr>
      <w:r>
        <w:t>Task 2.2 — Descriptive Statistics Report</w:t>
      </w:r>
    </w:p>
    <w:p>
      <w:r>
        <w:t>Three numerical variables, n = 1,194 transaction lines.</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Statistic</w:t>
            </w:r>
          </w:p>
        </w:tc>
        <w:tc>
          <w:tcPr>
            <w:tcW w:type="dxa" w:w="2340"/>
          </w:tcPr>
          <w:p>
            <w:r>
              <w:rPr>
                <w:b/>
              </w:rPr>
            </w:r>
            <w:r>
              <w:rPr>
                <w:b/>
              </w:rPr>
              <w:t>Amount</w:t>
            </w:r>
          </w:p>
        </w:tc>
        <w:tc>
          <w:tcPr>
            <w:tcW w:type="dxa" w:w="2340"/>
          </w:tcPr>
          <w:p>
            <w:r>
              <w:rPr>
                <w:b/>
              </w:rPr>
            </w:r>
            <w:r>
              <w:rPr>
                <w:b/>
              </w:rPr>
              <w:t>Profit</w:t>
            </w:r>
          </w:p>
        </w:tc>
        <w:tc>
          <w:tcPr>
            <w:tcW w:type="dxa" w:w="2340"/>
          </w:tcPr>
          <w:p>
            <w:r>
              <w:rPr>
                <w:b/>
              </w:rPr>
            </w:r>
            <w:r>
              <w:rPr>
                <w:b/>
              </w:rPr>
              <w:t>Quantity</w:t>
            </w:r>
          </w:p>
        </w:tc>
      </w:tr>
      <w:tr>
        <w:tc>
          <w:tcPr>
            <w:tcW w:type="dxa" w:w="2340"/>
          </w:tcPr>
          <w:p>
            <w:pPr>
              <w:spacing w:line="240" w:lineRule="auto"/>
            </w:pPr>
            <w:r>
              <w:rPr>
                <w:sz w:val="18"/>
              </w:rPr>
            </w:r>
            <w:r>
              <w:rPr>
                <w:sz w:val="18"/>
              </w:rPr>
              <w:t>Mean</w:t>
            </w:r>
          </w:p>
        </w:tc>
        <w:tc>
          <w:tcPr>
            <w:tcW w:type="dxa" w:w="2340"/>
          </w:tcPr>
          <w:p>
            <w:pPr>
              <w:spacing w:line="240" w:lineRule="auto"/>
            </w:pPr>
            <w:r>
              <w:rPr>
                <w:sz w:val="18"/>
              </w:rPr>
            </w:r>
            <w:r>
              <w:rPr>
                <w:sz w:val="18"/>
              </w:rPr>
              <w:t>5,178.09</w:t>
            </w:r>
          </w:p>
        </w:tc>
        <w:tc>
          <w:tcPr>
            <w:tcW w:type="dxa" w:w="2340"/>
          </w:tcPr>
          <w:p>
            <w:pPr>
              <w:spacing w:line="240" w:lineRule="auto"/>
            </w:pPr>
            <w:r>
              <w:rPr>
                <w:sz w:val="18"/>
              </w:rPr>
            </w:r>
            <w:r>
              <w:rPr>
                <w:sz w:val="18"/>
              </w:rPr>
              <w:t>1,348.99</w:t>
            </w:r>
          </w:p>
        </w:tc>
        <w:tc>
          <w:tcPr>
            <w:tcW w:type="dxa" w:w="2340"/>
          </w:tcPr>
          <w:p>
            <w:pPr>
              <w:spacing w:line="240" w:lineRule="auto"/>
            </w:pPr>
            <w:r>
              <w:rPr>
                <w:sz w:val="18"/>
              </w:rPr>
            </w:r>
            <w:r>
              <w:rPr>
                <w:sz w:val="18"/>
              </w:rPr>
              <w:t>10.67</w:t>
            </w:r>
          </w:p>
        </w:tc>
      </w:tr>
      <w:tr>
        <w:tc>
          <w:tcPr>
            <w:tcW w:type="dxa" w:w="2340"/>
          </w:tcPr>
          <w:p>
            <w:pPr>
              <w:spacing w:line="240" w:lineRule="auto"/>
            </w:pPr>
            <w:r>
              <w:rPr>
                <w:sz w:val="18"/>
              </w:rPr>
            </w:r>
            <w:r>
              <w:rPr>
                <w:sz w:val="18"/>
              </w:rPr>
              <w:t>Median</w:t>
            </w:r>
          </w:p>
        </w:tc>
        <w:tc>
          <w:tcPr>
            <w:tcW w:type="dxa" w:w="2340"/>
          </w:tcPr>
          <w:p>
            <w:pPr>
              <w:spacing w:line="240" w:lineRule="auto"/>
            </w:pPr>
            <w:r>
              <w:rPr>
                <w:sz w:val="18"/>
              </w:rPr>
            </w:r>
            <w:r>
              <w:rPr>
                <w:sz w:val="18"/>
              </w:rPr>
              <w:t>5,152.00</w:t>
            </w:r>
          </w:p>
        </w:tc>
        <w:tc>
          <w:tcPr>
            <w:tcW w:type="dxa" w:w="2340"/>
          </w:tcPr>
          <w:p>
            <w:pPr>
              <w:spacing w:line="240" w:lineRule="auto"/>
            </w:pPr>
            <w:r>
              <w:rPr>
                <w:sz w:val="18"/>
              </w:rPr>
            </w:r>
            <w:r>
              <w:rPr>
                <w:sz w:val="18"/>
              </w:rPr>
              <w:t>1,014.00</w:t>
            </w:r>
          </w:p>
        </w:tc>
        <w:tc>
          <w:tcPr>
            <w:tcW w:type="dxa" w:w="2340"/>
          </w:tcPr>
          <w:p>
            <w:pPr>
              <w:spacing w:line="240" w:lineRule="auto"/>
            </w:pPr>
            <w:r>
              <w:rPr>
                <w:sz w:val="18"/>
              </w:rPr>
            </w:r>
            <w:r>
              <w:rPr>
                <w:sz w:val="18"/>
              </w:rPr>
              <w:t>11.00</w:t>
            </w:r>
          </w:p>
        </w:tc>
      </w:tr>
      <w:tr>
        <w:tc>
          <w:tcPr>
            <w:tcW w:type="dxa" w:w="2340"/>
          </w:tcPr>
          <w:p>
            <w:pPr>
              <w:spacing w:line="240" w:lineRule="auto"/>
            </w:pPr>
            <w:r>
              <w:rPr>
                <w:sz w:val="18"/>
              </w:rPr>
            </w:r>
            <w:r>
              <w:rPr>
                <w:sz w:val="18"/>
              </w:rPr>
              <w:t>Mode</w:t>
            </w:r>
          </w:p>
        </w:tc>
        <w:tc>
          <w:tcPr>
            <w:tcW w:type="dxa" w:w="2340"/>
          </w:tcPr>
          <w:p>
            <w:pPr>
              <w:spacing w:line="240" w:lineRule="auto"/>
            </w:pPr>
            <w:r>
              <w:rPr>
                <w:sz w:val="18"/>
              </w:rPr>
            </w:r>
            <w:r>
              <w:rPr>
                <w:sz w:val="18"/>
              </w:rPr>
              <w:t>717 (×6)</w:t>
            </w:r>
          </w:p>
        </w:tc>
        <w:tc>
          <w:tcPr>
            <w:tcW w:type="dxa" w:w="2340"/>
          </w:tcPr>
          <w:p>
            <w:pPr>
              <w:spacing w:line="240" w:lineRule="auto"/>
            </w:pPr>
            <w:r>
              <w:rPr>
                <w:sz w:val="18"/>
              </w:rPr>
            </w:r>
            <w:r>
              <w:rPr>
                <w:sz w:val="18"/>
              </w:rPr>
              <w:t>177 (×8)</w:t>
            </w:r>
          </w:p>
        </w:tc>
        <w:tc>
          <w:tcPr>
            <w:tcW w:type="dxa" w:w="2340"/>
          </w:tcPr>
          <w:p>
            <w:pPr>
              <w:spacing w:line="240" w:lineRule="auto"/>
            </w:pPr>
            <w:r>
              <w:rPr>
                <w:sz w:val="18"/>
              </w:rPr>
            </w:r>
            <w:r>
              <w:rPr>
                <w:sz w:val="18"/>
              </w:rPr>
              <w:t>14 (×73)</w:t>
            </w:r>
          </w:p>
        </w:tc>
      </w:tr>
      <w:tr>
        <w:tc>
          <w:tcPr>
            <w:tcW w:type="dxa" w:w="2340"/>
          </w:tcPr>
          <w:p>
            <w:pPr>
              <w:spacing w:line="240" w:lineRule="auto"/>
            </w:pPr>
            <w:r>
              <w:rPr>
                <w:sz w:val="18"/>
              </w:rPr>
            </w:r>
            <w:r>
              <w:rPr>
                <w:sz w:val="18"/>
              </w:rPr>
              <w:t>Standard deviation</w:t>
            </w:r>
          </w:p>
        </w:tc>
        <w:tc>
          <w:tcPr>
            <w:tcW w:type="dxa" w:w="2340"/>
          </w:tcPr>
          <w:p>
            <w:pPr>
              <w:spacing w:line="240" w:lineRule="auto"/>
            </w:pPr>
            <w:r>
              <w:rPr>
                <w:sz w:val="18"/>
              </w:rPr>
            </w:r>
            <w:r>
              <w:rPr>
                <w:sz w:val="18"/>
              </w:rPr>
              <w:t>2,804.92</w:t>
            </w:r>
          </w:p>
        </w:tc>
        <w:tc>
          <w:tcPr>
            <w:tcW w:type="dxa" w:w="2340"/>
          </w:tcPr>
          <w:p>
            <w:pPr>
              <w:spacing w:line="240" w:lineRule="auto"/>
            </w:pPr>
            <w:r>
              <w:rPr>
                <w:sz w:val="18"/>
              </w:rPr>
            </w:r>
            <w:r>
              <w:rPr>
                <w:sz w:val="18"/>
              </w:rPr>
              <w:t>1,117.99</w:t>
            </w:r>
          </w:p>
        </w:tc>
        <w:tc>
          <w:tcPr>
            <w:tcW w:type="dxa" w:w="2340"/>
          </w:tcPr>
          <w:p>
            <w:pPr>
              <w:spacing w:line="240" w:lineRule="auto"/>
            </w:pPr>
            <w:r>
              <w:rPr>
                <w:sz w:val="18"/>
              </w:rPr>
            </w:r>
            <w:r>
              <w:rPr>
                <w:sz w:val="18"/>
              </w:rPr>
              <w:t>5.78</w:t>
            </w:r>
          </w:p>
        </w:tc>
      </w:tr>
      <w:tr>
        <w:tc>
          <w:tcPr>
            <w:tcW w:type="dxa" w:w="2340"/>
          </w:tcPr>
          <w:p>
            <w:pPr>
              <w:spacing w:line="240" w:lineRule="auto"/>
            </w:pPr>
            <w:r>
              <w:rPr>
                <w:sz w:val="18"/>
              </w:rPr>
            </w:r>
            <w:r>
              <w:rPr>
                <w:sz w:val="18"/>
              </w:rPr>
              <w:t>Variance</w:t>
            </w:r>
          </w:p>
        </w:tc>
        <w:tc>
          <w:tcPr>
            <w:tcW w:type="dxa" w:w="2340"/>
          </w:tcPr>
          <w:p>
            <w:pPr>
              <w:spacing w:line="240" w:lineRule="auto"/>
            </w:pPr>
            <w:r>
              <w:rPr>
                <w:sz w:val="18"/>
              </w:rPr>
            </w:r>
            <w:r>
              <w:rPr>
                <w:sz w:val="18"/>
              </w:rPr>
              <w:t>7,867,587.17</w:t>
            </w:r>
          </w:p>
        </w:tc>
        <w:tc>
          <w:tcPr>
            <w:tcW w:type="dxa" w:w="2340"/>
          </w:tcPr>
          <w:p>
            <w:pPr>
              <w:spacing w:line="240" w:lineRule="auto"/>
            </w:pPr>
            <w:r>
              <w:rPr>
                <w:sz w:val="18"/>
              </w:rPr>
            </w:r>
            <w:r>
              <w:rPr>
                <w:sz w:val="18"/>
              </w:rPr>
              <w:t>1,249,907.39</w:t>
            </w:r>
          </w:p>
        </w:tc>
        <w:tc>
          <w:tcPr>
            <w:tcW w:type="dxa" w:w="2340"/>
          </w:tcPr>
          <w:p>
            <w:pPr>
              <w:spacing w:line="240" w:lineRule="auto"/>
            </w:pPr>
            <w:r>
              <w:rPr>
                <w:sz w:val="18"/>
              </w:rPr>
            </w:r>
            <w:r>
              <w:rPr>
                <w:sz w:val="18"/>
              </w:rPr>
              <w:t>33.37</w:t>
            </w:r>
          </w:p>
        </w:tc>
      </w:tr>
      <w:tr>
        <w:tc>
          <w:tcPr>
            <w:tcW w:type="dxa" w:w="2340"/>
          </w:tcPr>
          <w:p>
            <w:pPr>
              <w:spacing w:line="240" w:lineRule="auto"/>
            </w:pPr>
            <w:r>
              <w:rPr>
                <w:sz w:val="18"/>
              </w:rPr>
            </w:r>
            <w:r>
              <w:rPr>
                <w:sz w:val="18"/>
              </w:rPr>
              <w:t>Minimum</w:t>
            </w:r>
          </w:p>
        </w:tc>
        <w:tc>
          <w:tcPr>
            <w:tcW w:type="dxa" w:w="2340"/>
          </w:tcPr>
          <w:p>
            <w:pPr>
              <w:spacing w:line="240" w:lineRule="auto"/>
            </w:pPr>
            <w:r>
              <w:rPr>
                <w:sz w:val="18"/>
              </w:rPr>
            </w:r>
            <w:r>
              <w:rPr>
                <w:sz w:val="18"/>
              </w:rPr>
              <w:t>508</w:t>
            </w:r>
          </w:p>
        </w:tc>
        <w:tc>
          <w:tcPr>
            <w:tcW w:type="dxa" w:w="2340"/>
          </w:tcPr>
          <w:p>
            <w:pPr>
              <w:spacing w:line="240" w:lineRule="auto"/>
            </w:pPr>
            <w:r>
              <w:rPr>
                <w:sz w:val="18"/>
              </w:rPr>
            </w:r>
            <w:r>
              <w:rPr>
                <w:sz w:val="18"/>
              </w:rPr>
              <w:t>50</w:t>
            </w:r>
          </w:p>
        </w:tc>
        <w:tc>
          <w:tcPr>
            <w:tcW w:type="dxa" w:w="2340"/>
          </w:tcPr>
          <w:p>
            <w:pPr>
              <w:spacing w:line="240" w:lineRule="auto"/>
            </w:pPr>
            <w:r>
              <w:rPr>
                <w:sz w:val="18"/>
              </w:rPr>
            </w:r>
            <w:r>
              <w:rPr>
                <w:sz w:val="18"/>
              </w:rPr>
              <w:t>1</w:t>
            </w:r>
          </w:p>
        </w:tc>
      </w:tr>
      <w:tr>
        <w:tc>
          <w:tcPr>
            <w:tcW w:type="dxa" w:w="2340"/>
          </w:tcPr>
          <w:p>
            <w:pPr>
              <w:spacing w:line="240" w:lineRule="auto"/>
            </w:pPr>
            <w:r>
              <w:rPr>
                <w:sz w:val="18"/>
              </w:rPr>
            </w:r>
            <w:r>
              <w:rPr>
                <w:sz w:val="18"/>
              </w:rPr>
              <w:t>Maximum</w:t>
            </w:r>
          </w:p>
        </w:tc>
        <w:tc>
          <w:tcPr>
            <w:tcW w:type="dxa" w:w="2340"/>
          </w:tcPr>
          <w:p>
            <w:pPr>
              <w:spacing w:line="240" w:lineRule="auto"/>
            </w:pPr>
            <w:r>
              <w:rPr>
                <w:sz w:val="18"/>
              </w:rPr>
            </w:r>
            <w:r>
              <w:rPr>
                <w:sz w:val="18"/>
              </w:rPr>
              <w:t>9,992</w:t>
            </w:r>
          </w:p>
        </w:tc>
        <w:tc>
          <w:tcPr>
            <w:tcW w:type="dxa" w:w="2340"/>
          </w:tcPr>
          <w:p>
            <w:pPr>
              <w:spacing w:line="240" w:lineRule="auto"/>
            </w:pPr>
            <w:r>
              <w:rPr>
                <w:sz w:val="18"/>
              </w:rPr>
            </w:r>
            <w:r>
              <w:rPr>
                <w:sz w:val="18"/>
              </w:rPr>
              <w:t>4,930</w:t>
            </w:r>
          </w:p>
        </w:tc>
        <w:tc>
          <w:tcPr>
            <w:tcW w:type="dxa" w:w="2340"/>
          </w:tcPr>
          <w:p>
            <w:pPr>
              <w:spacing w:line="240" w:lineRule="auto"/>
            </w:pPr>
            <w:r>
              <w:rPr>
                <w:sz w:val="18"/>
              </w:rPr>
            </w:r>
            <w:r>
              <w:rPr>
                <w:sz w:val="18"/>
              </w:rPr>
              <w:t>20</w:t>
            </w:r>
          </w:p>
        </w:tc>
      </w:tr>
      <w:tr>
        <w:tc>
          <w:tcPr>
            <w:tcW w:type="dxa" w:w="2340"/>
          </w:tcPr>
          <w:p>
            <w:pPr>
              <w:spacing w:line="240" w:lineRule="auto"/>
            </w:pPr>
            <w:r>
              <w:rPr>
                <w:sz w:val="18"/>
              </w:rPr>
            </w:r>
            <w:r>
              <w:rPr>
                <w:sz w:val="18"/>
              </w:rPr>
              <w:t>Range</w:t>
            </w:r>
          </w:p>
        </w:tc>
        <w:tc>
          <w:tcPr>
            <w:tcW w:type="dxa" w:w="2340"/>
          </w:tcPr>
          <w:p>
            <w:pPr>
              <w:spacing w:line="240" w:lineRule="auto"/>
            </w:pPr>
            <w:r>
              <w:rPr>
                <w:sz w:val="18"/>
              </w:rPr>
            </w:r>
            <w:r>
              <w:rPr>
                <w:sz w:val="18"/>
              </w:rPr>
              <w:t>9,484</w:t>
            </w:r>
          </w:p>
        </w:tc>
        <w:tc>
          <w:tcPr>
            <w:tcW w:type="dxa" w:w="2340"/>
          </w:tcPr>
          <w:p>
            <w:pPr>
              <w:spacing w:line="240" w:lineRule="auto"/>
            </w:pPr>
            <w:r>
              <w:rPr>
                <w:sz w:val="18"/>
              </w:rPr>
            </w:r>
            <w:r>
              <w:rPr>
                <w:sz w:val="18"/>
              </w:rPr>
              <w:t>4,880</w:t>
            </w:r>
          </w:p>
        </w:tc>
        <w:tc>
          <w:tcPr>
            <w:tcW w:type="dxa" w:w="2340"/>
          </w:tcPr>
          <w:p>
            <w:pPr>
              <w:spacing w:line="240" w:lineRule="auto"/>
            </w:pPr>
            <w:r>
              <w:rPr>
                <w:sz w:val="18"/>
              </w:rPr>
            </w:r>
            <w:r>
              <w:rPr>
                <w:sz w:val="18"/>
              </w:rPr>
              <w:t>19</w:t>
            </w:r>
          </w:p>
        </w:tc>
      </w:tr>
      <w:tr>
        <w:tc>
          <w:tcPr>
            <w:tcW w:type="dxa" w:w="2340"/>
          </w:tcPr>
          <w:p>
            <w:pPr>
              <w:spacing w:line="240" w:lineRule="auto"/>
            </w:pPr>
            <w:r>
              <w:rPr>
                <w:sz w:val="18"/>
              </w:rPr>
            </w:r>
            <w:r>
              <w:rPr>
                <w:sz w:val="18"/>
              </w:rPr>
              <w:t>Q1</w:t>
            </w:r>
          </w:p>
        </w:tc>
        <w:tc>
          <w:tcPr>
            <w:tcW w:type="dxa" w:w="2340"/>
          </w:tcPr>
          <w:p>
            <w:pPr>
              <w:spacing w:line="240" w:lineRule="auto"/>
            </w:pPr>
            <w:r>
              <w:rPr>
                <w:sz w:val="18"/>
              </w:rPr>
            </w:r>
            <w:r>
              <w:rPr>
                <w:sz w:val="18"/>
              </w:rPr>
              <w:t>2,799.00</w:t>
            </w:r>
          </w:p>
        </w:tc>
        <w:tc>
          <w:tcPr>
            <w:tcW w:type="dxa" w:w="2340"/>
          </w:tcPr>
          <w:p>
            <w:pPr>
              <w:spacing w:line="240" w:lineRule="auto"/>
            </w:pPr>
            <w:r>
              <w:rPr>
                <w:sz w:val="18"/>
              </w:rPr>
            </w:r>
            <w:r>
              <w:rPr>
                <w:sz w:val="18"/>
              </w:rPr>
              <w:t>410.00</w:t>
            </w:r>
          </w:p>
        </w:tc>
        <w:tc>
          <w:tcPr>
            <w:tcW w:type="dxa" w:w="2340"/>
          </w:tcPr>
          <w:p>
            <w:pPr>
              <w:spacing w:line="240" w:lineRule="auto"/>
            </w:pPr>
            <w:r>
              <w:rPr>
                <w:sz w:val="18"/>
              </w:rPr>
            </w:r>
            <w:r>
              <w:rPr>
                <w:sz w:val="18"/>
              </w:rPr>
              <w:t>6.00</w:t>
            </w:r>
          </w:p>
        </w:tc>
      </w:tr>
      <w:tr>
        <w:tc>
          <w:tcPr>
            <w:tcW w:type="dxa" w:w="2340"/>
          </w:tcPr>
          <w:p>
            <w:pPr>
              <w:spacing w:line="240" w:lineRule="auto"/>
            </w:pPr>
            <w:r>
              <w:rPr>
                <w:sz w:val="18"/>
              </w:rPr>
            </w:r>
            <w:r>
              <w:rPr>
                <w:sz w:val="18"/>
              </w:rPr>
              <w:t>Q3</w:t>
            </w:r>
          </w:p>
        </w:tc>
        <w:tc>
          <w:tcPr>
            <w:tcW w:type="dxa" w:w="2340"/>
          </w:tcPr>
          <w:p>
            <w:pPr>
              <w:spacing w:line="240" w:lineRule="auto"/>
            </w:pPr>
            <w:r>
              <w:rPr>
                <w:sz w:val="18"/>
              </w:rPr>
            </w:r>
            <w:r>
              <w:rPr>
                <w:sz w:val="18"/>
              </w:rPr>
              <w:t>7,626.00</w:t>
            </w:r>
          </w:p>
        </w:tc>
        <w:tc>
          <w:tcPr>
            <w:tcW w:type="dxa" w:w="2340"/>
          </w:tcPr>
          <w:p>
            <w:pPr>
              <w:spacing w:line="240" w:lineRule="auto"/>
            </w:pPr>
            <w:r>
              <w:rPr>
                <w:sz w:val="18"/>
              </w:rPr>
            </w:r>
            <w:r>
              <w:rPr>
                <w:sz w:val="18"/>
              </w:rPr>
              <w:t>2,035.00</w:t>
            </w:r>
          </w:p>
        </w:tc>
        <w:tc>
          <w:tcPr>
            <w:tcW w:type="dxa" w:w="2340"/>
          </w:tcPr>
          <w:p>
            <w:pPr>
              <w:spacing w:line="240" w:lineRule="auto"/>
            </w:pPr>
            <w:r>
              <w:rPr>
                <w:sz w:val="18"/>
              </w:rPr>
            </w:r>
            <w:r>
              <w:rPr>
                <w:sz w:val="18"/>
              </w:rPr>
              <w:t>16.00</w:t>
            </w:r>
          </w:p>
        </w:tc>
      </w:tr>
      <w:tr>
        <w:tc>
          <w:tcPr>
            <w:tcW w:type="dxa" w:w="2340"/>
          </w:tcPr>
          <w:p>
            <w:pPr>
              <w:spacing w:line="240" w:lineRule="auto"/>
            </w:pPr>
            <w:r>
              <w:rPr>
                <w:sz w:val="18"/>
              </w:rPr>
            </w:r>
            <w:r>
              <w:rPr>
                <w:sz w:val="18"/>
              </w:rPr>
              <w:t>Interquartile range</w:t>
            </w:r>
          </w:p>
        </w:tc>
        <w:tc>
          <w:tcPr>
            <w:tcW w:type="dxa" w:w="2340"/>
          </w:tcPr>
          <w:p>
            <w:pPr>
              <w:spacing w:line="240" w:lineRule="auto"/>
            </w:pPr>
            <w:r>
              <w:rPr>
                <w:sz w:val="18"/>
              </w:rPr>
            </w:r>
            <w:r>
              <w:rPr>
                <w:sz w:val="18"/>
              </w:rPr>
              <w:t>4,827.00</w:t>
            </w:r>
          </w:p>
        </w:tc>
        <w:tc>
          <w:tcPr>
            <w:tcW w:type="dxa" w:w="2340"/>
          </w:tcPr>
          <w:p>
            <w:pPr>
              <w:spacing w:line="240" w:lineRule="auto"/>
            </w:pPr>
            <w:r>
              <w:rPr>
                <w:sz w:val="18"/>
              </w:rPr>
            </w:r>
            <w:r>
              <w:rPr>
                <w:sz w:val="18"/>
              </w:rPr>
              <w:t>1,625.00</w:t>
            </w:r>
          </w:p>
        </w:tc>
        <w:tc>
          <w:tcPr>
            <w:tcW w:type="dxa" w:w="2340"/>
          </w:tcPr>
          <w:p>
            <w:pPr>
              <w:spacing w:line="240" w:lineRule="auto"/>
            </w:pPr>
            <w:r>
              <w:rPr>
                <w:sz w:val="18"/>
              </w:rPr>
            </w:r>
            <w:r>
              <w:rPr>
                <w:sz w:val="18"/>
              </w:rPr>
              <w:t>10.00</w:t>
            </w:r>
          </w:p>
        </w:tc>
      </w:tr>
      <w:tr>
        <w:tc>
          <w:tcPr>
            <w:tcW w:type="dxa" w:w="2340"/>
          </w:tcPr>
          <w:p>
            <w:pPr>
              <w:spacing w:line="240" w:lineRule="auto"/>
            </w:pPr>
            <w:r>
              <w:rPr>
                <w:sz w:val="18"/>
              </w:rPr>
            </w:r>
            <w:r>
              <w:rPr>
                <w:sz w:val="18"/>
              </w:rPr>
              <w:t>Coefficient of variation</w:t>
            </w:r>
          </w:p>
        </w:tc>
        <w:tc>
          <w:tcPr>
            <w:tcW w:type="dxa" w:w="2340"/>
          </w:tcPr>
          <w:p>
            <w:pPr>
              <w:spacing w:line="240" w:lineRule="auto"/>
            </w:pPr>
            <w:r>
              <w:rPr>
                <w:sz w:val="18"/>
              </w:rPr>
            </w:r>
            <w:r>
              <w:rPr>
                <w:sz w:val="18"/>
              </w:rPr>
              <w:t>54.2%</w:t>
            </w:r>
          </w:p>
        </w:tc>
        <w:tc>
          <w:tcPr>
            <w:tcW w:type="dxa" w:w="2340"/>
          </w:tcPr>
          <w:p>
            <w:pPr>
              <w:spacing w:line="240" w:lineRule="auto"/>
            </w:pPr>
            <w:r>
              <w:rPr>
                <w:sz w:val="18"/>
              </w:rPr>
            </w:r>
            <w:r>
              <w:rPr>
                <w:sz w:val="18"/>
              </w:rPr>
              <w:t>82.9%</w:t>
            </w:r>
          </w:p>
        </w:tc>
        <w:tc>
          <w:tcPr>
            <w:tcW w:type="dxa" w:w="2340"/>
          </w:tcPr>
          <w:p>
            <w:pPr>
              <w:spacing w:line="240" w:lineRule="auto"/>
            </w:pPr>
            <w:r>
              <w:rPr>
                <w:sz w:val="18"/>
              </w:rPr>
            </w:r>
            <w:r>
              <w:rPr>
                <w:sz w:val="18"/>
              </w:rPr>
              <w:t>54.1%</w:t>
            </w:r>
          </w:p>
        </w:tc>
      </w:tr>
    </w:tbl>
    <w:p>
      <w:pPr>
        <w:spacing w:after="200" w:line="240" w:lineRule="auto"/>
        <w:jc w:val="center"/>
      </w:pPr>
      <w:r>
        <w:rPr>
          <w:i/>
          <w:color w:val="7B8994"/>
          <w:sz w:val="20"/>
        </w:rPr>
        <w:t>Table 4. Descriptive statistics for the three numerical variables.</w:t>
      </w:r>
    </w:p>
    <w:p>
      <w:pPr>
        <w:pStyle w:val="Heading2"/>
      </w:pPr>
      <w:r>
        <w:t>Amount — revenue per transaction line</w:t>
      </w:r>
    </w:p>
    <w:p>
      <w:r>
        <w:t xml:space="preserve">Mean 5,178 and median 5,152 are almost identical, and the skewness is +0.05 — effectively zero. The distribution is </w:t>
      </w:r>
      <w:r>
        <w:rPr>
          <w:b/>
        </w:rPr>
        <w:t>symmetric</w:t>
      </w:r>
      <w:r>
        <w:t>, with no long tail of unusually large orders. The spread is wide (standard deviation 2,805, so a typical order sits about 54% of the mean away from it) and the interquartile range covers 2,799 to 7,626.</w:t>
      </w:r>
    </w:p>
    <w:p>
      <w:r>
        <w:t xml:space="preserve">The histogram (Figure 1) is the important part: it is </w:t>
      </w:r>
      <w:r>
        <w:rPr>
          <w:b/>
        </w:rPr>
        <w:t>flat, not bell-shaped</w:t>
      </w:r>
      <w:r>
        <w:t>. A normal distribution would peak in the middle and thin at both ends. This one is close to uniform across the whole 508–9,992 span, which is what a random number generator produces and further evidence that the dataset is synthetic — consistent with the four signals documented in Checkpoint 1. For the business reading: there is no "typical order size" to design around, and no premium segment to separate out.</w:t>
      </w:r>
    </w:p>
    <w:p>
      <w:pPr>
        <w:pStyle w:val="Heading2"/>
      </w:pPr>
      <w:r>
        <w:t>Profit — gross profit per transaction line</w:t>
      </w:r>
    </w:p>
    <w:p>
      <w:r>
        <w:t xml:space="preserve">Profit behaves differently. Mean 1,349 sits well above median 1,014, and skewness is </w:t>
      </w:r>
      <w:r>
        <w:rPr>
          <w:b/>
        </w:rPr>
        <w:t>+0.94</w:t>
      </w:r>
      <w:r>
        <w:t xml:space="preserve"> — a clear right skew. Most lines earn a modest profit while a minority earn much more, and those pull the mean upward. The coefficient of variation is </w:t>
      </w:r>
      <w:r>
        <w:rPr>
          <w:b/>
        </w:rPr>
        <w:t>82.9%</w:t>
      </w:r>
      <w:r>
        <w:t>, far higher than Amount's 54.2%: profit is much less predictable than revenue.</w:t>
      </w:r>
    </w:p>
    <w:p>
      <w:r>
        <w:t>That gap matters. Two orders of the same value can return very different profits, because margin varies by product. Any target or forecast set on revenue alone will be a poor predictor of what the business actually earns. The median, not the mean, is the honest figure to quote for a "typical" order's profit.</w:t>
      </w:r>
    </w:p>
    <w:p>
      <w:pPr>
        <w:pStyle w:val="Heading2"/>
      </w:pPr>
      <w:r>
        <w:t>Quantity — units per transaction line</w:t>
      </w:r>
    </w:p>
    <w:p>
      <w:r>
        <w:t xml:space="preserve">Quantity runs 1 to 20 with a mean of 10.67 and a median of 11, skewness −0.04. Like Amount, it is </w:t>
      </w:r>
      <w:r>
        <w:rPr>
          <w:b/>
        </w:rPr>
        <w:t>flat rather than peaked</w:t>
      </w:r>
      <w:r>
        <w:t>: no preferred order size, no clustering at round numbers such as 5, 10 or 12, which real order data almost always shows. The mode is 14, appearing 73 times, but with 20 possible values and 1,194 rows that is close to what chance alone would produce.</w:t>
      </w:r>
    </w:p>
    <w:p>
      <w:pPr>
        <w:pStyle w:val="Heading2"/>
      </w:pPr>
      <w:r>
        <w:t>Frequency distribution of Amount</w:t>
      </w:r>
    </w:p>
    <w:p>
      <w:r>
        <w:t xml:space="preserve">Ten bins of 1,000, counted with </w:t>
      </w:r>
      <w:r>
        <w:rPr>
          <w:rFonts w:ascii="Consolas" w:hAnsi="Consolas"/>
          <w:color w:val="2F6F9F"/>
          <w:sz w:val="18"/>
        </w:rPr>
        <w:t>COUNTIFS</w:t>
      </w:r>
      <w:r>
        <w:t xml:space="preserve"> rather than the </w:t>
      </w:r>
      <w:r>
        <w:rPr>
          <w:rFonts w:ascii="Consolas" w:hAnsi="Consolas"/>
          <w:color w:val="2F6F9F"/>
          <w:sz w:val="18"/>
        </w:rPr>
        <w:t>FREQUENCY</w:t>
      </w:r>
      <w:r>
        <w:t xml:space="preserve"> array function so that every cell is independent and auditable. The bin counts sum to 1,194, which the workbook checks against </w:t>
      </w:r>
      <w:r>
        <w:rPr>
          <w:rFonts w:ascii="Consolas" w:hAnsi="Consolas"/>
          <w:color w:val="2F6F9F"/>
          <w:sz w:val="18"/>
        </w:rPr>
        <w:t>COUNT(Amount)</w:t>
      </w:r>
      <w:r>
        <w:t>.</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Bin (Amount)</w:t>
            </w:r>
          </w:p>
        </w:tc>
        <w:tc>
          <w:tcPr>
            <w:tcW w:type="dxa" w:w="2340"/>
          </w:tcPr>
          <w:p>
            <w:r>
              <w:rPr>
                <w:b/>
              </w:rPr>
            </w:r>
            <w:r>
              <w:rPr>
                <w:b/>
              </w:rPr>
              <w:t>Frequency</w:t>
            </w:r>
          </w:p>
        </w:tc>
        <w:tc>
          <w:tcPr>
            <w:tcW w:type="dxa" w:w="2340"/>
          </w:tcPr>
          <w:p>
            <w:r>
              <w:rPr>
                <w:b/>
              </w:rPr>
            </w:r>
            <w:r>
              <w:rPr>
                <w:b/>
              </w:rPr>
              <w:t>Relative %</w:t>
            </w:r>
          </w:p>
        </w:tc>
        <w:tc>
          <w:tcPr>
            <w:tcW w:type="dxa" w:w="2340"/>
          </w:tcPr>
          <w:p>
            <w:r>
              <w:rPr>
                <w:b/>
              </w:rPr>
            </w:r>
            <w:r>
              <w:rPr>
                <w:b/>
              </w:rPr>
              <w:t>Cumulative %</w:t>
            </w:r>
          </w:p>
        </w:tc>
      </w:tr>
      <w:tr>
        <w:tc>
          <w:tcPr>
            <w:tcW w:type="dxa" w:w="2340"/>
          </w:tcPr>
          <w:p>
            <w:pPr>
              <w:spacing w:line="240" w:lineRule="auto"/>
            </w:pPr>
            <w:r>
              <w:rPr>
                <w:sz w:val="18"/>
              </w:rPr>
            </w:r>
            <w:r>
              <w:rPr>
                <w:sz w:val="18"/>
              </w:rPr>
              <w:t>0 – 999</w:t>
            </w:r>
          </w:p>
        </w:tc>
        <w:tc>
          <w:tcPr>
            <w:tcW w:type="dxa" w:w="2340"/>
          </w:tcPr>
          <w:p>
            <w:pPr>
              <w:spacing w:line="240" w:lineRule="auto"/>
            </w:pPr>
            <w:r>
              <w:rPr>
                <w:sz w:val="18"/>
              </w:rPr>
            </w:r>
            <w:r>
              <w:rPr>
                <w:sz w:val="18"/>
              </w:rPr>
              <w:t>83</w:t>
            </w:r>
          </w:p>
        </w:tc>
        <w:tc>
          <w:tcPr>
            <w:tcW w:type="dxa" w:w="2340"/>
          </w:tcPr>
          <w:p>
            <w:pPr>
              <w:spacing w:line="240" w:lineRule="auto"/>
            </w:pPr>
            <w:r>
              <w:rPr>
                <w:sz w:val="18"/>
              </w:rPr>
            </w:r>
            <w:r>
              <w:rPr>
                <w:sz w:val="18"/>
              </w:rPr>
              <w:t>7.0%</w:t>
            </w:r>
          </w:p>
        </w:tc>
        <w:tc>
          <w:tcPr>
            <w:tcW w:type="dxa" w:w="2340"/>
          </w:tcPr>
          <w:p>
            <w:pPr>
              <w:spacing w:line="240" w:lineRule="auto"/>
            </w:pPr>
            <w:r>
              <w:rPr>
                <w:sz w:val="18"/>
              </w:rPr>
            </w:r>
            <w:r>
              <w:rPr>
                <w:sz w:val="18"/>
              </w:rPr>
              <w:t>7.0%</w:t>
            </w:r>
          </w:p>
        </w:tc>
      </w:tr>
      <w:tr>
        <w:tc>
          <w:tcPr>
            <w:tcW w:type="dxa" w:w="2340"/>
          </w:tcPr>
          <w:p>
            <w:pPr>
              <w:spacing w:line="240" w:lineRule="auto"/>
            </w:pPr>
            <w:r>
              <w:rPr>
                <w:sz w:val="18"/>
              </w:rPr>
            </w:r>
            <w:r>
              <w:rPr>
                <w:sz w:val="18"/>
              </w:rPr>
              <w:t>1,000 – 1,999</w:t>
            </w:r>
          </w:p>
        </w:tc>
        <w:tc>
          <w:tcPr>
            <w:tcW w:type="dxa" w:w="2340"/>
          </w:tcPr>
          <w:p>
            <w:pPr>
              <w:spacing w:line="240" w:lineRule="auto"/>
            </w:pPr>
            <w:r>
              <w:rPr>
                <w:sz w:val="18"/>
              </w:rPr>
            </w:r>
            <w:r>
              <w:rPr>
                <w:sz w:val="18"/>
              </w:rPr>
              <w:t>109</w:t>
            </w:r>
          </w:p>
        </w:tc>
        <w:tc>
          <w:tcPr>
            <w:tcW w:type="dxa" w:w="2340"/>
          </w:tcPr>
          <w:p>
            <w:pPr>
              <w:spacing w:line="240" w:lineRule="auto"/>
            </w:pPr>
            <w:r>
              <w:rPr>
                <w:sz w:val="18"/>
              </w:rPr>
            </w:r>
            <w:r>
              <w:rPr>
                <w:sz w:val="18"/>
              </w:rPr>
              <w:t>9.1%</w:t>
            </w:r>
          </w:p>
        </w:tc>
        <w:tc>
          <w:tcPr>
            <w:tcW w:type="dxa" w:w="2340"/>
          </w:tcPr>
          <w:p>
            <w:pPr>
              <w:spacing w:line="240" w:lineRule="auto"/>
            </w:pPr>
            <w:r>
              <w:rPr>
                <w:sz w:val="18"/>
              </w:rPr>
            </w:r>
            <w:r>
              <w:rPr>
                <w:sz w:val="18"/>
              </w:rPr>
              <w:t>16.1%</w:t>
            </w:r>
          </w:p>
        </w:tc>
      </w:tr>
      <w:tr>
        <w:tc>
          <w:tcPr>
            <w:tcW w:type="dxa" w:w="2340"/>
          </w:tcPr>
          <w:p>
            <w:pPr>
              <w:spacing w:line="240" w:lineRule="auto"/>
            </w:pPr>
            <w:r>
              <w:rPr>
                <w:sz w:val="18"/>
              </w:rPr>
            </w:r>
            <w:r>
              <w:rPr>
                <w:sz w:val="18"/>
              </w:rPr>
              <w:t>2,000 – 2,999</w:t>
            </w:r>
          </w:p>
        </w:tc>
        <w:tc>
          <w:tcPr>
            <w:tcW w:type="dxa" w:w="2340"/>
          </w:tcPr>
          <w:p>
            <w:pPr>
              <w:spacing w:line="240" w:lineRule="auto"/>
            </w:pPr>
            <w:r>
              <w:rPr>
                <w:sz w:val="18"/>
              </w:rPr>
            </w:r>
            <w:r>
              <w:rPr>
                <w:sz w:val="18"/>
              </w:rPr>
              <w:t>136</w:t>
            </w:r>
          </w:p>
        </w:tc>
        <w:tc>
          <w:tcPr>
            <w:tcW w:type="dxa" w:w="2340"/>
          </w:tcPr>
          <w:p>
            <w:pPr>
              <w:spacing w:line="240" w:lineRule="auto"/>
            </w:pPr>
            <w:r>
              <w:rPr>
                <w:sz w:val="18"/>
              </w:rPr>
            </w:r>
            <w:r>
              <w:rPr>
                <w:sz w:val="18"/>
              </w:rPr>
              <w:t>11.4%</w:t>
            </w:r>
          </w:p>
        </w:tc>
        <w:tc>
          <w:tcPr>
            <w:tcW w:type="dxa" w:w="2340"/>
          </w:tcPr>
          <w:p>
            <w:pPr>
              <w:spacing w:line="240" w:lineRule="auto"/>
            </w:pPr>
            <w:r>
              <w:rPr>
                <w:sz w:val="18"/>
              </w:rPr>
            </w:r>
            <w:r>
              <w:rPr>
                <w:sz w:val="18"/>
              </w:rPr>
              <w:t>27.5%</w:t>
            </w:r>
          </w:p>
        </w:tc>
      </w:tr>
      <w:tr>
        <w:tc>
          <w:tcPr>
            <w:tcW w:type="dxa" w:w="2340"/>
          </w:tcPr>
          <w:p>
            <w:pPr>
              <w:spacing w:line="240" w:lineRule="auto"/>
            </w:pPr>
            <w:r>
              <w:rPr>
                <w:sz w:val="18"/>
              </w:rPr>
            </w:r>
            <w:r>
              <w:rPr>
                <w:sz w:val="18"/>
              </w:rPr>
              <w:t>3,000 – 3,999</w:t>
            </w:r>
          </w:p>
        </w:tc>
        <w:tc>
          <w:tcPr>
            <w:tcW w:type="dxa" w:w="2340"/>
          </w:tcPr>
          <w:p>
            <w:pPr>
              <w:spacing w:line="240" w:lineRule="auto"/>
            </w:pPr>
            <w:r>
              <w:rPr>
                <w:sz w:val="18"/>
              </w:rPr>
            </w:r>
            <w:r>
              <w:rPr>
                <w:sz w:val="18"/>
              </w:rPr>
              <w:t>136</w:t>
            </w:r>
          </w:p>
        </w:tc>
        <w:tc>
          <w:tcPr>
            <w:tcW w:type="dxa" w:w="2340"/>
          </w:tcPr>
          <w:p>
            <w:pPr>
              <w:spacing w:line="240" w:lineRule="auto"/>
            </w:pPr>
            <w:r>
              <w:rPr>
                <w:sz w:val="18"/>
              </w:rPr>
            </w:r>
            <w:r>
              <w:rPr>
                <w:sz w:val="18"/>
              </w:rPr>
              <w:t>11.4%</w:t>
            </w:r>
          </w:p>
        </w:tc>
        <w:tc>
          <w:tcPr>
            <w:tcW w:type="dxa" w:w="2340"/>
          </w:tcPr>
          <w:p>
            <w:pPr>
              <w:spacing w:line="240" w:lineRule="auto"/>
            </w:pPr>
            <w:r>
              <w:rPr>
                <w:sz w:val="18"/>
              </w:rPr>
            </w:r>
            <w:r>
              <w:rPr>
                <w:sz w:val="18"/>
              </w:rPr>
              <w:t>38.9%</w:t>
            </w:r>
          </w:p>
        </w:tc>
      </w:tr>
      <w:tr>
        <w:tc>
          <w:tcPr>
            <w:tcW w:type="dxa" w:w="2340"/>
          </w:tcPr>
          <w:p>
            <w:pPr>
              <w:spacing w:line="240" w:lineRule="auto"/>
            </w:pPr>
            <w:r>
              <w:rPr>
                <w:sz w:val="18"/>
              </w:rPr>
            </w:r>
            <w:r>
              <w:rPr>
                <w:sz w:val="18"/>
              </w:rPr>
              <w:t>4,000 – 4,999</w:t>
            </w:r>
          </w:p>
        </w:tc>
        <w:tc>
          <w:tcPr>
            <w:tcW w:type="dxa" w:w="2340"/>
          </w:tcPr>
          <w:p>
            <w:pPr>
              <w:spacing w:line="240" w:lineRule="auto"/>
            </w:pPr>
            <w:r>
              <w:rPr>
                <w:sz w:val="18"/>
              </w:rPr>
            </w:r>
            <w:r>
              <w:rPr>
                <w:sz w:val="18"/>
              </w:rPr>
              <w:t>113</w:t>
            </w:r>
          </w:p>
        </w:tc>
        <w:tc>
          <w:tcPr>
            <w:tcW w:type="dxa" w:w="2340"/>
          </w:tcPr>
          <w:p>
            <w:pPr>
              <w:spacing w:line="240" w:lineRule="auto"/>
            </w:pPr>
            <w:r>
              <w:rPr>
                <w:sz w:val="18"/>
              </w:rPr>
            </w:r>
            <w:r>
              <w:rPr>
                <w:sz w:val="18"/>
              </w:rPr>
              <w:t>9.5%</w:t>
            </w:r>
          </w:p>
        </w:tc>
        <w:tc>
          <w:tcPr>
            <w:tcW w:type="dxa" w:w="2340"/>
          </w:tcPr>
          <w:p>
            <w:pPr>
              <w:spacing w:line="240" w:lineRule="auto"/>
            </w:pPr>
            <w:r>
              <w:rPr>
                <w:sz w:val="18"/>
              </w:rPr>
            </w:r>
            <w:r>
              <w:rPr>
                <w:sz w:val="18"/>
              </w:rPr>
              <w:t>48.3%</w:t>
            </w:r>
          </w:p>
        </w:tc>
      </w:tr>
      <w:tr>
        <w:tc>
          <w:tcPr>
            <w:tcW w:type="dxa" w:w="2340"/>
          </w:tcPr>
          <w:p>
            <w:pPr>
              <w:spacing w:line="240" w:lineRule="auto"/>
            </w:pPr>
            <w:r>
              <w:rPr>
                <w:sz w:val="18"/>
              </w:rPr>
            </w:r>
            <w:r>
              <w:rPr>
                <w:sz w:val="18"/>
              </w:rPr>
              <w:t>5,000 – 5,999</w:t>
            </w:r>
          </w:p>
        </w:tc>
        <w:tc>
          <w:tcPr>
            <w:tcW w:type="dxa" w:w="2340"/>
          </w:tcPr>
          <w:p>
            <w:pPr>
              <w:spacing w:line="240" w:lineRule="auto"/>
            </w:pPr>
            <w:r>
              <w:rPr>
                <w:sz w:val="18"/>
              </w:rPr>
            </w:r>
            <w:r>
              <w:rPr>
                <w:sz w:val="18"/>
              </w:rPr>
              <w:t>126</w:t>
            </w:r>
          </w:p>
        </w:tc>
        <w:tc>
          <w:tcPr>
            <w:tcW w:type="dxa" w:w="2340"/>
          </w:tcPr>
          <w:p>
            <w:pPr>
              <w:spacing w:line="240" w:lineRule="auto"/>
            </w:pPr>
            <w:r>
              <w:rPr>
                <w:sz w:val="18"/>
              </w:rPr>
            </w:r>
            <w:r>
              <w:rPr>
                <w:sz w:val="18"/>
              </w:rPr>
              <w:t>10.6%</w:t>
            </w:r>
          </w:p>
        </w:tc>
        <w:tc>
          <w:tcPr>
            <w:tcW w:type="dxa" w:w="2340"/>
          </w:tcPr>
          <w:p>
            <w:pPr>
              <w:spacing w:line="240" w:lineRule="auto"/>
            </w:pPr>
            <w:r>
              <w:rPr>
                <w:sz w:val="18"/>
              </w:rPr>
            </w:r>
            <w:r>
              <w:rPr>
                <w:sz w:val="18"/>
              </w:rPr>
              <w:t>58.9%</w:t>
            </w:r>
          </w:p>
        </w:tc>
      </w:tr>
      <w:tr>
        <w:tc>
          <w:tcPr>
            <w:tcW w:type="dxa" w:w="2340"/>
          </w:tcPr>
          <w:p>
            <w:pPr>
              <w:spacing w:line="240" w:lineRule="auto"/>
            </w:pPr>
            <w:r>
              <w:rPr>
                <w:sz w:val="18"/>
              </w:rPr>
            </w:r>
            <w:r>
              <w:rPr>
                <w:sz w:val="18"/>
              </w:rPr>
              <w:t>6,000 – 6,999</w:t>
            </w:r>
          </w:p>
        </w:tc>
        <w:tc>
          <w:tcPr>
            <w:tcW w:type="dxa" w:w="2340"/>
          </w:tcPr>
          <w:p>
            <w:pPr>
              <w:spacing w:line="240" w:lineRule="auto"/>
            </w:pPr>
            <w:r>
              <w:rPr>
                <w:sz w:val="18"/>
              </w:rPr>
            </w:r>
            <w:r>
              <w:rPr>
                <w:sz w:val="18"/>
              </w:rPr>
              <w:t>122</w:t>
            </w:r>
          </w:p>
        </w:tc>
        <w:tc>
          <w:tcPr>
            <w:tcW w:type="dxa" w:w="2340"/>
          </w:tcPr>
          <w:p>
            <w:pPr>
              <w:spacing w:line="240" w:lineRule="auto"/>
            </w:pPr>
            <w:r>
              <w:rPr>
                <w:sz w:val="18"/>
              </w:rPr>
            </w:r>
            <w:r>
              <w:rPr>
                <w:sz w:val="18"/>
              </w:rPr>
              <w:t>10.2%</w:t>
            </w:r>
          </w:p>
        </w:tc>
        <w:tc>
          <w:tcPr>
            <w:tcW w:type="dxa" w:w="2340"/>
          </w:tcPr>
          <w:p>
            <w:pPr>
              <w:spacing w:line="240" w:lineRule="auto"/>
            </w:pPr>
            <w:r>
              <w:rPr>
                <w:sz w:val="18"/>
              </w:rPr>
            </w:r>
            <w:r>
              <w:rPr>
                <w:sz w:val="18"/>
              </w:rPr>
              <w:t>69.1%</w:t>
            </w:r>
          </w:p>
        </w:tc>
      </w:tr>
      <w:tr>
        <w:tc>
          <w:tcPr>
            <w:tcW w:type="dxa" w:w="2340"/>
          </w:tcPr>
          <w:p>
            <w:pPr>
              <w:spacing w:line="240" w:lineRule="auto"/>
            </w:pPr>
            <w:r>
              <w:rPr>
                <w:sz w:val="18"/>
              </w:rPr>
            </w:r>
            <w:r>
              <w:rPr>
                <w:sz w:val="18"/>
              </w:rPr>
              <w:t>7,000 – 7,999</w:t>
            </w:r>
          </w:p>
        </w:tc>
        <w:tc>
          <w:tcPr>
            <w:tcW w:type="dxa" w:w="2340"/>
          </w:tcPr>
          <w:p>
            <w:pPr>
              <w:spacing w:line="240" w:lineRule="auto"/>
            </w:pPr>
            <w:r>
              <w:rPr>
                <w:sz w:val="18"/>
              </w:rPr>
            </w:r>
            <w:r>
              <w:rPr>
                <w:sz w:val="18"/>
              </w:rPr>
              <w:t>118</w:t>
            </w:r>
          </w:p>
        </w:tc>
        <w:tc>
          <w:tcPr>
            <w:tcW w:type="dxa" w:w="2340"/>
          </w:tcPr>
          <w:p>
            <w:pPr>
              <w:spacing w:line="240" w:lineRule="auto"/>
            </w:pPr>
            <w:r>
              <w:rPr>
                <w:sz w:val="18"/>
              </w:rPr>
            </w:r>
            <w:r>
              <w:rPr>
                <w:sz w:val="18"/>
              </w:rPr>
              <w:t>9.9%</w:t>
            </w:r>
          </w:p>
        </w:tc>
        <w:tc>
          <w:tcPr>
            <w:tcW w:type="dxa" w:w="2340"/>
          </w:tcPr>
          <w:p>
            <w:pPr>
              <w:spacing w:line="240" w:lineRule="auto"/>
            </w:pPr>
            <w:r>
              <w:rPr>
                <w:sz w:val="18"/>
              </w:rPr>
            </w:r>
            <w:r>
              <w:rPr>
                <w:sz w:val="18"/>
              </w:rPr>
              <w:t>79.0%</w:t>
            </w:r>
          </w:p>
        </w:tc>
      </w:tr>
      <w:tr>
        <w:tc>
          <w:tcPr>
            <w:tcW w:type="dxa" w:w="2340"/>
          </w:tcPr>
          <w:p>
            <w:pPr>
              <w:spacing w:line="240" w:lineRule="auto"/>
            </w:pPr>
            <w:r>
              <w:rPr>
                <w:sz w:val="18"/>
              </w:rPr>
            </w:r>
            <w:r>
              <w:rPr>
                <w:sz w:val="18"/>
              </w:rPr>
              <w:t>8,000 – 8,999</w:t>
            </w:r>
          </w:p>
        </w:tc>
        <w:tc>
          <w:tcPr>
            <w:tcW w:type="dxa" w:w="2340"/>
          </w:tcPr>
          <w:p>
            <w:pPr>
              <w:spacing w:line="240" w:lineRule="auto"/>
            </w:pPr>
            <w:r>
              <w:rPr>
                <w:sz w:val="18"/>
              </w:rPr>
            </w:r>
            <w:r>
              <w:rPr>
                <w:sz w:val="18"/>
              </w:rPr>
              <w:t>123</w:t>
            </w:r>
          </w:p>
        </w:tc>
        <w:tc>
          <w:tcPr>
            <w:tcW w:type="dxa" w:w="2340"/>
          </w:tcPr>
          <w:p>
            <w:pPr>
              <w:spacing w:line="240" w:lineRule="auto"/>
            </w:pPr>
            <w:r>
              <w:rPr>
                <w:sz w:val="18"/>
              </w:rPr>
            </w:r>
            <w:r>
              <w:rPr>
                <w:sz w:val="18"/>
              </w:rPr>
              <w:t>10.3%</w:t>
            </w:r>
          </w:p>
        </w:tc>
        <w:tc>
          <w:tcPr>
            <w:tcW w:type="dxa" w:w="2340"/>
          </w:tcPr>
          <w:p>
            <w:pPr>
              <w:spacing w:line="240" w:lineRule="auto"/>
            </w:pPr>
            <w:r>
              <w:rPr>
                <w:sz w:val="18"/>
              </w:rPr>
            </w:r>
            <w:r>
              <w:rPr>
                <w:sz w:val="18"/>
              </w:rPr>
              <w:t>89.3%</w:t>
            </w:r>
          </w:p>
        </w:tc>
      </w:tr>
      <w:tr>
        <w:tc>
          <w:tcPr>
            <w:tcW w:type="dxa" w:w="2340"/>
          </w:tcPr>
          <w:p>
            <w:pPr>
              <w:spacing w:line="240" w:lineRule="auto"/>
            </w:pPr>
            <w:r>
              <w:rPr>
                <w:sz w:val="18"/>
              </w:rPr>
            </w:r>
            <w:r>
              <w:rPr>
                <w:sz w:val="18"/>
              </w:rPr>
              <w:t>9,000 – 9,999</w:t>
            </w:r>
          </w:p>
        </w:tc>
        <w:tc>
          <w:tcPr>
            <w:tcW w:type="dxa" w:w="2340"/>
          </w:tcPr>
          <w:p>
            <w:pPr>
              <w:spacing w:line="240" w:lineRule="auto"/>
            </w:pPr>
            <w:r>
              <w:rPr>
                <w:sz w:val="18"/>
              </w:rPr>
            </w:r>
            <w:r>
              <w:rPr>
                <w:sz w:val="18"/>
              </w:rPr>
              <w:t>128</w:t>
            </w:r>
          </w:p>
        </w:tc>
        <w:tc>
          <w:tcPr>
            <w:tcW w:type="dxa" w:w="2340"/>
          </w:tcPr>
          <w:p>
            <w:pPr>
              <w:spacing w:line="240" w:lineRule="auto"/>
            </w:pPr>
            <w:r>
              <w:rPr>
                <w:sz w:val="18"/>
              </w:rPr>
            </w:r>
            <w:r>
              <w:rPr>
                <w:sz w:val="18"/>
              </w:rPr>
              <w:t>10.7%</w:t>
            </w:r>
          </w:p>
        </w:tc>
        <w:tc>
          <w:tcPr>
            <w:tcW w:type="dxa" w:w="2340"/>
          </w:tcPr>
          <w:p>
            <w:pPr>
              <w:spacing w:line="240" w:lineRule="auto"/>
            </w:pPr>
            <w:r>
              <w:rPr>
                <w:sz w:val="18"/>
              </w:rPr>
            </w:r>
            <w:r>
              <w:rPr>
                <w:sz w:val="18"/>
              </w:rPr>
              <w:t>100.0%</w:t>
            </w:r>
          </w:p>
        </w:tc>
      </w:tr>
      <w:tr>
        <w:tc>
          <w:tcPr>
            <w:tcW w:type="dxa" w:w="2340"/>
          </w:tcPr>
          <w:p>
            <w:pPr>
              <w:spacing w:line="240" w:lineRule="auto"/>
            </w:pPr>
            <w:r>
              <w:rPr>
                <w:sz w:val="18"/>
              </w:rPr>
            </w:r>
            <w:r>
              <w:rPr>
                <w:b/>
                <w:sz w:val="18"/>
              </w:rPr>
              <w:t>Total</w:t>
            </w:r>
          </w:p>
        </w:tc>
        <w:tc>
          <w:tcPr>
            <w:tcW w:type="dxa" w:w="2340"/>
          </w:tcPr>
          <w:p>
            <w:pPr>
              <w:spacing w:line="240" w:lineRule="auto"/>
            </w:pPr>
            <w:r>
              <w:rPr>
                <w:sz w:val="18"/>
              </w:rPr>
            </w:r>
            <w:r>
              <w:rPr>
                <w:b/>
                <w:sz w:val="18"/>
              </w:rPr>
              <w:t>1,194</w:t>
            </w:r>
          </w:p>
        </w:tc>
        <w:tc>
          <w:tcPr>
            <w:tcW w:type="dxa" w:w="2340"/>
          </w:tcPr>
          <w:p>
            <w:pPr>
              <w:spacing w:line="240" w:lineRule="auto"/>
            </w:pPr>
            <w:r>
              <w:rPr>
                <w:sz w:val="18"/>
              </w:rPr>
            </w:r>
            <w:r>
              <w:rPr>
                <w:b/>
                <w:sz w:val="18"/>
              </w:rPr>
              <w:t>100.0%</w:t>
            </w:r>
          </w:p>
        </w:tc>
        <w:tc>
          <w:tcPr>
            <w:tcW w:type="dxa" w:w="2340"/>
          </w:tcPr>
          <w:p>
            <w:pPr>
              <w:spacing w:line="240" w:lineRule="auto"/>
            </w:pPr>
            <w:r>
              <w:rPr>
                <w:sz w:val="18"/>
              </w:rPr>
            </w:r>
            <w:r>
              <w:rPr>
                <w:sz w:val="18"/>
              </w:rPr>
              <w:t>—</w:t>
            </w:r>
          </w:p>
        </w:tc>
      </w:tr>
    </w:tbl>
    <w:p>
      <w:pPr>
        <w:spacing w:after="200" w:line="240" w:lineRule="auto"/>
        <w:jc w:val="center"/>
      </w:pPr>
      <w:r>
        <w:rPr>
          <w:i/>
          <w:color w:val="7B8994"/>
          <w:sz w:val="20"/>
        </w:rPr>
        <w:t>Table 5. Frequency distribution of transaction Amount, ten bins of 1,000.</w:t>
      </w:r>
    </w:p>
    <w:p>
      <w:r>
        <w:t>No bin holds more than 11.4% of the rows and none holds less than 7.0%. A normal distribution would concentrate around the mean and thin out at both tails; this is close to flat, which is the shape a random number generator produces. Read the shape, not only the summary statistics.</w:t>
      </w:r>
    </w:p>
    <w:p>
      <w:pPr>
        <w:jc w:val="center"/>
      </w:pPr>
      <w:r>
        <w:drawing>
          <wp:inline xmlns:a="http://schemas.openxmlformats.org/drawingml/2006/main" xmlns:pic="http://schemas.openxmlformats.org/drawingml/2006/picture">
            <wp:extent cx="5486400" cy="3207838"/>
            <wp:docPr id="1" name="Picture 1"/>
            <wp:cNvGraphicFramePr>
              <a:graphicFrameLocks noChangeAspect="1"/>
            </wp:cNvGraphicFramePr>
            <a:graphic>
              <a:graphicData uri="http://schemas.openxmlformats.org/drawingml/2006/picture">
                <pic:pic>
                  <pic:nvPicPr>
                    <pic:cNvPr id="0" name="cp2_fig1_histogram.png"/>
                    <pic:cNvPicPr/>
                  </pic:nvPicPr>
                  <pic:blipFill>
                    <a:blip r:embed="rId9"/>
                    <a:stretch>
                      <a:fillRect/>
                    </a:stretch>
                  </pic:blipFill>
                  <pic:spPr>
                    <a:xfrm>
                      <a:off x="0" y="0"/>
                      <a:ext cx="5486400" cy="3207838"/>
                    </a:xfrm>
                    <a:prstGeom prst="rect"/>
                  </pic:spPr>
                </pic:pic>
              </a:graphicData>
            </a:graphic>
          </wp:inline>
        </w:drawing>
      </w:r>
    </w:p>
    <w:p>
      <w:pPr>
        <w:spacing w:after="200" w:line="240" w:lineRule="auto"/>
        <w:jc w:val="center"/>
      </w:pPr>
      <w:r>
        <w:rPr>
          <w:i/>
          <w:color w:val="7B8994"/>
          <w:sz w:val="20"/>
        </w:rPr>
        <w:t>Figure 1. Frequency distribution of transaction Amount. The flat shape indicates a uniform, not normal, distribution.</w:t>
      </w:r>
    </w:p>
    <w:p>
      <w:r>
        <w:br w:type="page"/>
      </w:r>
    </w:p>
    <w:p>
      <w:pPr>
        <w:pStyle w:val="Heading1"/>
      </w:pPr>
      <w:r>
        <w:t>Task 2.3 — Correlation Analysis</w:t>
      </w:r>
    </w:p>
    <w:p>
      <w:pPr>
        <w:pStyle w:val="Heading2"/>
      </w:pPr>
      <w:r>
        <w:t>Pair 1 — Monthly orders vs monthly revenue</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Measure</w:t>
            </w:r>
          </w:p>
        </w:tc>
        <w:tc>
          <w:tcPr>
            <w:tcW w:type="dxa" w:w="4680"/>
          </w:tcPr>
          <w:p>
            <w:r>
              <w:rPr>
                <w:b/>
              </w:rPr>
            </w:r>
            <w:r>
              <w:rPr>
                <w:b/>
              </w:rPr>
              <w:t>Value</w:t>
            </w:r>
          </w:p>
        </w:tc>
      </w:tr>
      <w:tr>
        <w:tc>
          <w:tcPr>
            <w:tcW w:type="dxa" w:w="4680"/>
          </w:tcPr>
          <w:p>
            <w:pPr>
              <w:spacing w:line="240" w:lineRule="auto"/>
            </w:pPr>
            <w:r>
              <w:rPr>
                <w:sz w:val="18"/>
              </w:rPr>
            </w:r>
            <w:r>
              <w:rPr>
                <w:sz w:val="18"/>
              </w:rPr>
              <w:t>Pearson r</w:t>
            </w:r>
          </w:p>
        </w:tc>
        <w:tc>
          <w:tcPr>
            <w:tcW w:type="dxa" w:w="4680"/>
          </w:tcPr>
          <w:p>
            <w:pPr>
              <w:spacing w:line="240" w:lineRule="auto"/>
            </w:pPr>
            <w:r>
              <w:rPr>
                <w:sz w:val="18"/>
              </w:rPr>
            </w:r>
            <w:r>
              <w:rPr>
                <w:b/>
                <w:sz w:val="18"/>
              </w:rPr>
              <w:t>+0.9227</w:t>
            </w:r>
          </w:p>
        </w:tc>
      </w:tr>
      <w:tr>
        <w:tc>
          <w:tcPr>
            <w:tcW w:type="dxa" w:w="4680"/>
          </w:tcPr>
          <w:p>
            <w:pPr>
              <w:spacing w:line="240" w:lineRule="auto"/>
            </w:pPr>
            <w:r>
              <w:rPr>
                <w:sz w:val="18"/>
              </w:rPr>
            </w:r>
            <w:r>
              <w:rPr>
                <w:sz w:val="18"/>
              </w:rPr>
              <w:t>r²</w:t>
            </w:r>
          </w:p>
        </w:tc>
        <w:tc>
          <w:tcPr>
            <w:tcW w:type="dxa" w:w="4680"/>
          </w:tcPr>
          <w:p>
            <w:pPr>
              <w:spacing w:line="240" w:lineRule="auto"/>
            </w:pPr>
            <w:r>
              <w:rPr>
                <w:sz w:val="18"/>
              </w:rPr>
            </w:r>
            <w:r>
              <w:rPr>
                <w:sz w:val="18"/>
              </w:rPr>
              <w:t>0.8514</w:t>
            </w:r>
          </w:p>
        </w:tc>
      </w:tr>
      <w:tr>
        <w:tc>
          <w:tcPr>
            <w:tcW w:type="dxa" w:w="4680"/>
          </w:tcPr>
          <w:p>
            <w:pPr>
              <w:spacing w:line="240" w:lineRule="auto"/>
            </w:pPr>
            <w:r>
              <w:rPr>
                <w:sz w:val="18"/>
              </w:rPr>
            </w:r>
            <w:r>
              <w:rPr>
                <w:sz w:val="18"/>
              </w:rPr>
              <w:t>p-value</w:t>
            </w:r>
          </w:p>
        </w:tc>
        <w:tc>
          <w:tcPr>
            <w:tcW w:type="dxa" w:w="4680"/>
          </w:tcPr>
          <w:p>
            <w:pPr>
              <w:spacing w:line="240" w:lineRule="auto"/>
            </w:pPr>
            <w:r>
              <w:rPr>
                <w:sz w:val="18"/>
              </w:rPr>
            </w:r>
            <w:r>
              <w:rPr>
                <w:sz w:val="18"/>
              </w:rPr>
              <w:t>1.98 × 10⁻²⁴</w:t>
            </w:r>
          </w:p>
        </w:tc>
      </w:tr>
      <w:tr>
        <w:tc>
          <w:tcPr>
            <w:tcW w:type="dxa" w:w="4680"/>
          </w:tcPr>
          <w:p>
            <w:pPr>
              <w:spacing w:line="240" w:lineRule="auto"/>
            </w:pPr>
            <w:r>
              <w:rPr>
                <w:sz w:val="18"/>
              </w:rPr>
            </w:r>
            <w:r>
              <w:rPr>
                <w:sz w:val="18"/>
              </w:rPr>
              <w:t>n</w:t>
            </w:r>
          </w:p>
        </w:tc>
        <w:tc>
          <w:tcPr>
            <w:tcW w:type="dxa" w:w="4680"/>
          </w:tcPr>
          <w:p>
            <w:pPr>
              <w:spacing w:line="240" w:lineRule="auto"/>
            </w:pPr>
            <w:r>
              <w:rPr>
                <w:sz w:val="18"/>
              </w:rPr>
            </w:r>
            <w:r>
              <w:rPr>
                <w:sz w:val="18"/>
              </w:rPr>
              <w:t>57 months</w:t>
            </w:r>
          </w:p>
        </w:tc>
      </w:tr>
      <w:tr>
        <w:tc>
          <w:tcPr>
            <w:tcW w:type="dxa" w:w="4680"/>
          </w:tcPr>
          <w:p>
            <w:pPr>
              <w:spacing w:line="240" w:lineRule="auto"/>
            </w:pPr>
            <w:r>
              <w:rPr>
                <w:sz w:val="18"/>
              </w:rPr>
            </w:r>
            <w:r>
              <w:rPr>
                <w:sz w:val="18"/>
              </w:rPr>
              <w:t>Direction</w:t>
            </w:r>
          </w:p>
        </w:tc>
        <w:tc>
          <w:tcPr>
            <w:tcW w:type="dxa" w:w="4680"/>
          </w:tcPr>
          <w:p>
            <w:pPr>
              <w:spacing w:line="240" w:lineRule="auto"/>
            </w:pPr>
            <w:r>
              <w:rPr>
                <w:sz w:val="18"/>
              </w:rPr>
            </w:r>
            <w:r>
              <w:rPr>
                <w:sz w:val="18"/>
              </w:rPr>
              <w:t>Positive</w:t>
            </w:r>
          </w:p>
        </w:tc>
      </w:tr>
      <w:tr>
        <w:tc>
          <w:tcPr>
            <w:tcW w:type="dxa" w:w="4680"/>
          </w:tcPr>
          <w:p>
            <w:pPr>
              <w:spacing w:line="240" w:lineRule="auto"/>
            </w:pPr>
            <w:r>
              <w:rPr>
                <w:sz w:val="18"/>
              </w:rPr>
            </w:r>
            <w:r>
              <w:rPr>
                <w:sz w:val="18"/>
              </w:rPr>
              <w:t>Strength</w:t>
            </w:r>
          </w:p>
        </w:tc>
        <w:tc>
          <w:tcPr>
            <w:tcW w:type="dxa" w:w="4680"/>
          </w:tcPr>
          <w:p>
            <w:pPr>
              <w:spacing w:line="240" w:lineRule="auto"/>
            </w:pPr>
            <w:r>
              <w:rPr>
                <w:sz w:val="18"/>
              </w:rPr>
            </w:r>
            <w:r>
              <w:rPr>
                <w:b/>
                <w:sz w:val="18"/>
              </w:rPr>
              <w:t>Strong</w:t>
            </w:r>
          </w:p>
        </w:tc>
      </w:tr>
    </w:tbl>
    <w:p>
      <w:pPr>
        <w:spacing w:after="200" w:line="240" w:lineRule="auto"/>
        <w:jc w:val="center"/>
      </w:pPr>
      <w:r>
        <w:rPr>
          <w:i/>
          <w:color w:val="7B8994"/>
          <w:sz w:val="20"/>
        </w:rPr>
        <w:t>Table 6. Correlation between monthly order count and monthly revenue.</w:t>
      </w:r>
    </w:p>
    <w:p>
      <w:r>
        <w:rPr>
          <w:b/>
        </w:rPr>
        <w:t>Interpretation.</w:t>
      </w:r>
      <w:r>
        <w:t xml:space="preserve"> A very strong positive relationship: months with more orders have proportionally more revenue, and order count alone accounts for about </w:t>
      </w:r>
      <w:r>
        <w:rPr>
          <w:b/>
        </w:rPr>
        <w:t>85% of the variation</w:t>
      </w:r>
      <w:r>
        <w:t xml:space="preserve"> in monthly revenue. The p-value is far below 0.05, so this is not chance.</w:t>
      </w:r>
    </w:p>
    <w:p>
      <w:r>
        <w:t xml:space="preserve">This is the statistical form of the Checkpoint 1 finding. Checkpoint 1 observed that revenue fell while average order value stayed flat, and inferred that order </w:t>
      </w:r>
      <w:r>
        <w:rPr>
          <w:i/>
        </w:rPr>
        <w:t>count</w:t>
      </w:r>
      <w:r>
        <w:t xml:space="preserve"> was doing the work. This tests that inference and confirms it. The business implication is direct: revenue is won by increasing the </w:t>
      </w:r>
      <w:r>
        <w:rPr>
          <w:i/>
        </w:rPr>
        <w:t>number</w:t>
      </w:r>
      <w:r>
        <w:t xml:space="preserve"> of transactions, not the size of each one.</w:t>
      </w:r>
    </w:p>
    <w:p>
      <w:pPr>
        <w:pStyle w:val="Heading2"/>
      </w:pPr>
      <w:r>
        <w:t>Pair 2 — Line quantity vs line amount</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Measure</w:t>
            </w:r>
          </w:p>
        </w:tc>
        <w:tc>
          <w:tcPr>
            <w:tcW w:type="dxa" w:w="4680"/>
          </w:tcPr>
          <w:p>
            <w:r>
              <w:rPr>
                <w:b/>
              </w:rPr>
            </w:r>
            <w:r>
              <w:rPr>
                <w:b/>
              </w:rPr>
              <w:t>Value</w:t>
            </w:r>
          </w:p>
        </w:tc>
      </w:tr>
      <w:tr>
        <w:tc>
          <w:tcPr>
            <w:tcW w:type="dxa" w:w="4680"/>
          </w:tcPr>
          <w:p>
            <w:pPr>
              <w:spacing w:line="240" w:lineRule="auto"/>
            </w:pPr>
            <w:r>
              <w:rPr>
                <w:sz w:val="18"/>
              </w:rPr>
            </w:r>
            <w:r>
              <w:rPr>
                <w:sz w:val="18"/>
              </w:rPr>
              <w:t>Pearson r</w:t>
            </w:r>
          </w:p>
        </w:tc>
        <w:tc>
          <w:tcPr>
            <w:tcW w:type="dxa" w:w="4680"/>
          </w:tcPr>
          <w:p>
            <w:pPr>
              <w:spacing w:line="240" w:lineRule="auto"/>
            </w:pPr>
            <w:r>
              <w:rPr>
                <w:sz w:val="18"/>
              </w:rPr>
            </w:r>
            <w:r>
              <w:rPr>
                <w:b/>
                <w:sz w:val="18"/>
              </w:rPr>
              <w:t>+0.0446</w:t>
            </w:r>
          </w:p>
        </w:tc>
      </w:tr>
      <w:tr>
        <w:tc>
          <w:tcPr>
            <w:tcW w:type="dxa" w:w="4680"/>
          </w:tcPr>
          <w:p>
            <w:pPr>
              <w:spacing w:line="240" w:lineRule="auto"/>
            </w:pPr>
            <w:r>
              <w:rPr>
                <w:sz w:val="18"/>
              </w:rPr>
            </w:r>
            <w:r>
              <w:rPr>
                <w:sz w:val="18"/>
              </w:rPr>
              <w:t>r²</w:t>
            </w:r>
          </w:p>
        </w:tc>
        <w:tc>
          <w:tcPr>
            <w:tcW w:type="dxa" w:w="4680"/>
          </w:tcPr>
          <w:p>
            <w:pPr>
              <w:spacing w:line="240" w:lineRule="auto"/>
            </w:pPr>
            <w:r>
              <w:rPr>
                <w:sz w:val="18"/>
              </w:rPr>
            </w:r>
            <w:r>
              <w:rPr>
                <w:sz w:val="18"/>
              </w:rPr>
              <w:t>0.0020</w:t>
            </w:r>
          </w:p>
        </w:tc>
      </w:tr>
      <w:tr>
        <w:tc>
          <w:tcPr>
            <w:tcW w:type="dxa" w:w="4680"/>
          </w:tcPr>
          <w:p>
            <w:pPr>
              <w:spacing w:line="240" w:lineRule="auto"/>
            </w:pPr>
            <w:r>
              <w:rPr>
                <w:sz w:val="18"/>
              </w:rPr>
            </w:r>
            <w:r>
              <w:rPr>
                <w:sz w:val="18"/>
              </w:rPr>
              <w:t>p-value</w:t>
            </w:r>
          </w:p>
        </w:tc>
        <w:tc>
          <w:tcPr>
            <w:tcW w:type="dxa" w:w="4680"/>
          </w:tcPr>
          <w:p>
            <w:pPr>
              <w:spacing w:line="240" w:lineRule="auto"/>
            </w:pPr>
            <w:r>
              <w:rPr>
                <w:sz w:val="18"/>
              </w:rPr>
            </w:r>
            <w:r>
              <w:rPr>
                <w:sz w:val="18"/>
              </w:rPr>
              <w:t>0.123</w:t>
            </w:r>
          </w:p>
        </w:tc>
      </w:tr>
      <w:tr>
        <w:tc>
          <w:tcPr>
            <w:tcW w:type="dxa" w:w="4680"/>
          </w:tcPr>
          <w:p>
            <w:pPr>
              <w:spacing w:line="240" w:lineRule="auto"/>
            </w:pPr>
            <w:r>
              <w:rPr>
                <w:sz w:val="18"/>
              </w:rPr>
            </w:r>
            <w:r>
              <w:rPr>
                <w:sz w:val="18"/>
              </w:rPr>
              <w:t>n</w:t>
            </w:r>
          </w:p>
        </w:tc>
        <w:tc>
          <w:tcPr>
            <w:tcW w:type="dxa" w:w="4680"/>
          </w:tcPr>
          <w:p>
            <w:pPr>
              <w:spacing w:line="240" w:lineRule="auto"/>
            </w:pPr>
            <w:r>
              <w:rPr>
                <w:sz w:val="18"/>
              </w:rPr>
            </w:r>
            <w:r>
              <w:rPr>
                <w:sz w:val="18"/>
              </w:rPr>
              <w:t>1,194 lines</w:t>
            </w:r>
          </w:p>
        </w:tc>
      </w:tr>
      <w:tr>
        <w:tc>
          <w:tcPr>
            <w:tcW w:type="dxa" w:w="4680"/>
          </w:tcPr>
          <w:p>
            <w:pPr>
              <w:spacing w:line="240" w:lineRule="auto"/>
            </w:pPr>
            <w:r>
              <w:rPr>
                <w:sz w:val="18"/>
              </w:rPr>
            </w:r>
            <w:r>
              <w:rPr>
                <w:sz w:val="18"/>
              </w:rPr>
              <w:t>Strength</w:t>
            </w:r>
          </w:p>
        </w:tc>
        <w:tc>
          <w:tcPr>
            <w:tcW w:type="dxa" w:w="4680"/>
          </w:tcPr>
          <w:p>
            <w:pPr>
              <w:spacing w:line="240" w:lineRule="auto"/>
            </w:pPr>
            <w:r>
              <w:rPr>
                <w:sz w:val="18"/>
              </w:rPr>
            </w:r>
            <w:r>
              <w:rPr>
                <w:b/>
                <w:sz w:val="18"/>
              </w:rPr>
              <w:t>Negligible — not significant at 5%</w:t>
            </w:r>
          </w:p>
        </w:tc>
      </w:tr>
    </w:tbl>
    <w:p>
      <w:pPr>
        <w:spacing w:after="200" w:line="240" w:lineRule="auto"/>
        <w:jc w:val="center"/>
      </w:pPr>
      <w:r>
        <w:rPr>
          <w:i/>
          <w:color w:val="7B8994"/>
          <w:sz w:val="20"/>
        </w:rPr>
        <w:t>Table 7. Correlation between units sold and order value at the transaction-line level.</w:t>
      </w:r>
    </w:p>
    <w:p>
      <w:r>
        <w:rPr>
          <w:b/>
        </w:rPr>
        <w:t>Interpretation.</w:t>
      </w:r>
      <w:r>
        <w:t xml:space="preserve"> Essentially no relationship. Units sold explains </w:t>
      </w:r>
      <w:r>
        <w:rPr>
          <w:b/>
        </w:rPr>
        <w:t>0.2%</w:t>
      </w:r>
      <w:r>
        <w:t xml:space="preserve"> of the variation in order value, and at p = 0.123 we cannot reject the hypothesis that the true correlation is zero. A 20-unit order is worth no more, on average, than a 2-unit order.</w:t>
      </w:r>
    </w:p>
    <w:p>
      <w:r>
        <w:t>This is a negative result, and it is the more useful of the two. The intuitive assumption — sell more units, earn more revenue — is false in this dataset, because unit price varies so widely across the twelve sub-categories that volume carries no information about value. Practically: a sales incentive built on units shifted would not raise revenue, and "units sold" should not be used as a performance measure here.</w:t>
      </w:r>
    </w:p>
    <w:p>
      <w:pPr>
        <w:pStyle w:val="Heading2"/>
      </w:pPr>
      <w:r>
        <w:t>Supporting check — line amount vs line profit</w:t>
      </w:r>
    </w:p>
    <w:p>
      <w:r>
        <w:t xml:space="preserve">r = </w:t>
      </w:r>
      <w:r>
        <w:rPr>
          <w:b/>
        </w:rPr>
        <w:t>+0.6753</w:t>
      </w:r>
      <w:r>
        <w:t xml:space="preserve">, r² = 0.456, p &lt; 0.001, n = 1,194. A moderate-to-strong positive relationship, but notably </w:t>
      </w:r>
      <w:r>
        <w:rPr>
          <w:i/>
        </w:rPr>
        <w:t>not</w:t>
      </w:r>
      <w:r>
        <w:t xml:space="preserve"> near 1.0: only 46% of profit variation tracks revenue. The remaining 54% is differences in margin between products. This supports the Task 2.2 observation that revenue is a weak proxy for profit.</w:t>
      </w:r>
    </w:p>
    <w:p>
      <w:pPr>
        <w:jc w:val="center"/>
      </w:pPr>
      <w:r>
        <w:drawing>
          <wp:inline xmlns:a="http://schemas.openxmlformats.org/drawingml/2006/main" xmlns:pic="http://schemas.openxmlformats.org/drawingml/2006/picture">
            <wp:extent cx="5486400" cy="3319503"/>
            <wp:docPr id="2" name="Picture 2"/>
            <wp:cNvGraphicFramePr>
              <a:graphicFrameLocks noChangeAspect="1"/>
            </wp:cNvGraphicFramePr>
            <a:graphic>
              <a:graphicData uri="http://schemas.openxmlformats.org/drawingml/2006/picture">
                <pic:pic>
                  <pic:nvPicPr>
                    <pic:cNvPr id="0" name="cp2_fig3_no_correlation.png"/>
                    <pic:cNvPicPr/>
                  </pic:nvPicPr>
                  <pic:blipFill>
                    <a:blip r:embed="rId10"/>
                    <a:stretch>
                      <a:fillRect/>
                    </a:stretch>
                  </pic:blipFill>
                  <pic:spPr>
                    <a:xfrm>
                      <a:off x="0" y="0"/>
                      <a:ext cx="5486400" cy="3319503"/>
                    </a:xfrm>
                    <a:prstGeom prst="rect"/>
                  </pic:spPr>
                </pic:pic>
              </a:graphicData>
            </a:graphic>
          </wp:inline>
        </w:drawing>
      </w:r>
    </w:p>
    <w:p>
      <w:pPr>
        <w:spacing w:after="200" w:line="240" w:lineRule="auto"/>
        <w:jc w:val="center"/>
      </w:pPr>
      <w:r>
        <w:rPr>
          <w:i/>
          <w:color w:val="7B8994"/>
          <w:sz w:val="20"/>
        </w:rPr>
        <w:t>Figure 2. Quantity against Amount at line level. The near-flat trendline is the finding.</w:t>
      </w:r>
    </w:p>
    <w:p>
      <w:r>
        <w:br w:type="page"/>
      </w:r>
    </w:p>
    <w:p>
      <w:pPr>
        <w:pStyle w:val="Heading1"/>
      </w:pPr>
      <w:r>
        <w:t>Task 2.4 — Simple Linear Regression</w:t>
      </w:r>
    </w:p>
    <w:p>
      <w:pPr>
        <w:pStyle w:val="Heading2"/>
      </w:pPr>
      <w:r>
        <w:t>Variables and why they were chosen</w:t>
      </w:r>
    </w:p>
    <w:p>
      <w:pPr>
        <w:pStyle w:val="ListBullet"/>
      </w:pPr>
      <w:r>
        <w:rPr>
          <w:b/>
        </w:rPr>
        <w:t>Dependent variable (Y):</w:t>
      </w:r>
      <w:r>
        <w:t xml:space="preserve"> monthly revenue</w:t>
      </w:r>
    </w:p>
    <w:p>
      <w:pPr>
        <w:pStyle w:val="ListBullet"/>
      </w:pPr>
      <w:r>
        <w:rPr>
          <w:b/>
        </w:rPr>
        <w:t>Predictor (X):</w:t>
      </w:r>
      <w:r>
        <w:t xml:space="preserve"> number of orders placed in that month</w:t>
      </w:r>
    </w:p>
    <w:p>
      <w:r>
        <w:t xml:space="preserve">Chosen for three reasons: it tests the central Checkpoint 1 claim rather than asserting it; it had by far the strongest correlation of any pair examined; and it is </w:t>
      </w:r>
      <w:r>
        <w:rPr>
          <w:i/>
        </w:rPr>
        <w:t>actionable</w:t>
      </w:r>
      <w:r>
        <w:t xml:space="preserve"> — a business can influence how many orders it wins far more readily than how large each one is.</w:t>
      </w:r>
    </w:p>
    <w:p>
      <w:pPr>
        <w:pStyle w:val="Heading2"/>
      </w:pPr>
      <w:r>
        <w:t>Regression output</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Statistic</w:t>
            </w:r>
          </w:p>
        </w:tc>
        <w:tc>
          <w:tcPr>
            <w:tcW w:type="dxa" w:w="4680"/>
          </w:tcPr>
          <w:p>
            <w:r>
              <w:rPr>
                <w:b/>
              </w:rPr>
            </w:r>
            <w:r>
              <w:rPr>
                <w:b/>
              </w:rPr>
              <w:t>Value</w:t>
            </w:r>
          </w:p>
        </w:tc>
      </w:tr>
      <w:tr>
        <w:tc>
          <w:tcPr>
            <w:tcW w:type="dxa" w:w="4680"/>
          </w:tcPr>
          <w:p>
            <w:pPr>
              <w:spacing w:line="240" w:lineRule="auto"/>
            </w:pPr>
            <w:r>
              <w:rPr>
                <w:sz w:val="18"/>
              </w:rPr>
            </w:r>
            <w:r>
              <w:rPr>
                <w:sz w:val="18"/>
              </w:rPr>
              <w:t>Sample size n</w:t>
            </w:r>
          </w:p>
        </w:tc>
        <w:tc>
          <w:tcPr>
            <w:tcW w:type="dxa" w:w="4680"/>
          </w:tcPr>
          <w:p>
            <w:pPr>
              <w:spacing w:line="240" w:lineRule="auto"/>
            </w:pPr>
            <w:r>
              <w:rPr>
                <w:sz w:val="18"/>
              </w:rPr>
            </w:r>
            <w:r>
              <w:rPr>
                <w:sz w:val="18"/>
              </w:rPr>
              <w:t>57 months</w:t>
            </w:r>
          </w:p>
        </w:tc>
      </w:tr>
      <w:tr>
        <w:tc>
          <w:tcPr>
            <w:tcW w:type="dxa" w:w="4680"/>
          </w:tcPr>
          <w:p>
            <w:pPr>
              <w:spacing w:line="240" w:lineRule="auto"/>
            </w:pPr>
            <w:r>
              <w:rPr>
                <w:sz w:val="18"/>
              </w:rPr>
            </w:r>
            <w:r>
              <w:rPr>
                <w:sz w:val="18"/>
              </w:rPr>
              <w:t>Slope (b)</w:t>
            </w:r>
          </w:p>
        </w:tc>
        <w:tc>
          <w:tcPr>
            <w:tcW w:type="dxa" w:w="4680"/>
          </w:tcPr>
          <w:p>
            <w:pPr>
              <w:spacing w:line="240" w:lineRule="auto"/>
            </w:pPr>
            <w:r>
              <w:rPr>
                <w:sz w:val="18"/>
              </w:rPr>
            </w:r>
            <w:r>
              <w:rPr>
                <w:b/>
                <w:sz w:val="18"/>
              </w:rPr>
              <w:t>5,224.25</w:t>
            </w:r>
          </w:p>
        </w:tc>
      </w:tr>
      <w:tr>
        <w:tc>
          <w:tcPr>
            <w:tcW w:type="dxa" w:w="4680"/>
          </w:tcPr>
          <w:p>
            <w:pPr>
              <w:spacing w:line="240" w:lineRule="auto"/>
            </w:pPr>
            <w:r>
              <w:rPr>
                <w:sz w:val="18"/>
              </w:rPr>
            </w:r>
            <w:r>
              <w:rPr>
                <w:sz w:val="18"/>
              </w:rPr>
              <w:t>Intercept (a)</w:t>
            </w:r>
          </w:p>
        </w:tc>
        <w:tc>
          <w:tcPr>
            <w:tcW w:type="dxa" w:w="4680"/>
          </w:tcPr>
          <w:p>
            <w:pPr>
              <w:spacing w:line="240" w:lineRule="auto"/>
            </w:pPr>
            <w:r>
              <w:rPr>
                <w:sz w:val="18"/>
              </w:rPr>
            </w:r>
            <w:r>
              <w:rPr>
                <w:sz w:val="18"/>
              </w:rPr>
              <w:t>−1,353.65</w:t>
            </w:r>
          </w:p>
        </w:tc>
      </w:tr>
      <w:tr>
        <w:tc>
          <w:tcPr>
            <w:tcW w:type="dxa" w:w="4680"/>
          </w:tcPr>
          <w:p>
            <w:pPr>
              <w:spacing w:line="240" w:lineRule="auto"/>
            </w:pPr>
            <w:r>
              <w:rPr>
                <w:sz w:val="18"/>
              </w:rPr>
            </w:r>
            <w:r>
              <w:rPr>
                <w:sz w:val="18"/>
              </w:rPr>
              <w:t>Correlation r</w:t>
            </w:r>
          </w:p>
        </w:tc>
        <w:tc>
          <w:tcPr>
            <w:tcW w:type="dxa" w:w="4680"/>
          </w:tcPr>
          <w:p>
            <w:pPr>
              <w:spacing w:line="240" w:lineRule="auto"/>
            </w:pPr>
            <w:r>
              <w:rPr>
                <w:sz w:val="18"/>
              </w:rPr>
            </w:r>
            <w:r>
              <w:rPr>
                <w:sz w:val="18"/>
              </w:rPr>
              <w:t>0.9227</w:t>
            </w:r>
          </w:p>
        </w:tc>
      </w:tr>
      <w:tr>
        <w:tc>
          <w:tcPr>
            <w:tcW w:type="dxa" w:w="4680"/>
          </w:tcPr>
          <w:p>
            <w:pPr>
              <w:spacing w:line="240" w:lineRule="auto"/>
            </w:pPr>
            <w:r>
              <w:rPr>
                <w:sz w:val="18"/>
              </w:rPr>
            </w:r>
            <w:r>
              <w:rPr>
                <w:b/>
                <w:sz w:val="18"/>
              </w:rPr>
              <w:t>R²</w:t>
            </w:r>
          </w:p>
        </w:tc>
        <w:tc>
          <w:tcPr>
            <w:tcW w:type="dxa" w:w="4680"/>
          </w:tcPr>
          <w:p>
            <w:pPr>
              <w:spacing w:line="240" w:lineRule="auto"/>
            </w:pPr>
            <w:r>
              <w:rPr>
                <w:sz w:val="18"/>
              </w:rPr>
            </w:r>
            <w:r>
              <w:rPr>
                <w:b/>
                <w:sz w:val="18"/>
              </w:rPr>
              <w:t>0.8514</w:t>
            </w:r>
          </w:p>
        </w:tc>
      </w:tr>
      <w:tr>
        <w:tc>
          <w:tcPr>
            <w:tcW w:type="dxa" w:w="4680"/>
          </w:tcPr>
          <w:p>
            <w:pPr>
              <w:spacing w:line="240" w:lineRule="auto"/>
            </w:pPr>
            <w:r>
              <w:rPr>
                <w:sz w:val="18"/>
              </w:rPr>
            </w:r>
            <w:r>
              <w:rPr>
                <w:sz w:val="18"/>
              </w:rPr>
              <w:t>Standard error of estimate</w:t>
            </w:r>
          </w:p>
        </w:tc>
        <w:tc>
          <w:tcPr>
            <w:tcW w:type="dxa" w:w="4680"/>
          </w:tcPr>
          <w:p>
            <w:pPr>
              <w:spacing w:line="240" w:lineRule="auto"/>
            </w:pPr>
            <w:r>
              <w:rPr>
                <w:sz w:val="18"/>
              </w:rPr>
            </w:r>
            <w:r>
              <w:rPr>
                <w:sz w:val="18"/>
              </w:rPr>
              <w:t>15,099.14</w:t>
            </w:r>
          </w:p>
        </w:tc>
      </w:tr>
      <w:tr>
        <w:tc>
          <w:tcPr>
            <w:tcW w:type="dxa" w:w="4680"/>
          </w:tcPr>
          <w:p>
            <w:pPr>
              <w:spacing w:line="240" w:lineRule="auto"/>
            </w:pPr>
            <w:r>
              <w:rPr>
                <w:sz w:val="18"/>
              </w:rPr>
            </w:r>
            <w:r>
              <w:rPr>
                <w:sz w:val="18"/>
              </w:rPr>
              <w:t>Standard error of slope</w:t>
            </w:r>
          </w:p>
        </w:tc>
        <w:tc>
          <w:tcPr>
            <w:tcW w:type="dxa" w:w="4680"/>
          </w:tcPr>
          <w:p>
            <w:pPr>
              <w:spacing w:line="240" w:lineRule="auto"/>
            </w:pPr>
            <w:r>
              <w:rPr>
                <w:sz w:val="18"/>
              </w:rPr>
            </w:r>
            <w:r>
              <w:rPr>
                <w:sz w:val="18"/>
              </w:rPr>
              <w:t>294.35</w:t>
            </w:r>
          </w:p>
        </w:tc>
      </w:tr>
      <w:tr>
        <w:tc>
          <w:tcPr>
            <w:tcW w:type="dxa" w:w="4680"/>
          </w:tcPr>
          <w:p>
            <w:pPr>
              <w:spacing w:line="240" w:lineRule="auto"/>
            </w:pPr>
            <w:r>
              <w:rPr>
                <w:sz w:val="18"/>
              </w:rPr>
            </w:r>
            <w:r>
              <w:rPr>
                <w:b/>
                <w:sz w:val="18"/>
              </w:rPr>
              <w:t>t statistic</w:t>
            </w:r>
          </w:p>
        </w:tc>
        <w:tc>
          <w:tcPr>
            <w:tcW w:type="dxa" w:w="4680"/>
          </w:tcPr>
          <w:p>
            <w:pPr>
              <w:spacing w:line="240" w:lineRule="auto"/>
            </w:pPr>
            <w:r>
              <w:rPr>
                <w:sz w:val="18"/>
              </w:rPr>
            </w:r>
            <w:r>
              <w:rPr>
                <w:b/>
                <w:sz w:val="18"/>
              </w:rPr>
              <w:t>17.75</w:t>
            </w:r>
          </w:p>
        </w:tc>
      </w:tr>
      <w:tr>
        <w:tc>
          <w:tcPr>
            <w:tcW w:type="dxa" w:w="4680"/>
          </w:tcPr>
          <w:p>
            <w:pPr>
              <w:spacing w:line="240" w:lineRule="auto"/>
            </w:pPr>
            <w:r>
              <w:rPr>
                <w:sz w:val="18"/>
              </w:rPr>
            </w:r>
            <w:r>
              <w:rPr>
                <w:sz w:val="18"/>
              </w:rPr>
              <w:t>Degrees of freedom</w:t>
            </w:r>
          </w:p>
        </w:tc>
        <w:tc>
          <w:tcPr>
            <w:tcW w:type="dxa" w:w="4680"/>
          </w:tcPr>
          <w:p>
            <w:pPr>
              <w:spacing w:line="240" w:lineRule="auto"/>
            </w:pPr>
            <w:r>
              <w:rPr>
                <w:sz w:val="18"/>
              </w:rPr>
            </w:r>
            <w:r>
              <w:rPr>
                <w:sz w:val="18"/>
              </w:rPr>
              <w:t>55</w:t>
            </w:r>
          </w:p>
        </w:tc>
      </w:tr>
      <w:tr>
        <w:tc>
          <w:tcPr>
            <w:tcW w:type="dxa" w:w="4680"/>
          </w:tcPr>
          <w:p>
            <w:pPr>
              <w:spacing w:line="240" w:lineRule="auto"/>
            </w:pPr>
            <w:r>
              <w:rPr>
                <w:sz w:val="18"/>
              </w:rPr>
            </w:r>
            <w:r>
              <w:rPr>
                <w:b/>
                <w:sz w:val="18"/>
              </w:rPr>
              <w:t>p-value</w:t>
            </w:r>
          </w:p>
        </w:tc>
        <w:tc>
          <w:tcPr>
            <w:tcW w:type="dxa" w:w="4680"/>
          </w:tcPr>
          <w:p>
            <w:pPr>
              <w:spacing w:line="240" w:lineRule="auto"/>
            </w:pPr>
            <w:r>
              <w:rPr>
                <w:sz w:val="18"/>
              </w:rPr>
            </w:r>
            <w:r>
              <w:rPr>
                <w:b/>
                <w:sz w:val="18"/>
              </w:rPr>
              <w:t>1.98 × 10⁻²⁴</w:t>
            </w:r>
          </w:p>
        </w:tc>
      </w:tr>
      <w:tr>
        <w:tc>
          <w:tcPr>
            <w:tcW w:type="dxa" w:w="4680"/>
          </w:tcPr>
          <w:p>
            <w:pPr>
              <w:spacing w:line="240" w:lineRule="auto"/>
            </w:pPr>
            <w:r>
              <w:rPr>
                <w:sz w:val="18"/>
              </w:rPr>
            </w:r>
            <w:r>
              <w:rPr>
                <w:sz w:val="18"/>
              </w:rPr>
              <w:t>Significant at 5%?</w:t>
            </w:r>
          </w:p>
        </w:tc>
        <w:tc>
          <w:tcPr>
            <w:tcW w:type="dxa" w:w="4680"/>
          </w:tcPr>
          <w:p>
            <w:pPr>
              <w:spacing w:line="240" w:lineRule="auto"/>
            </w:pPr>
            <w:r>
              <w:rPr>
                <w:sz w:val="18"/>
              </w:rPr>
            </w:r>
            <w:r>
              <w:rPr>
                <w:b/>
                <w:sz w:val="18"/>
              </w:rPr>
              <w:t>Yes</w:t>
            </w:r>
          </w:p>
        </w:tc>
      </w:tr>
    </w:tbl>
    <w:p>
      <w:pPr>
        <w:spacing w:after="200" w:line="240" w:lineRule="auto"/>
        <w:jc w:val="center"/>
      </w:pPr>
      <w:r>
        <w:rPr>
          <w:i/>
          <w:color w:val="7B8994"/>
          <w:sz w:val="20"/>
        </w:rPr>
        <w:t>Table 8. Simple linear regression of monthly revenue on monthly order count.</w:t>
      </w:r>
    </w:p>
    <w:p>
      <w:r>
        <w:t xml:space="preserve">_(Insert your screenshot of the Data Analysis ToolPak regression output here. The expected values are in the table above; the ToolPak procedure is in </w:t>
      </w:r>
      <w:r>
        <w:rPr>
          <w:rFonts w:ascii="Consolas" w:hAnsi="Consolas"/>
          <w:color w:val="2F6F9F"/>
          <w:sz w:val="18"/>
        </w:rPr>
        <w:t>docs/checkpoint2_excel_guide.md</w:t>
      </w:r>
      <w:r>
        <w:t>, section 3.)_</w:t>
      </w:r>
    </w:p>
    <w:p>
      <w:pPr>
        <w:pStyle w:val="Heading2"/>
      </w:pPr>
      <w:r>
        <w:t>The regression equation</w:t>
      </w:r>
    </w:p>
    <w:p>
      <w:pPr>
        <w:ind w:left="432"/>
      </w:pPr>
      <w:r>
        <w:rPr>
          <w:b/>
          <w:i/>
        </w:rPr>
        <w:t>Monthly Revenue = −1,353.65 + 5,224.25 × (Orders in month)</w:t>
      </w:r>
    </w:p>
    <w:p>
      <w:pPr>
        <w:pStyle w:val="Heading2"/>
      </w:pPr>
      <w:r>
        <w:t>Interpreting the output</w:t>
      </w:r>
    </w:p>
    <w:p>
      <w:r>
        <w:rPr>
          <w:b/>
        </w:rPr>
        <w:t>The slope.</w:t>
      </w:r>
      <w:r>
        <w:t xml:space="preserve"> Each additional order in a month is associated with about </w:t>
      </w:r>
      <w:r>
        <w:rPr>
          <w:b/>
        </w:rPr>
        <w:t>5,224</w:t>
      </w:r>
      <w:r>
        <w:t xml:space="preserve"> more revenue. This figure is worth checking against something already known: the average transaction line is worth 5,178. The slope and the average order value agree to within 1%, which is exactly what should happen if revenue is simply order count multiplied by a stable average order size. The model is consistent with the data rather than merely fitted to it.</w:t>
      </w:r>
    </w:p>
    <w:p>
      <w:r>
        <w:rPr>
          <w:b/>
        </w:rPr>
        <w:t>R² = 0.8514.</w:t>
      </w:r>
      <w:r>
        <w:t xml:space="preserve"> Order count explains </w:t>
      </w:r>
      <w:r>
        <w:rPr>
          <w:b/>
        </w:rPr>
        <w:t>85.1%</w:t>
      </w:r>
      <w:r>
        <w:t xml:space="preserve"> of the month-to-month variation in revenue. The remaining 14.9% is product mix, seasonality and noise.</w:t>
      </w:r>
    </w:p>
    <w:p>
      <w:r>
        <w:rPr>
          <w:b/>
        </w:rPr>
        <w:t>The p-value.</w:t>
      </w:r>
      <w:r>
        <w:t xml:space="preserve"> At 1.98 × 10⁻²⁴ the slope is overwhelmingly significant. The null hypothesis is that the true slope is zero — that order count tells us nothing about revenue. With t = 17.75 on 55 degrees of freedom, we </w:t>
      </w:r>
      <w:r>
        <w:rPr>
          <w:b/>
        </w:rPr>
        <w:t>reject the null hypothesis</w:t>
      </w:r>
      <w:r>
        <w:t>: the relationship is real, not sampling noise.</w:t>
      </w:r>
    </w:p>
    <w:p>
      <w:r>
        <w:rPr>
          <w:b/>
        </w:rPr>
        <w:t>The intercept.</w:t>
      </w:r>
      <w:r>
        <w:t xml:space="preserve"> −1,353.65 is the predicted revenue at zero orders, which is both impossible and meaningless: no month in the data had fewer than 9 orders, so zero is far outside the observed range. The intercept is a mathematical artefact of fitting the line, not a business quantity.</w:t>
      </w:r>
    </w:p>
    <w:p>
      <w:pPr>
        <w:pStyle w:val="Heading2"/>
      </w:pPr>
      <w:r>
        <w:t>Business forecasts from the model</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Orders in month</w:t>
            </w:r>
          </w:p>
        </w:tc>
        <w:tc>
          <w:tcPr>
            <w:tcW w:type="dxa" w:w="3120"/>
          </w:tcPr>
          <w:p>
            <w:r>
              <w:rPr>
                <w:b/>
              </w:rPr>
            </w:r>
            <w:r>
              <w:rPr>
                <w:b/>
              </w:rPr>
              <w:t>Predicted revenue</w:t>
            </w:r>
          </w:p>
        </w:tc>
        <w:tc>
          <w:tcPr>
            <w:tcW w:type="dxa" w:w="3120"/>
          </w:tcPr>
          <w:p>
            <w:r>
              <w:rPr>
                <w:b/>
              </w:rPr>
            </w:r>
            <w:r>
              <w:rPr>
                <w:b/>
              </w:rPr>
              <w:t>Comment</w:t>
            </w:r>
          </w:p>
        </w:tc>
      </w:tr>
      <w:tr>
        <w:tc>
          <w:tcPr>
            <w:tcW w:type="dxa" w:w="3120"/>
          </w:tcPr>
          <w:p>
            <w:pPr>
              <w:spacing w:line="240" w:lineRule="auto"/>
            </w:pPr>
            <w:r>
              <w:rPr>
                <w:sz w:val="18"/>
              </w:rPr>
            </w:r>
            <w:r>
              <w:rPr>
                <w:sz w:val="18"/>
              </w:rPr>
              <w:t>15</w:t>
            </w:r>
          </w:p>
        </w:tc>
        <w:tc>
          <w:tcPr>
            <w:tcW w:type="dxa" w:w="3120"/>
          </w:tcPr>
          <w:p>
            <w:pPr>
              <w:spacing w:line="240" w:lineRule="auto"/>
            </w:pPr>
            <w:r>
              <w:rPr>
                <w:sz w:val="18"/>
              </w:rPr>
            </w:r>
            <w:r>
              <w:rPr>
                <w:sz w:val="18"/>
              </w:rPr>
              <w:t>77,010</w:t>
            </w:r>
          </w:p>
        </w:tc>
        <w:tc>
          <w:tcPr>
            <w:tcW w:type="dxa" w:w="3120"/>
          </w:tcPr>
          <w:p>
            <w:pPr>
              <w:spacing w:line="240" w:lineRule="auto"/>
            </w:pPr>
            <w:r>
              <w:rPr>
                <w:sz w:val="18"/>
              </w:rPr>
            </w:r>
            <w:r>
              <w:rPr>
                <w:sz w:val="18"/>
              </w:rPr>
              <w:t>A weak month, below the historical average</w:t>
            </w:r>
          </w:p>
        </w:tc>
      </w:tr>
      <w:tr>
        <w:tc>
          <w:tcPr>
            <w:tcW w:type="dxa" w:w="3120"/>
          </w:tcPr>
          <w:p>
            <w:pPr>
              <w:spacing w:line="240" w:lineRule="auto"/>
            </w:pPr>
            <w:r>
              <w:rPr>
                <w:sz w:val="18"/>
              </w:rPr>
            </w:r>
            <w:r>
              <w:rPr>
                <w:sz w:val="18"/>
              </w:rPr>
              <w:t>20</w:t>
            </w:r>
          </w:p>
        </w:tc>
        <w:tc>
          <w:tcPr>
            <w:tcW w:type="dxa" w:w="3120"/>
          </w:tcPr>
          <w:p>
            <w:pPr>
              <w:spacing w:line="240" w:lineRule="auto"/>
            </w:pPr>
            <w:r>
              <w:rPr>
                <w:sz w:val="18"/>
              </w:rPr>
            </w:r>
            <w:r>
              <w:rPr>
                <w:sz w:val="18"/>
              </w:rPr>
              <w:t>103,131</w:t>
            </w:r>
          </w:p>
        </w:tc>
        <w:tc>
          <w:tcPr>
            <w:tcW w:type="dxa" w:w="3120"/>
          </w:tcPr>
          <w:p>
            <w:pPr>
              <w:spacing w:line="240" w:lineRule="auto"/>
            </w:pPr>
            <w:r>
              <w:rPr>
                <w:sz w:val="18"/>
              </w:rPr>
            </w:r>
            <w:r>
              <w:rPr>
                <w:sz w:val="18"/>
              </w:rPr>
              <w:t>About the historical average (mean 20.1 orders)</w:t>
            </w:r>
          </w:p>
        </w:tc>
      </w:tr>
      <w:tr>
        <w:tc>
          <w:tcPr>
            <w:tcW w:type="dxa" w:w="3120"/>
          </w:tcPr>
          <w:p>
            <w:pPr>
              <w:spacing w:line="240" w:lineRule="auto"/>
            </w:pPr>
            <w:r>
              <w:rPr>
                <w:sz w:val="18"/>
              </w:rPr>
            </w:r>
            <w:r>
              <w:rPr>
                <w:sz w:val="18"/>
              </w:rPr>
              <w:t>25</w:t>
            </w:r>
          </w:p>
        </w:tc>
        <w:tc>
          <w:tcPr>
            <w:tcW w:type="dxa" w:w="3120"/>
          </w:tcPr>
          <w:p>
            <w:pPr>
              <w:spacing w:line="240" w:lineRule="auto"/>
            </w:pPr>
            <w:r>
              <w:rPr>
                <w:sz w:val="18"/>
              </w:rPr>
            </w:r>
            <w:r>
              <w:rPr>
                <w:sz w:val="18"/>
              </w:rPr>
              <w:t>129,253</w:t>
            </w:r>
          </w:p>
        </w:tc>
        <w:tc>
          <w:tcPr>
            <w:tcW w:type="dxa" w:w="3120"/>
          </w:tcPr>
          <w:p>
            <w:pPr>
              <w:spacing w:line="240" w:lineRule="auto"/>
            </w:pPr>
            <w:r>
              <w:rPr>
                <w:sz w:val="18"/>
              </w:rPr>
            </w:r>
            <w:r>
              <w:rPr>
                <w:sz w:val="18"/>
              </w:rPr>
              <w:t>A strong month, near the 2022 peak rate</w:t>
            </w:r>
          </w:p>
        </w:tc>
      </w:tr>
      <w:tr>
        <w:tc>
          <w:tcPr>
            <w:tcW w:type="dxa" w:w="3120"/>
          </w:tcPr>
          <w:p>
            <w:pPr>
              <w:spacing w:line="240" w:lineRule="auto"/>
            </w:pPr>
            <w:r>
              <w:rPr>
                <w:sz w:val="18"/>
              </w:rPr>
            </w:r>
            <w:r>
              <w:rPr>
                <w:sz w:val="18"/>
              </w:rPr>
              <w:t>30</w:t>
            </w:r>
          </w:p>
        </w:tc>
        <w:tc>
          <w:tcPr>
            <w:tcW w:type="dxa" w:w="3120"/>
          </w:tcPr>
          <w:p>
            <w:pPr>
              <w:spacing w:line="240" w:lineRule="auto"/>
            </w:pPr>
            <w:r>
              <w:rPr>
                <w:sz w:val="18"/>
              </w:rPr>
            </w:r>
            <w:r>
              <w:rPr>
                <w:sz w:val="18"/>
              </w:rPr>
              <w:t>155,374</w:t>
            </w:r>
          </w:p>
        </w:tc>
        <w:tc>
          <w:tcPr>
            <w:tcW w:type="dxa" w:w="3120"/>
          </w:tcPr>
          <w:p>
            <w:pPr>
              <w:spacing w:line="240" w:lineRule="auto"/>
            </w:pPr>
            <w:r>
              <w:rPr>
                <w:sz w:val="18"/>
              </w:rPr>
            </w:r>
            <w:r>
              <w:rPr>
                <w:sz w:val="18"/>
              </w:rPr>
              <w:t>Above almost anything observed — extrapolation</w:t>
            </w:r>
          </w:p>
        </w:tc>
      </w:tr>
    </w:tbl>
    <w:p>
      <w:pPr>
        <w:spacing w:after="200" w:line="240" w:lineRule="auto"/>
        <w:jc w:val="center"/>
      </w:pPr>
      <w:r>
        <w:rPr>
          <w:i/>
          <w:color w:val="7B8994"/>
          <w:sz w:val="20"/>
        </w:rPr>
        <w:t>Table 9. Predicted monthly revenue at different order volumes.</w:t>
      </w:r>
    </w:p>
    <w:p>
      <w:r>
        <w:rPr>
          <w:b/>
        </w:rPr>
        <w:t>The decision this supports.</w:t>
      </w:r>
      <w:r>
        <w:t xml:space="preserve"> 2024 ran at 20.0 orders per month against 24.0 in 2022. The model puts the value of closing that four-order gap at roughly </w:t>
      </w:r>
      <w:r>
        <w:rPr>
          <w:b/>
        </w:rPr>
        <w:t>20,900 per month, or 250,000 a year</w:t>
      </w:r>
      <w:r>
        <w:t xml:space="preserve"> — which is very close to the 257,297 annual shortfall measured directly in Checkpoint 1. Two independent methods agreeing is a good sign the number is sound.</w:t>
      </w:r>
    </w:p>
    <w:p>
      <w:pPr>
        <w:jc w:val="center"/>
      </w:pPr>
      <w:r>
        <w:drawing>
          <wp:inline xmlns:a="http://schemas.openxmlformats.org/drawingml/2006/main" xmlns:pic="http://schemas.openxmlformats.org/drawingml/2006/picture">
            <wp:extent cx="5486400" cy="3363469"/>
            <wp:docPr id="3" name="Picture 3"/>
            <wp:cNvGraphicFramePr>
              <a:graphicFrameLocks noChangeAspect="1"/>
            </wp:cNvGraphicFramePr>
            <a:graphic>
              <a:graphicData uri="http://schemas.openxmlformats.org/drawingml/2006/picture">
                <pic:pic>
                  <pic:nvPicPr>
                    <pic:cNvPr id="0" name="cp2_fig2_regression.png"/>
                    <pic:cNvPicPr/>
                  </pic:nvPicPr>
                  <pic:blipFill>
                    <a:blip r:embed="rId11"/>
                    <a:stretch>
                      <a:fillRect/>
                    </a:stretch>
                  </pic:blipFill>
                  <pic:spPr>
                    <a:xfrm>
                      <a:off x="0" y="0"/>
                      <a:ext cx="5486400" cy="3363469"/>
                    </a:xfrm>
                    <a:prstGeom prst="rect"/>
                  </pic:spPr>
                </pic:pic>
              </a:graphicData>
            </a:graphic>
          </wp:inline>
        </w:drawing>
      </w:r>
    </w:p>
    <w:p>
      <w:pPr>
        <w:spacing w:after="200" w:line="240" w:lineRule="auto"/>
        <w:jc w:val="center"/>
      </w:pPr>
      <w:r>
        <w:rPr>
          <w:i/>
          <w:color w:val="7B8994"/>
          <w:sz w:val="20"/>
        </w:rPr>
        <w:t>Figure 3. Monthly orders against monthly revenue, with the fitted regression line.</w:t>
      </w:r>
    </w:p>
    <w:p>
      <w:pPr>
        <w:pStyle w:val="Heading2"/>
      </w:pPr>
      <w:r>
        <w:t>Assumptions, limitations and conditions of use</w:t>
      </w:r>
    </w:p>
    <w:p>
      <w:pPr>
        <w:pStyle w:val="ListNumber"/>
      </w:pPr>
      <w:r>
        <w:rPr>
          <w:b/>
        </w:rPr>
        <w:t>Linearity.</w:t>
      </w:r>
      <w:r>
        <w:t xml:space="preserve"> The relationship is assumed to be a straight line. The scatter plot supports this across the observed range.</w:t>
      </w:r>
    </w:p>
    <w:p>
      <w:pPr>
        <w:pStyle w:val="ListNumber"/>
      </w:pPr>
      <w:r>
        <w:rPr>
          <w:b/>
        </w:rPr>
        <w:t>Independence.</w:t>
      </w:r>
      <w:r>
        <w:t xml:space="preserve"> Each month is assumed independent of the last. This is the weakest assumption here — monthly sales series are usually autocorrelated, and that inflates apparent significance. With t = 17.75 the conclusion survives comfortably, but the p-value should be read as "clearly significant", not as a precise probability.</w:t>
      </w:r>
    </w:p>
    <w:p>
      <w:pPr>
        <w:pStyle w:val="ListNumber"/>
      </w:pPr>
      <w:r>
        <w:rPr>
          <w:b/>
        </w:rPr>
        <w:t>Range of validity.</w:t>
      </w:r>
      <w:r>
        <w:t xml:space="preserve"> X was observed between 9 and 45 orders per month. Predictions outside that range, the intercept included, are extrapolation.</w:t>
      </w:r>
    </w:p>
    <w:p>
      <w:pPr>
        <w:pStyle w:val="ListNumber"/>
      </w:pPr>
      <w:r>
        <w:rPr>
          <w:b/>
        </w:rPr>
        <w:t>Correlation is not causation.</w:t>
      </w:r>
      <w:r>
        <w:t xml:space="preserve"> The model shows revenue and order count move together. It does not prove that forcing order count up would raise revenue by exactly 5,224 each time — if extra orders were won by discounting, the average order value would fall and the slope would not hold.</w:t>
      </w:r>
    </w:p>
    <w:p>
      <w:pPr>
        <w:pStyle w:val="ListNumber"/>
      </w:pPr>
      <w:r>
        <w:rPr>
          <w:b/>
        </w:rPr>
        <w:t>One predictor only.</w:t>
      </w:r>
      <w:r>
        <w:t xml:space="preserve"> A single variable cannot capture seasonality, product mix, or the Printer supply problem. Multiple regression in Checkpoint 4 is the natural extension.</w:t>
      </w:r>
    </w:p>
    <w:p>
      <w:pPr>
        <w:pStyle w:val="ListNumber"/>
      </w:pPr>
      <w:r>
        <w:rPr>
          <w:b/>
        </w:rPr>
        <w:t>Synthetic data.</w:t>
      </w:r>
      <w:r>
        <w:t xml:space="preserve"> The coefficients describe this file, not a real market.</w:t>
      </w:r>
    </w:p>
    <w:p>
      <w:r>
        <w:br w:type="page"/>
      </w:r>
    </w:p>
    <w:p>
      <w:pPr>
        <w:pStyle w:val="Heading1"/>
      </w:pPr>
      <w:r>
        <w:t>Task 2.5 — Trend and Seasonality Analysis</w:t>
      </w:r>
    </w:p>
    <w:p>
      <w:r>
        <w:t xml:space="preserve">The dataset is a time series, so this task applies in full. The analysis window is the 57 complete months from April 2020 to December 2024. </w:t>
      </w:r>
      <w:r>
        <w:rPr>
          <w:b/>
        </w:rPr>
        <w:t>January and February 2025 are held back</w:t>
      </w:r>
      <w:r>
        <w:t xml:space="preserve"> and used to check the forecast.</w:t>
      </w:r>
    </w:p>
    <w:p>
      <w:pPr>
        <w:pStyle w:val="Heading2"/>
      </w:pPr>
      <w:r>
        <w:t>Step 1 — The trend pattern: growth, then plateau</w:t>
      </w:r>
    </w:p>
    <w:p>
      <w:r>
        <w:rPr>
          <w:b/>
        </w:rPr>
        <w:t>The sales trend has two distinct regimes.</w:t>
      </w:r>
      <w:r>
        <w:t xml:space="preserve"> Revenue per month grew 30.9% from 2020 to a peak of 121,647.92 in 2022, then fell back and flattened at roughly 100,000 a month across 2023 and 2024 — 17.6% below the peak. The break occurs in 2022 and is visible in Figure 4 without any statistics.</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Phase</w:t>
            </w:r>
          </w:p>
        </w:tc>
        <w:tc>
          <w:tcPr>
            <w:tcW w:type="dxa" w:w="2340"/>
          </w:tcPr>
          <w:p>
            <w:r>
              <w:rPr>
                <w:b/>
              </w:rPr>
            </w:r>
            <w:r>
              <w:rPr>
                <w:b/>
              </w:rPr>
              <w:t>Period</w:t>
            </w:r>
          </w:p>
        </w:tc>
        <w:tc>
          <w:tcPr>
            <w:tcW w:type="dxa" w:w="2340"/>
          </w:tcPr>
          <w:p>
            <w:r>
              <w:rPr>
                <w:b/>
              </w:rPr>
            </w:r>
            <w:r>
              <w:rPr>
                <w:b/>
              </w:rPr>
              <w:t>Revenue per month</w:t>
            </w:r>
          </w:p>
        </w:tc>
        <w:tc>
          <w:tcPr>
            <w:tcW w:type="dxa" w:w="2340"/>
          </w:tcPr>
          <w:p>
            <w:r>
              <w:rPr>
                <w:b/>
              </w:rPr>
            </w:r>
            <w:r>
              <w:rPr>
                <w:b/>
              </w:rPr>
              <w:t>Change</w:t>
            </w:r>
          </w:p>
        </w:tc>
      </w:tr>
      <w:tr>
        <w:tc>
          <w:tcPr>
            <w:tcW w:type="dxa" w:w="2340"/>
          </w:tcPr>
          <w:p>
            <w:pPr>
              <w:spacing w:line="240" w:lineRule="auto"/>
            </w:pPr>
            <w:r>
              <w:rPr>
                <w:sz w:val="18"/>
              </w:rPr>
            </w:r>
            <w:r>
              <w:rPr>
                <w:b/>
                <w:sz w:val="18"/>
              </w:rPr>
              <w:t>Growth</w:t>
            </w:r>
          </w:p>
        </w:tc>
        <w:tc>
          <w:tcPr>
            <w:tcW w:type="dxa" w:w="2340"/>
          </w:tcPr>
          <w:p>
            <w:pPr>
              <w:spacing w:line="240" w:lineRule="auto"/>
            </w:pPr>
            <w:r>
              <w:rPr>
                <w:sz w:val="18"/>
              </w:rPr>
            </w:r>
            <w:r>
              <w:rPr>
                <w:sz w:val="18"/>
              </w:rPr>
              <w:t>2020 → 2022</w:t>
            </w:r>
          </w:p>
        </w:tc>
        <w:tc>
          <w:tcPr>
            <w:tcW w:type="dxa" w:w="2340"/>
          </w:tcPr>
          <w:p>
            <w:pPr>
              <w:spacing w:line="240" w:lineRule="auto"/>
            </w:pPr>
            <w:r>
              <w:rPr>
                <w:sz w:val="18"/>
              </w:rPr>
            </w:r>
            <w:r>
              <w:rPr>
                <w:sz w:val="18"/>
              </w:rPr>
              <w:t>92,934.44 → 121,647.92</w:t>
            </w:r>
          </w:p>
        </w:tc>
        <w:tc>
          <w:tcPr>
            <w:tcW w:type="dxa" w:w="2340"/>
          </w:tcPr>
          <w:p>
            <w:pPr>
              <w:spacing w:line="240" w:lineRule="auto"/>
            </w:pPr>
            <w:r>
              <w:rPr>
                <w:sz w:val="18"/>
              </w:rPr>
            </w:r>
            <w:r>
              <w:rPr>
                <w:b/>
                <w:sz w:val="18"/>
              </w:rPr>
              <w:t>+30.9%</w:t>
            </w:r>
          </w:p>
        </w:tc>
      </w:tr>
      <w:tr>
        <w:tc>
          <w:tcPr>
            <w:tcW w:type="dxa" w:w="2340"/>
          </w:tcPr>
          <w:p>
            <w:pPr>
              <w:spacing w:line="240" w:lineRule="auto"/>
            </w:pPr>
            <w:r>
              <w:rPr>
                <w:sz w:val="18"/>
              </w:rPr>
            </w:r>
            <w:r>
              <w:rPr>
                <w:b/>
                <w:sz w:val="18"/>
              </w:rPr>
              <w:t>Plateau</w:t>
            </w:r>
          </w:p>
        </w:tc>
        <w:tc>
          <w:tcPr>
            <w:tcW w:type="dxa" w:w="2340"/>
          </w:tcPr>
          <w:p>
            <w:pPr>
              <w:spacing w:line="240" w:lineRule="auto"/>
            </w:pPr>
            <w:r>
              <w:rPr>
                <w:sz w:val="18"/>
              </w:rPr>
            </w:r>
            <w:r>
              <w:rPr>
                <w:sz w:val="18"/>
              </w:rPr>
              <w:t>2022 → 2024</w:t>
            </w:r>
          </w:p>
        </w:tc>
        <w:tc>
          <w:tcPr>
            <w:tcW w:type="dxa" w:w="2340"/>
          </w:tcPr>
          <w:p>
            <w:pPr>
              <w:spacing w:line="240" w:lineRule="auto"/>
            </w:pPr>
            <w:r>
              <w:rPr>
                <w:sz w:val="18"/>
              </w:rPr>
            </w:r>
            <w:r>
              <w:rPr>
                <w:sz w:val="18"/>
              </w:rPr>
              <w:t>121,647.92 → 100,206.50</w:t>
            </w:r>
          </w:p>
        </w:tc>
        <w:tc>
          <w:tcPr>
            <w:tcW w:type="dxa" w:w="2340"/>
          </w:tcPr>
          <w:p>
            <w:pPr>
              <w:spacing w:line="240" w:lineRule="auto"/>
            </w:pPr>
            <w:r>
              <w:rPr>
                <w:sz w:val="18"/>
              </w:rPr>
            </w:r>
            <w:r>
              <w:rPr>
                <w:b/>
                <w:sz w:val="18"/>
              </w:rPr>
              <w:t>−17.6%</w:t>
            </w:r>
            <w:r>
              <w:rPr>
                <w:sz w:val="18"/>
              </w:rPr>
              <w:t>, then flat</w:t>
            </w:r>
          </w:p>
        </w:tc>
      </w:tr>
    </w:tbl>
    <w:p>
      <w:pPr>
        <w:spacing w:after="200" w:line="240" w:lineRule="auto"/>
        <w:jc w:val="center"/>
      </w:pPr>
      <w:r>
        <w:rPr>
          <w:i/>
          <w:color w:val="7B8994"/>
          <w:sz w:val="20"/>
        </w:rPr>
        <w:t>Table 10. The trend in two regimes, measured on revenue per month.</w:t>
      </w:r>
    </w:p>
    <w:p>
      <w:r>
        <w:rPr>
          <w:b/>
        </w:rPr>
        <w:t>This two-regime shape is the trend finding</w:t>
      </w:r>
      <w:r>
        <w:t>, and it is what a single growth percentage would have concealed. It also has a cause, established in Task 2.3 and Checkpoint 1: the plateau is not a broad slowdown but the loss of one sub-category, Printers, offset by growth in Office Supplies.</w:t>
      </w:r>
    </w:p>
    <w:p>
      <w:pPr>
        <w:pStyle w:val="Heading3"/>
      </w:pPr>
      <w:r>
        <w:t>Why no single growth rate is projected forward</w:t>
      </w:r>
    </w:p>
    <w:p>
      <w:r>
        <w:t>A straight line fitted across both regimes describes neither:</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Statistic</w:t>
            </w:r>
          </w:p>
        </w:tc>
        <w:tc>
          <w:tcPr>
            <w:tcW w:type="dxa" w:w="4680"/>
          </w:tcPr>
          <w:p>
            <w:r>
              <w:rPr>
                <w:b/>
              </w:rPr>
            </w:r>
            <w:r>
              <w:rPr>
                <w:b/>
              </w:rPr>
              <w:t>Value</w:t>
            </w:r>
          </w:p>
        </w:tc>
      </w:tr>
      <w:tr>
        <w:tc>
          <w:tcPr>
            <w:tcW w:type="dxa" w:w="4680"/>
          </w:tcPr>
          <w:p>
            <w:pPr>
              <w:spacing w:line="240" w:lineRule="auto"/>
            </w:pPr>
            <w:r>
              <w:rPr>
                <w:sz w:val="18"/>
              </w:rPr>
            </w:r>
            <w:r>
              <w:rPr>
                <w:sz w:val="18"/>
              </w:rPr>
              <w:t>Slope</w:t>
            </w:r>
          </w:p>
        </w:tc>
        <w:tc>
          <w:tcPr>
            <w:tcW w:type="dxa" w:w="4680"/>
          </w:tcPr>
          <w:p>
            <w:pPr>
              <w:spacing w:line="240" w:lineRule="auto"/>
            </w:pPr>
            <w:r>
              <w:rPr>
                <w:sz w:val="18"/>
              </w:rPr>
            </w:r>
            <w:r>
              <w:rPr>
                <w:sz w:val="18"/>
              </w:rPr>
              <w:t>+206.0 per month</w:t>
            </w:r>
          </w:p>
        </w:tc>
      </w:tr>
      <w:tr>
        <w:tc>
          <w:tcPr>
            <w:tcW w:type="dxa" w:w="4680"/>
          </w:tcPr>
          <w:p>
            <w:pPr>
              <w:spacing w:line="240" w:lineRule="auto"/>
            </w:pPr>
            <w:r>
              <w:rPr>
                <w:sz w:val="18"/>
              </w:rPr>
            </w:r>
            <w:r>
              <w:rPr>
                <w:sz w:val="18"/>
              </w:rPr>
              <w:t>R²</w:t>
            </w:r>
          </w:p>
        </w:tc>
        <w:tc>
          <w:tcPr>
            <w:tcW w:type="dxa" w:w="4680"/>
          </w:tcPr>
          <w:p>
            <w:pPr>
              <w:spacing w:line="240" w:lineRule="auto"/>
            </w:pPr>
            <w:r>
              <w:rPr>
                <w:sz w:val="18"/>
              </w:rPr>
            </w:r>
            <w:r>
              <w:rPr>
                <w:b/>
                <w:sz w:val="18"/>
              </w:rPr>
              <w:t>0.0078</w:t>
            </w:r>
          </w:p>
        </w:tc>
      </w:tr>
      <w:tr>
        <w:tc>
          <w:tcPr>
            <w:tcW w:type="dxa" w:w="4680"/>
          </w:tcPr>
          <w:p>
            <w:pPr>
              <w:spacing w:line="240" w:lineRule="auto"/>
            </w:pPr>
            <w:r>
              <w:rPr>
                <w:sz w:val="18"/>
              </w:rPr>
            </w:r>
            <w:r>
              <w:rPr>
                <w:sz w:val="18"/>
              </w:rPr>
              <w:t>p-value</w:t>
            </w:r>
          </w:p>
        </w:tc>
        <w:tc>
          <w:tcPr>
            <w:tcW w:type="dxa" w:w="4680"/>
          </w:tcPr>
          <w:p>
            <w:pPr>
              <w:spacing w:line="240" w:lineRule="auto"/>
            </w:pPr>
            <w:r>
              <w:rPr>
                <w:sz w:val="18"/>
              </w:rPr>
            </w:r>
            <w:r>
              <w:rPr>
                <w:b/>
                <w:sz w:val="18"/>
              </w:rPr>
              <w:t>0.515</w:t>
            </w:r>
          </w:p>
        </w:tc>
      </w:tr>
      <w:tr>
        <w:tc>
          <w:tcPr>
            <w:tcW w:type="dxa" w:w="4680"/>
          </w:tcPr>
          <w:p>
            <w:pPr>
              <w:spacing w:line="240" w:lineRule="auto"/>
            </w:pPr>
            <w:r>
              <w:rPr>
                <w:sz w:val="18"/>
              </w:rPr>
            </w:r>
            <w:r>
              <w:rPr>
                <w:sz w:val="18"/>
              </w:rPr>
              <w:t>Verdict</w:t>
            </w:r>
          </w:p>
        </w:tc>
        <w:tc>
          <w:tcPr>
            <w:tcW w:type="dxa" w:w="4680"/>
          </w:tcPr>
          <w:p>
            <w:pPr>
              <w:spacing w:line="240" w:lineRule="auto"/>
            </w:pPr>
            <w:r>
              <w:rPr>
                <w:sz w:val="18"/>
              </w:rPr>
            </w:r>
            <w:r>
              <w:rPr>
                <w:b/>
                <w:sz w:val="18"/>
              </w:rPr>
              <w:t>Not significant</w:t>
            </w:r>
          </w:p>
        </w:tc>
      </w:tr>
    </w:tbl>
    <w:p>
      <w:pPr>
        <w:spacing w:after="200" w:line="240" w:lineRule="auto"/>
        <w:jc w:val="center"/>
      </w:pPr>
      <w:r>
        <w:rPr>
          <w:i/>
          <w:color w:val="7B8994"/>
          <w:sz w:val="20"/>
        </w:rPr>
        <w:t>Table 11. Regression of monthly revenue on a simple time index.</w:t>
      </w:r>
    </w:p>
    <w:p>
      <w:r>
        <w:t xml:space="preserve">Time explains </w:t>
      </w:r>
      <w:r>
        <w:rPr>
          <w:b/>
        </w:rPr>
        <w:t>less than 1%</w:t>
      </w:r>
      <w:r>
        <w:t xml:space="preserve"> of the variation, and at p = 0.515 the apparent slope is indistinguishable from noise — because averaging a rising regime with a flat one produces a slope belonging to neither.</w:t>
      </w:r>
    </w:p>
    <w:p>
      <w:r>
        <w:t xml:space="preserve">To confirm this is a property of the series rather than of the window chosen, the same test was run on four windows. None shows a significant slope (p = 0.31 to 0.86). </w:t>
      </w:r>
      <w:r>
        <w:rPr>
          <w:b/>
        </w:rPr>
        <w:t>The forecast in Step 3 is therefore built on the level and the seasonal pattern rather than on a growth rate</w:t>
      </w:r>
      <w:r>
        <w:t xml:space="preserve"> — projecting a slope this weak would be the easiest way to be badly wrong.</w:t>
      </w:r>
    </w:p>
    <w:p>
      <w:pPr>
        <w:pStyle w:val="Heading2"/>
      </w:pPr>
      <w:r>
        <w:t>Step 2 — The seasonal index</w:t>
      </w:r>
    </w:p>
    <w:p>
      <w:r>
        <w:t>Each calendar month's average revenue divided by the overall average month. 1.00 is an average month.</w:t>
      </w:r>
    </w:p>
    <w:tbl>
      <w:tblPr>
        <w:tblStyle w:val="LightGrid-Accent1"/>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b/>
              </w:rPr>
              <w:t>Month</w:t>
            </w:r>
          </w:p>
        </w:tc>
        <w:tc>
          <w:tcPr>
            <w:tcW w:type="dxa" w:w="1560"/>
          </w:tcPr>
          <w:p>
            <w:r>
              <w:rPr>
                <w:b/>
              </w:rPr>
            </w:r>
            <w:r>
              <w:rPr>
                <w:b/>
              </w:rPr>
              <w:t>Index</w:t>
            </w:r>
          </w:p>
        </w:tc>
        <w:tc>
          <w:tcPr>
            <w:tcW w:type="dxa" w:w="1560"/>
          </w:tcPr>
          <w:p>
            <w:r>
              <w:rPr>
                <w:b/>
              </w:rPr>
            </w:r>
            <w:r>
              <w:rPr>
                <w:b/>
              </w:rPr>
              <w:t>Reading</w:t>
            </w:r>
          </w:p>
        </w:tc>
        <w:tc>
          <w:tcPr>
            <w:tcW w:type="dxa" w:w="1560"/>
          </w:tcPr>
          <w:p>
            <w:r>
              <w:rPr>
                <w:b/>
              </w:rPr>
            </w:r>
            <w:r>
              <w:rPr>
                <w:b/>
              </w:rPr>
              <w:t>Month</w:t>
            </w:r>
          </w:p>
        </w:tc>
        <w:tc>
          <w:tcPr>
            <w:tcW w:type="dxa" w:w="1560"/>
          </w:tcPr>
          <w:p>
            <w:r>
              <w:rPr>
                <w:b/>
              </w:rPr>
            </w:r>
            <w:r>
              <w:rPr>
                <w:b/>
              </w:rPr>
              <w:t>Index</w:t>
            </w:r>
          </w:p>
        </w:tc>
        <w:tc>
          <w:tcPr>
            <w:tcW w:type="dxa" w:w="1560"/>
          </w:tcPr>
          <w:p>
            <w:r>
              <w:rPr>
                <w:b/>
              </w:rPr>
            </w:r>
            <w:r>
              <w:rPr>
                <w:b/>
              </w:rPr>
              <w:t>Reading</w:t>
            </w:r>
          </w:p>
        </w:tc>
      </w:tr>
      <w:tr>
        <w:tc>
          <w:tcPr>
            <w:tcW w:type="dxa" w:w="1560"/>
          </w:tcPr>
          <w:p>
            <w:pPr>
              <w:spacing w:line="240" w:lineRule="auto"/>
            </w:pPr>
            <w:r>
              <w:rPr>
                <w:sz w:val="18"/>
              </w:rPr>
            </w:r>
            <w:r>
              <w:rPr>
                <w:sz w:val="18"/>
              </w:rPr>
              <w:t>January</w:t>
            </w:r>
          </w:p>
        </w:tc>
        <w:tc>
          <w:tcPr>
            <w:tcW w:type="dxa" w:w="1560"/>
          </w:tcPr>
          <w:p>
            <w:pPr>
              <w:spacing w:line="240" w:lineRule="auto"/>
            </w:pPr>
            <w:r>
              <w:rPr>
                <w:sz w:val="18"/>
              </w:rPr>
            </w:r>
            <w:r>
              <w:rPr>
                <w:sz w:val="18"/>
              </w:rPr>
              <w:t>0.679</w:t>
            </w:r>
          </w:p>
        </w:tc>
        <w:tc>
          <w:tcPr>
            <w:tcW w:type="dxa" w:w="1560"/>
          </w:tcPr>
          <w:p>
            <w:pPr>
              <w:spacing w:line="240" w:lineRule="auto"/>
            </w:pPr>
            <w:r>
              <w:rPr>
                <w:sz w:val="18"/>
              </w:rPr>
            </w:r>
            <w:r>
              <w:rPr>
                <w:sz w:val="18"/>
              </w:rPr>
              <w:t>Weak</w:t>
            </w:r>
          </w:p>
        </w:tc>
        <w:tc>
          <w:tcPr>
            <w:tcW w:type="dxa" w:w="1560"/>
          </w:tcPr>
          <w:p>
            <w:pPr>
              <w:spacing w:line="240" w:lineRule="auto"/>
            </w:pPr>
            <w:r>
              <w:rPr>
                <w:sz w:val="18"/>
              </w:rPr>
            </w:r>
            <w:r>
              <w:rPr>
                <w:sz w:val="18"/>
              </w:rPr>
              <w:t>July</w:t>
            </w:r>
          </w:p>
        </w:tc>
        <w:tc>
          <w:tcPr>
            <w:tcW w:type="dxa" w:w="1560"/>
          </w:tcPr>
          <w:p>
            <w:pPr>
              <w:spacing w:line="240" w:lineRule="auto"/>
            </w:pPr>
            <w:r>
              <w:rPr>
                <w:sz w:val="18"/>
              </w:rPr>
            </w:r>
            <w:r>
              <w:rPr>
                <w:sz w:val="18"/>
              </w:rPr>
              <w:t>0.966</w:t>
            </w:r>
          </w:p>
        </w:tc>
        <w:tc>
          <w:tcPr>
            <w:tcW w:type="dxa" w:w="1560"/>
          </w:tcPr>
          <w:p>
            <w:pPr>
              <w:spacing w:line="240" w:lineRule="auto"/>
            </w:pPr>
            <w:r>
              <w:rPr>
                <w:sz w:val="18"/>
              </w:rPr>
            </w:r>
            <w:r>
              <w:rPr>
                <w:sz w:val="18"/>
              </w:rPr>
              <w:t>Average</w:t>
            </w:r>
          </w:p>
        </w:tc>
      </w:tr>
      <w:tr>
        <w:tc>
          <w:tcPr>
            <w:tcW w:type="dxa" w:w="1560"/>
          </w:tcPr>
          <w:p>
            <w:pPr>
              <w:spacing w:line="240" w:lineRule="auto"/>
            </w:pPr>
            <w:r>
              <w:rPr>
                <w:sz w:val="18"/>
              </w:rPr>
            </w:r>
            <w:r>
              <w:rPr>
                <w:sz w:val="18"/>
              </w:rPr>
              <w:t>February</w:t>
            </w:r>
          </w:p>
        </w:tc>
        <w:tc>
          <w:tcPr>
            <w:tcW w:type="dxa" w:w="1560"/>
          </w:tcPr>
          <w:p>
            <w:pPr>
              <w:spacing w:line="240" w:lineRule="auto"/>
            </w:pPr>
            <w:r>
              <w:rPr>
                <w:sz w:val="18"/>
              </w:rPr>
            </w:r>
            <w:r>
              <w:rPr>
                <w:sz w:val="18"/>
              </w:rPr>
              <w:t>0.889</w:t>
            </w:r>
          </w:p>
        </w:tc>
        <w:tc>
          <w:tcPr>
            <w:tcW w:type="dxa" w:w="1560"/>
          </w:tcPr>
          <w:p>
            <w:pPr>
              <w:spacing w:line="240" w:lineRule="auto"/>
            </w:pPr>
            <w:r>
              <w:rPr>
                <w:sz w:val="18"/>
              </w:rPr>
            </w:r>
            <w:r>
              <w:rPr>
                <w:sz w:val="18"/>
              </w:rPr>
              <w:t>Weak</w:t>
            </w:r>
          </w:p>
        </w:tc>
        <w:tc>
          <w:tcPr>
            <w:tcW w:type="dxa" w:w="1560"/>
          </w:tcPr>
          <w:p>
            <w:pPr>
              <w:spacing w:line="240" w:lineRule="auto"/>
            </w:pPr>
            <w:r>
              <w:rPr>
                <w:sz w:val="18"/>
              </w:rPr>
            </w:r>
            <w:r>
              <w:rPr>
                <w:sz w:val="18"/>
              </w:rPr>
              <w:t>August</w:t>
            </w:r>
          </w:p>
        </w:tc>
        <w:tc>
          <w:tcPr>
            <w:tcW w:type="dxa" w:w="1560"/>
          </w:tcPr>
          <w:p>
            <w:pPr>
              <w:spacing w:line="240" w:lineRule="auto"/>
            </w:pPr>
            <w:r>
              <w:rPr>
                <w:sz w:val="18"/>
              </w:rPr>
            </w:r>
            <w:r>
              <w:rPr>
                <w:sz w:val="18"/>
              </w:rPr>
              <w:t>1.006</w:t>
            </w:r>
          </w:p>
        </w:tc>
        <w:tc>
          <w:tcPr>
            <w:tcW w:type="dxa" w:w="1560"/>
          </w:tcPr>
          <w:p>
            <w:pPr>
              <w:spacing w:line="240" w:lineRule="auto"/>
            </w:pPr>
            <w:r>
              <w:rPr>
                <w:sz w:val="18"/>
              </w:rPr>
            </w:r>
            <w:r>
              <w:rPr>
                <w:sz w:val="18"/>
              </w:rPr>
              <w:t>Average</w:t>
            </w:r>
          </w:p>
        </w:tc>
      </w:tr>
      <w:tr>
        <w:tc>
          <w:tcPr>
            <w:tcW w:type="dxa" w:w="1560"/>
          </w:tcPr>
          <w:p>
            <w:pPr>
              <w:spacing w:line="240" w:lineRule="auto"/>
            </w:pPr>
            <w:r>
              <w:rPr>
                <w:sz w:val="18"/>
              </w:rPr>
            </w:r>
            <w:r>
              <w:rPr>
                <w:sz w:val="18"/>
              </w:rPr>
              <w:t>March</w:t>
            </w:r>
          </w:p>
        </w:tc>
        <w:tc>
          <w:tcPr>
            <w:tcW w:type="dxa" w:w="1560"/>
          </w:tcPr>
          <w:p>
            <w:pPr>
              <w:spacing w:line="240" w:lineRule="auto"/>
            </w:pPr>
            <w:r>
              <w:rPr>
                <w:sz w:val="18"/>
              </w:rPr>
            </w:r>
            <w:r>
              <w:rPr>
                <w:sz w:val="18"/>
              </w:rPr>
              <w:t>1.025</w:t>
            </w:r>
          </w:p>
        </w:tc>
        <w:tc>
          <w:tcPr>
            <w:tcW w:type="dxa" w:w="1560"/>
          </w:tcPr>
          <w:p>
            <w:pPr>
              <w:spacing w:line="240" w:lineRule="auto"/>
            </w:pPr>
            <w:r>
              <w:rPr>
                <w:sz w:val="18"/>
              </w:rPr>
            </w:r>
            <w:r>
              <w:rPr>
                <w:sz w:val="18"/>
              </w:rPr>
              <w:t>Average</w:t>
            </w:r>
          </w:p>
        </w:tc>
        <w:tc>
          <w:tcPr>
            <w:tcW w:type="dxa" w:w="1560"/>
          </w:tcPr>
          <w:p>
            <w:pPr>
              <w:spacing w:line="240" w:lineRule="auto"/>
            </w:pPr>
            <w:r>
              <w:rPr>
                <w:sz w:val="18"/>
              </w:rPr>
            </w:r>
            <w:r>
              <w:rPr>
                <w:sz w:val="18"/>
              </w:rPr>
              <w:t>September</w:t>
            </w:r>
          </w:p>
        </w:tc>
        <w:tc>
          <w:tcPr>
            <w:tcW w:type="dxa" w:w="1560"/>
          </w:tcPr>
          <w:p>
            <w:pPr>
              <w:spacing w:line="240" w:lineRule="auto"/>
            </w:pPr>
            <w:r>
              <w:rPr>
                <w:sz w:val="18"/>
              </w:rPr>
            </w:r>
            <w:r>
              <w:rPr>
                <w:sz w:val="18"/>
              </w:rPr>
              <w:t>0.793</w:t>
            </w:r>
          </w:p>
        </w:tc>
        <w:tc>
          <w:tcPr>
            <w:tcW w:type="dxa" w:w="1560"/>
          </w:tcPr>
          <w:p>
            <w:pPr>
              <w:spacing w:line="240" w:lineRule="auto"/>
            </w:pPr>
            <w:r>
              <w:rPr>
                <w:sz w:val="18"/>
              </w:rPr>
            </w:r>
            <w:r>
              <w:rPr>
                <w:sz w:val="18"/>
              </w:rPr>
              <w:t>Weak</w:t>
            </w:r>
          </w:p>
        </w:tc>
      </w:tr>
      <w:tr>
        <w:tc>
          <w:tcPr>
            <w:tcW w:type="dxa" w:w="1560"/>
          </w:tcPr>
          <w:p>
            <w:pPr>
              <w:spacing w:line="240" w:lineRule="auto"/>
            </w:pPr>
            <w:r>
              <w:rPr>
                <w:sz w:val="18"/>
              </w:rPr>
            </w:r>
            <w:r>
              <w:rPr>
                <w:sz w:val="18"/>
              </w:rPr>
              <w:t>April</w:t>
            </w:r>
          </w:p>
        </w:tc>
        <w:tc>
          <w:tcPr>
            <w:tcW w:type="dxa" w:w="1560"/>
          </w:tcPr>
          <w:p>
            <w:pPr>
              <w:spacing w:line="240" w:lineRule="auto"/>
            </w:pPr>
            <w:r>
              <w:rPr>
                <w:sz w:val="18"/>
              </w:rPr>
            </w:r>
            <w:r>
              <w:rPr>
                <w:sz w:val="18"/>
              </w:rPr>
              <w:t>1.103</w:t>
            </w:r>
          </w:p>
        </w:tc>
        <w:tc>
          <w:tcPr>
            <w:tcW w:type="dxa" w:w="1560"/>
          </w:tcPr>
          <w:p>
            <w:pPr>
              <w:spacing w:line="240" w:lineRule="auto"/>
            </w:pPr>
            <w:r>
              <w:rPr>
                <w:sz w:val="18"/>
              </w:rPr>
            </w:r>
            <w:r>
              <w:rPr>
                <w:sz w:val="18"/>
              </w:rPr>
              <w:t>Peak</w:t>
            </w:r>
          </w:p>
        </w:tc>
        <w:tc>
          <w:tcPr>
            <w:tcW w:type="dxa" w:w="1560"/>
          </w:tcPr>
          <w:p>
            <w:pPr>
              <w:spacing w:line="240" w:lineRule="auto"/>
            </w:pPr>
            <w:r>
              <w:rPr>
                <w:sz w:val="18"/>
              </w:rPr>
            </w:r>
            <w:r>
              <w:rPr>
                <w:sz w:val="18"/>
              </w:rPr>
              <w:t>October</w:t>
            </w:r>
          </w:p>
        </w:tc>
        <w:tc>
          <w:tcPr>
            <w:tcW w:type="dxa" w:w="1560"/>
          </w:tcPr>
          <w:p>
            <w:pPr>
              <w:spacing w:line="240" w:lineRule="auto"/>
            </w:pPr>
            <w:r>
              <w:rPr>
                <w:sz w:val="18"/>
              </w:rPr>
            </w:r>
            <w:r>
              <w:rPr>
                <w:sz w:val="18"/>
              </w:rPr>
              <w:t>1.229</w:t>
            </w:r>
          </w:p>
        </w:tc>
        <w:tc>
          <w:tcPr>
            <w:tcW w:type="dxa" w:w="1560"/>
          </w:tcPr>
          <w:p>
            <w:pPr>
              <w:spacing w:line="240" w:lineRule="auto"/>
            </w:pPr>
            <w:r>
              <w:rPr>
                <w:sz w:val="18"/>
              </w:rPr>
            </w:r>
            <w:r>
              <w:rPr>
                <w:sz w:val="18"/>
              </w:rPr>
              <w:t>Peak</w:t>
            </w:r>
          </w:p>
        </w:tc>
      </w:tr>
      <w:tr>
        <w:tc>
          <w:tcPr>
            <w:tcW w:type="dxa" w:w="1560"/>
          </w:tcPr>
          <w:p>
            <w:pPr>
              <w:spacing w:line="240" w:lineRule="auto"/>
            </w:pPr>
            <w:r>
              <w:rPr>
                <w:sz w:val="18"/>
              </w:rPr>
            </w:r>
            <w:r>
              <w:rPr>
                <w:sz w:val="18"/>
              </w:rPr>
              <w:t>May</w:t>
            </w:r>
          </w:p>
        </w:tc>
        <w:tc>
          <w:tcPr>
            <w:tcW w:type="dxa" w:w="1560"/>
          </w:tcPr>
          <w:p>
            <w:pPr>
              <w:spacing w:line="240" w:lineRule="auto"/>
            </w:pPr>
            <w:r>
              <w:rPr>
                <w:sz w:val="18"/>
              </w:rPr>
            </w:r>
            <w:r>
              <w:rPr>
                <w:sz w:val="18"/>
              </w:rPr>
              <w:t>1.131</w:t>
            </w:r>
          </w:p>
        </w:tc>
        <w:tc>
          <w:tcPr>
            <w:tcW w:type="dxa" w:w="1560"/>
          </w:tcPr>
          <w:p>
            <w:pPr>
              <w:spacing w:line="240" w:lineRule="auto"/>
            </w:pPr>
            <w:r>
              <w:rPr>
                <w:sz w:val="18"/>
              </w:rPr>
            </w:r>
            <w:r>
              <w:rPr>
                <w:sz w:val="18"/>
              </w:rPr>
              <w:t>Peak</w:t>
            </w:r>
          </w:p>
        </w:tc>
        <w:tc>
          <w:tcPr>
            <w:tcW w:type="dxa" w:w="1560"/>
          </w:tcPr>
          <w:p>
            <w:pPr>
              <w:spacing w:line="240" w:lineRule="auto"/>
            </w:pPr>
            <w:r>
              <w:rPr>
                <w:sz w:val="18"/>
              </w:rPr>
            </w:r>
            <w:r>
              <w:rPr>
                <w:sz w:val="18"/>
              </w:rPr>
              <w:t>November</w:t>
            </w:r>
          </w:p>
        </w:tc>
        <w:tc>
          <w:tcPr>
            <w:tcW w:type="dxa" w:w="1560"/>
          </w:tcPr>
          <w:p>
            <w:pPr>
              <w:spacing w:line="240" w:lineRule="auto"/>
            </w:pPr>
            <w:r>
              <w:rPr>
                <w:sz w:val="18"/>
              </w:rPr>
            </w:r>
            <w:r>
              <w:rPr>
                <w:sz w:val="18"/>
              </w:rPr>
              <w:t>0.878</w:t>
            </w:r>
          </w:p>
        </w:tc>
        <w:tc>
          <w:tcPr>
            <w:tcW w:type="dxa" w:w="1560"/>
          </w:tcPr>
          <w:p>
            <w:pPr>
              <w:spacing w:line="240" w:lineRule="auto"/>
            </w:pPr>
            <w:r>
              <w:rPr>
                <w:sz w:val="18"/>
              </w:rPr>
            </w:r>
            <w:r>
              <w:rPr>
                <w:sz w:val="18"/>
              </w:rPr>
              <w:t>Weak</w:t>
            </w:r>
          </w:p>
        </w:tc>
      </w:tr>
      <w:tr>
        <w:tc>
          <w:tcPr>
            <w:tcW w:type="dxa" w:w="1560"/>
          </w:tcPr>
          <w:p>
            <w:pPr>
              <w:spacing w:line="240" w:lineRule="auto"/>
            </w:pPr>
            <w:r>
              <w:rPr>
                <w:sz w:val="18"/>
              </w:rPr>
            </w:r>
            <w:r>
              <w:rPr>
                <w:sz w:val="18"/>
              </w:rPr>
              <w:t>June</w:t>
            </w:r>
          </w:p>
        </w:tc>
        <w:tc>
          <w:tcPr>
            <w:tcW w:type="dxa" w:w="1560"/>
          </w:tcPr>
          <w:p>
            <w:pPr>
              <w:spacing w:line="240" w:lineRule="auto"/>
            </w:pPr>
            <w:r>
              <w:rPr>
                <w:sz w:val="18"/>
              </w:rPr>
            </w:r>
            <w:r>
              <w:rPr>
                <w:sz w:val="18"/>
              </w:rPr>
              <w:t>1.028</w:t>
            </w:r>
          </w:p>
        </w:tc>
        <w:tc>
          <w:tcPr>
            <w:tcW w:type="dxa" w:w="1560"/>
          </w:tcPr>
          <w:p>
            <w:pPr>
              <w:spacing w:line="240" w:lineRule="auto"/>
            </w:pPr>
            <w:r>
              <w:rPr>
                <w:sz w:val="18"/>
              </w:rPr>
            </w:r>
            <w:r>
              <w:rPr>
                <w:sz w:val="18"/>
              </w:rPr>
              <w:t>Average</w:t>
            </w:r>
          </w:p>
        </w:tc>
        <w:tc>
          <w:tcPr>
            <w:tcW w:type="dxa" w:w="1560"/>
          </w:tcPr>
          <w:p>
            <w:pPr>
              <w:spacing w:line="240" w:lineRule="auto"/>
            </w:pPr>
            <w:r>
              <w:rPr>
                <w:sz w:val="18"/>
              </w:rPr>
            </w:r>
            <w:r>
              <w:rPr>
                <w:sz w:val="18"/>
              </w:rPr>
              <w:t>December</w:t>
            </w:r>
          </w:p>
        </w:tc>
        <w:tc>
          <w:tcPr>
            <w:tcW w:type="dxa" w:w="1560"/>
          </w:tcPr>
          <w:p>
            <w:pPr>
              <w:spacing w:line="240" w:lineRule="auto"/>
            </w:pPr>
            <w:r>
              <w:rPr>
                <w:sz w:val="18"/>
              </w:rPr>
            </w:r>
            <w:r>
              <w:rPr>
                <w:sz w:val="18"/>
              </w:rPr>
              <w:t>1.273</w:t>
            </w:r>
          </w:p>
        </w:tc>
        <w:tc>
          <w:tcPr>
            <w:tcW w:type="dxa" w:w="1560"/>
          </w:tcPr>
          <w:p>
            <w:pPr>
              <w:spacing w:line="240" w:lineRule="auto"/>
            </w:pPr>
            <w:r>
              <w:rPr>
                <w:sz w:val="18"/>
              </w:rPr>
            </w:r>
            <w:r>
              <w:rPr>
                <w:sz w:val="18"/>
              </w:rPr>
              <w:t>Peak</w:t>
            </w:r>
          </w:p>
        </w:tc>
      </w:tr>
    </w:tbl>
    <w:p>
      <w:pPr>
        <w:spacing w:after="200" w:line="240" w:lineRule="auto"/>
        <w:jc w:val="center"/>
      </w:pPr>
      <w:r>
        <w:rPr>
          <w:i/>
          <w:color w:val="7B8994"/>
          <w:sz w:val="20"/>
        </w:rPr>
        <w:t>Table 12. Seasonal index by calendar month, April 2020 to December 2024.</w:t>
      </w:r>
    </w:p>
    <w:p>
      <w:r>
        <w:t>December (1.273) and October (1.229) are the strongest months; January (0.679) is the weakest, at barely half a December.</w:t>
      </w:r>
    </w:p>
    <w:p>
      <w:pPr>
        <w:pStyle w:val="Heading2"/>
      </w:pPr>
      <w:r>
        <w:t>Step 3 — The forecast</w:t>
      </w:r>
    </w:p>
    <w:p>
      <w:r>
        <w:t xml:space="preserve">Because the recent regime is flat rather than sloping, the forecast is built as </w:t>
      </w:r>
      <w:r>
        <w:rPr>
          <w:b/>
        </w:rPr>
        <w:t>recent level × seasonal index</w:t>
      </w:r>
      <w:r>
        <w:t xml:space="preserve"> — the standard construction for a series that is stable in level but strongly seasonal. The level is the mean of the last 24 months (</w:t>
      </w:r>
      <w:r>
        <w:rPr>
          <w:b/>
        </w:rPr>
        <w:t>101,342</w:t>
      </w:r>
      <w:r>
        <w:t>), a window confirmed flat by the trend test (p = 0.857).</w:t>
      </w:r>
    </w:p>
    <w:tbl>
      <w:tblPr>
        <w:tblStyle w:val="LightGrid-Accent1"/>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b/>
              </w:rPr>
              <w:t>Period</w:t>
            </w:r>
          </w:p>
        </w:tc>
        <w:tc>
          <w:tcPr>
            <w:tcW w:type="dxa" w:w="1560"/>
          </w:tcPr>
          <w:p>
            <w:r>
              <w:rPr>
                <w:b/>
              </w:rPr>
            </w:r>
            <w:r>
              <w:rPr>
                <w:b/>
              </w:rPr>
              <w:t>Index</w:t>
            </w:r>
          </w:p>
        </w:tc>
        <w:tc>
          <w:tcPr>
            <w:tcW w:type="dxa" w:w="1560"/>
          </w:tcPr>
          <w:p>
            <w:r>
              <w:rPr>
                <w:b/>
              </w:rPr>
            </w:r>
            <w:r>
              <w:rPr>
                <w:b/>
              </w:rPr>
              <w:t>Forecast</w:t>
            </w:r>
          </w:p>
        </w:tc>
        <w:tc>
          <w:tcPr>
            <w:tcW w:type="dxa" w:w="1560"/>
          </w:tcPr>
          <w:p>
            <w:r>
              <w:rPr>
                <w:b/>
              </w:rPr>
            </w:r>
            <w:r>
              <w:rPr>
                <w:b/>
              </w:rPr>
              <w:t>Actual</w:t>
            </w:r>
          </w:p>
        </w:tc>
        <w:tc>
          <w:tcPr>
            <w:tcW w:type="dxa" w:w="1560"/>
          </w:tcPr>
          <w:p>
            <w:r>
              <w:rPr>
                <w:b/>
              </w:rPr>
            </w:r>
            <w:r>
              <w:rPr>
                <w:b/>
              </w:rPr>
              <w:t>Error</w:t>
            </w:r>
          </w:p>
        </w:tc>
        <w:tc>
          <w:tcPr>
            <w:tcW w:type="dxa" w:w="1560"/>
          </w:tcPr>
          <w:p>
            <w:r>
              <w:rPr>
                <w:b/>
              </w:rPr>
            </w:r>
            <w:r>
              <w:rPr>
                <w:b/>
              </w:rPr>
              <w:t>Status</w:t>
            </w:r>
          </w:p>
        </w:tc>
      </w:tr>
      <w:tr>
        <w:tc>
          <w:tcPr>
            <w:tcW w:type="dxa" w:w="1560"/>
          </w:tcPr>
          <w:p>
            <w:pPr>
              <w:spacing w:line="240" w:lineRule="auto"/>
            </w:pPr>
            <w:r>
              <w:rPr>
                <w:sz w:val="18"/>
              </w:rPr>
            </w:r>
            <w:r>
              <w:rPr>
                <w:sz w:val="18"/>
              </w:rPr>
              <w:t>2025-01</w:t>
            </w:r>
          </w:p>
        </w:tc>
        <w:tc>
          <w:tcPr>
            <w:tcW w:type="dxa" w:w="1560"/>
          </w:tcPr>
          <w:p>
            <w:pPr>
              <w:spacing w:line="240" w:lineRule="auto"/>
            </w:pPr>
            <w:r>
              <w:rPr>
                <w:sz w:val="18"/>
              </w:rPr>
            </w:r>
            <w:r>
              <w:rPr>
                <w:sz w:val="18"/>
              </w:rPr>
              <w:t>0.679</w:t>
            </w:r>
          </w:p>
        </w:tc>
        <w:tc>
          <w:tcPr>
            <w:tcW w:type="dxa" w:w="1560"/>
          </w:tcPr>
          <w:p>
            <w:pPr>
              <w:spacing w:line="240" w:lineRule="auto"/>
            </w:pPr>
            <w:r>
              <w:rPr>
                <w:sz w:val="18"/>
              </w:rPr>
            </w:r>
            <w:r>
              <w:rPr>
                <w:sz w:val="18"/>
              </w:rPr>
              <w:t>68,853</w:t>
            </w:r>
          </w:p>
        </w:tc>
        <w:tc>
          <w:tcPr>
            <w:tcW w:type="dxa" w:w="1560"/>
          </w:tcPr>
          <w:p>
            <w:pPr>
              <w:spacing w:line="240" w:lineRule="auto"/>
            </w:pPr>
            <w:r>
              <w:rPr>
                <w:sz w:val="18"/>
              </w:rPr>
            </w:r>
            <w:r>
              <w:rPr>
                <w:sz w:val="18"/>
              </w:rPr>
              <w:t>112,906</w:t>
            </w:r>
          </w:p>
        </w:tc>
        <w:tc>
          <w:tcPr>
            <w:tcW w:type="dxa" w:w="1560"/>
          </w:tcPr>
          <w:p>
            <w:pPr>
              <w:spacing w:line="240" w:lineRule="auto"/>
            </w:pPr>
            <w:r>
              <w:rPr>
                <w:sz w:val="18"/>
              </w:rPr>
            </w:r>
            <w:r>
              <w:rPr>
                <w:b/>
                <w:sz w:val="18"/>
              </w:rPr>
              <w:t>−39.0%</w:t>
            </w:r>
          </w:p>
        </w:tc>
        <w:tc>
          <w:tcPr>
            <w:tcW w:type="dxa" w:w="1560"/>
          </w:tcPr>
          <w:p>
            <w:pPr>
              <w:spacing w:line="240" w:lineRule="auto"/>
            </w:pPr>
            <w:r>
              <w:rPr>
                <w:sz w:val="18"/>
              </w:rPr>
            </w:r>
            <w:r>
              <w:rPr>
                <w:sz w:val="18"/>
              </w:rPr>
              <w:t>Complete — comparable</w:t>
            </w:r>
          </w:p>
        </w:tc>
      </w:tr>
      <w:tr>
        <w:tc>
          <w:tcPr>
            <w:tcW w:type="dxa" w:w="1560"/>
          </w:tcPr>
          <w:p>
            <w:pPr>
              <w:spacing w:line="240" w:lineRule="auto"/>
            </w:pPr>
            <w:r>
              <w:rPr>
                <w:sz w:val="18"/>
              </w:rPr>
            </w:r>
            <w:r>
              <w:rPr>
                <w:sz w:val="18"/>
              </w:rPr>
              <w:t>2025-02</w:t>
            </w:r>
          </w:p>
        </w:tc>
        <w:tc>
          <w:tcPr>
            <w:tcW w:type="dxa" w:w="1560"/>
          </w:tcPr>
          <w:p>
            <w:pPr>
              <w:spacing w:line="240" w:lineRule="auto"/>
            </w:pPr>
            <w:r>
              <w:rPr>
                <w:sz w:val="18"/>
              </w:rPr>
            </w:r>
            <w:r>
              <w:rPr>
                <w:sz w:val="18"/>
              </w:rPr>
              <w:t>0.889</w:t>
            </w:r>
          </w:p>
        </w:tc>
        <w:tc>
          <w:tcPr>
            <w:tcW w:type="dxa" w:w="1560"/>
          </w:tcPr>
          <w:p>
            <w:pPr>
              <w:spacing w:line="240" w:lineRule="auto"/>
            </w:pPr>
            <w:r>
              <w:rPr>
                <w:sz w:val="18"/>
              </w:rPr>
            </w:r>
            <w:r>
              <w:rPr>
                <w:sz w:val="18"/>
              </w:rPr>
              <w:t>90,064</w:t>
            </w:r>
          </w:p>
        </w:tc>
        <w:tc>
          <w:tcPr>
            <w:tcW w:type="dxa" w:w="1560"/>
          </w:tcPr>
          <w:p>
            <w:pPr>
              <w:spacing w:line="240" w:lineRule="auto"/>
            </w:pPr>
            <w:r>
              <w:rPr>
                <w:sz w:val="18"/>
              </w:rPr>
            </w:r>
            <w:r>
              <w:rPr>
                <w:sz w:val="18"/>
              </w:rPr>
              <w:t>84,712</w:t>
            </w:r>
          </w:p>
        </w:tc>
        <w:tc>
          <w:tcPr>
            <w:tcW w:type="dxa" w:w="1560"/>
          </w:tcPr>
          <w:p>
            <w:pPr>
              <w:spacing w:line="240" w:lineRule="auto"/>
            </w:pPr>
            <w:r>
              <w:rPr>
                <w:sz w:val="18"/>
              </w:rPr>
            </w:r>
            <w:r>
              <w:rPr>
                <w:b/>
                <w:sz w:val="18"/>
              </w:rPr>
              <w:t>+6.3%</w:t>
            </w:r>
          </w:p>
        </w:tc>
        <w:tc>
          <w:tcPr>
            <w:tcW w:type="dxa" w:w="1560"/>
          </w:tcPr>
          <w:p>
            <w:pPr>
              <w:spacing w:line="240" w:lineRule="auto"/>
            </w:pPr>
            <w:r>
              <w:rPr>
                <w:sz w:val="18"/>
              </w:rPr>
            </w:r>
            <w:r>
              <w:rPr>
                <w:sz w:val="18"/>
              </w:rPr>
              <w:t>Complete — comparable</w:t>
            </w:r>
          </w:p>
        </w:tc>
      </w:tr>
      <w:tr>
        <w:tc>
          <w:tcPr>
            <w:tcW w:type="dxa" w:w="1560"/>
          </w:tcPr>
          <w:p>
            <w:pPr>
              <w:spacing w:line="240" w:lineRule="auto"/>
            </w:pPr>
            <w:r>
              <w:rPr>
                <w:sz w:val="18"/>
              </w:rPr>
            </w:r>
            <w:r>
              <w:rPr>
                <w:sz w:val="18"/>
              </w:rPr>
              <w:t>2025-03</w:t>
            </w:r>
          </w:p>
        </w:tc>
        <w:tc>
          <w:tcPr>
            <w:tcW w:type="dxa" w:w="1560"/>
          </w:tcPr>
          <w:p>
            <w:pPr>
              <w:spacing w:line="240" w:lineRule="auto"/>
            </w:pPr>
            <w:r>
              <w:rPr>
                <w:sz w:val="18"/>
              </w:rPr>
            </w:r>
            <w:r>
              <w:rPr>
                <w:sz w:val="18"/>
              </w:rPr>
              <w:t>1.025</w:t>
            </w:r>
          </w:p>
        </w:tc>
        <w:tc>
          <w:tcPr>
            <w:tcW w:type="dxa" w:w="1560"/>
          </w:tcPr>
          <w:p>
            <w:pPr>
              <w:spacing w:line="240" w:lineRule="auto"/>
            </w:pPr>
            <w:r>
              <w:rPr>
                <w:sz w:val="18"/>
              </w:rPr>
            </w:r>
            <w:r>
              <w:rPr>
                <w:sz w:val="18"/>
              </w:rPr>
              <w:t>103,870</w:t>
            </w:r>
          </w:p>
        </w:tc>
        <w:tc>
          <w:tcPr>
            <w:tcW w:type="dxa" w:w="1560"/>
          </w:tcPr>
          <w:p>
            <w:pPr>
              <w:spacing w:line="240" w:lineRule="auto"/>
            </w:pPr>
            <w:r>
              <w:rPr>
                <w:sz w:val="18"/>
              </w:rPr>
            </w:r>
            <w:r>
              <w:rPr>
                <w:sz w:val="18"/>
              </w:rPr>
              <w:t>52,198</w:t>
            </w:r>
          </w:p>
        </w:tc>
        <w:tc>
          <w:tcPr>
            <w:tcW w:type="dxa" w:w="1560"/>
          </w:tcPr>
          <w:p>
            <w:pPr>
              <w:spacing w:line="240" w:lineRule="auto"/>
            </w:pPr>
            <w:r>
              <w:rPr>
                <w:sz w:val="18"/>
              </w:rPr>
            </w:r>
            <w:r>
              <w:rPr>
                <w:sz w:val="18"/>
              </w:rPr>
              <w:t>—</w:t>
            </w:r>
          </w:p>
        </w:tc>
        <w:tc>
          <w:tcPr>
            <w:tcW w:type="dxa" w:w="1560"/>
          </w:tcPr>
          <w:p>
            <w:pPr>
              <w:spacing w:line="240" w:lineRule="auto"/>
            </w:pPr>
            <w:r>
              <w:rPr>
                <w:sz w:val="18"/>
              </w:rPr>
            </w:r>
            <w:r>
              <w:rPr>
                <w:sz w:val="18"/>
              </w:rPr>
              <w:t>Partial month — not comparable</w:t>
            </w:r>
          </w:p>
        </w:tc>
      </w:tr>
      <w:tr>
        <w:tc>
          <w:tcPr>
            <w:tcW w:type="dxa" w:w="1560"/>
          </w:tcPr>
          <w:p>
            <w:pPr>
              <w:spacing w:line="240" w:lineRule="auto"/>
            </w:pPr>
            <w:r>
              <w:rPr>
                <w:sz w:val="18"/>
              </w:rPr>
            </w:r>
            <w:r>
              <w:rPr>
                <w:sz w:val="18"/>
              </w:rPr>
              <w:t>2025-04</w:t>
            </w:r>
          </w:p>
        </w:tc>
        <w:tc>
          <w:tcPr>
            <w:tcW w:type="dxa" w:w="1560"/>
          </w:tcPr>
          <w:p>
            <w:pPr>
              <w:spacing w:line="240" w:lineRule="auto"/>
            </w:pPr>
            <w:r>
              <w:rPr>
                <w:sz w:val="18"/>
              </w:rPr>
            </w:r>
            <w:r>
              <w:rPr>
                <w:sz w:val="18"/>
              </w:rPr>
              <w:t>1.103</w:t>
            </w:r>
          </w:p>
        </w:tc>
        <w:tc>
          <w:tcPr>
            <w:tcW w:type="dxa" w:w="1560"/>
          </w:tcPr>
          <w:p>
            <w:pPr>
              <w:spacing w:line="240" w:lineRule="auto"/>
            </w:pPr>
            <w:r>
              <w:rPr>
                <w:sz w:val="18"/>
              </w:rPr>
            </w:r>
            <w:r>
              <w:rPr>
                <w:sz w:val="18"/>
              </w:rPr>
              <w:t>111,806</w:t>
            </w:r>
          </w:p>
        </w:tc>
        <w:tc>
          <w:tcPr>
            <w:tcW w:type="dxa" w:w="1560"/>
          </w:tcPr>
          <w:p>
            <w:pPr>
              <w:spacing w:line="240" w:lineRule="auto"/>
            </w:pPr>
            <w:r>
              <w:rPr>
                <w:sz w:val="18"/>
              </w:rPr>
            </w:r>
            <w:r>
              <w:rPr>
                <w:sz w:val="18"/>
              </w:rPr>
              <w:t>—</w:t>
            </w:r>
          </w:p>
        </w:tc>
        <w:tc>
          <w:tcPr>
            <w:tcW w:type="dxa" w:w="1560"/>
          </w:tcPr>
          <w:p>
            <w:pPr>
              <w:spacing w:line="240" w:lineRule="auto"/>
            </w:pPr>
            <w:r>
              <w:rPr>
                <w:sz w:val="18"/>
              </w:rPr>
            </w:r>
            <w:r>
              <w:rPr>
                <w:sz w:val="18"/>
              </w:rPr>
              <w:t>—</w:t>
            </w:r>
          </w:p>
        </w:tc>
        <w:tc>
          <w:tcPr>
            <w:tcW w:type="dxa" w:w="1560"/>
          </w:tcPr>
          <w:p>
            <w:pPr>
              <w:spacing w:line="240" w:lineRule="auto"/>
            </w:pPr>
            <w:r>
              <w:rPr>
                <w:sz w:val="18"/>
              </w:rPr>
            </w:r>
            <w:r>
              <w:rPr>
                <w:sz w:val="18"/>
              </w:rPr>
              <w:t>Future</w:t>
            </w:r>
          </w:p>
        </w:tc>
      </w:tr>
      <w:tr>
        <w:tc>
          <w:tcPr>
            <w:tcW w:type="dxa" w:w="1560"/>
          </w:tcPr>
          <w:p>
            <w:pPr>
              <w:spacing w:line="240" w:lineRule="auto"/>
            </w:pPr>
            <w:r>
              <w:rPr>
                <w:sz w:val="18"/>
              </w:rPr>
            </w:r>
            <w:r>
              <w:rPr>
                <w:sz w:val="18"/>
              </w:rPr>
              <w:t>2025-05</w:t>
            </w:r>
          </w:p>
        </w:tc>
        <w:tc>
          <w:tcPr>
            <w:tcW w:type="dxa" w:w="1560"/>
          </w:tcPr>
          <w:p>
            <w:pPr>
              <w:spacing w:line="240" w:lineRule="auto"/>
            </w:pPr>
            <w:r>
              <w:rPr>
                <w:sz w:val="18"/>
              </w:rPr>
            </w:r>
            <w:r>
              <w:rPr>
                <w:sz w:val="18"/>
              </w:rPr>
              <w:t>1.131</w:t>
            </w:r>
          </w:p>
        </w:tc>
        <w:tc>
          <w:tcPr>
            <w:tcW w:type="dxa" w:w="1560"/>
          </w:tcPr>
          <w:p>
            <w:pPr>
              <w:spacing w:line="240" w:lineRule="auto"/>
            </w:pPr>
            <w:r>
              <w:rPr>
                <w:sz w:val="18"/>
              </w:rPr>
            </w:r>
            <w:r>
              <w:rPr>
                <w:sz w:val="18"/>
              </w:rPr>
              <w:t>114,574</w:t>
            </w:r>
          </w:p>
        </w:tc>
        <w:tc>
          <w:tcPr>
            <w:tcW w:type="dxa" w:w="1560"/>
          </w:tcPr>
          <w:p>
            <w:pPr>
              <w:spacing w:line="240" w:lineRule="auto"/>
            </w:pPr>
            <w:r>
              <w:rPr>
                <w:sz w:val="18"/>
              </w:rPr>
            </w:r>
            <w:r>
              <w:rPr>
                <w:sz w:val="18"/>
              </w:rPr>
              <w:t>—</w:t>
            </w:r>
          </w:p>
        </w:tc>
        <w:tc>
          <w:tcPr>
            <w:tcW w:type="dxa" w:w="1560"/>
          </w:tcPr>
          <w:p>
            <w:pPr>
              <w:spacing w:line="240" w:lineRule="auto"/>
            </w:pPr>
            <w:r>
              <w:rPr>
                <w:sz w:val="18"/>
              </w:rPr>
            </w:r>
            <w:r>
              <w:rPr>
                <w:sz w:val="18"/>
              </w:rPr>
              <w:t>—</w:t>
            </w:r>
          </w:p>
        </w:tc>
        <w:tc>
          <w:tcPr>
            <w:tcW w:type="dxa" w:w="1560"/>
          </w:tcPr>
          <w:p>
            <w:pPr>
              <w:spacing w:line="240" w:lineRule="auto"/>
            </w:pPr>
            <w:r>
              <w:rPr>
                <w:sz w:val="18"/>
              </w:rPr>
            </w:r>
            <w:r>
              <w:rPr>
                <w:sz w:val="18"/>
              </w:rPr>
              <w:t>Future</w:t>
            </w:r>
          </w:p>
        </w:tc>
      </w:tr>
      <w:tr>
        <w:tc>
          <w:tcPr>
            <w:tcW w:type="dxa" w:w="1560"/>
          </w:tcPr>
          <w:p>
            <w:pPr>
              <w:spacing w:line="240" w:lineRule="auto"/>
            </w:pPr>
            <w:r>
              <w:rPr>
                <w:sz w:val="18"/>
              </w:rPr>
            </w:r>
            <w:r>
              <w:rPr>
                <w:sz w:val="18"/>
              </w:rPr>
              <w:t>2025-06</w:t>
            </w:r>
          </w:p>
        </w:tc>
        <w:tc>
          <w:tcPr>
            <w:tcW w:type="dxa" w:w="1560"/>
          </w:tcPr>
          <w:p>
            <w:pPr>
              <w:spacing w:line="240" w:lineRule="auto"/>
            </w:pPr>
            <w:r>
              <w:rPr>
                <w:sz w:val="18"/>
              </w:rPr>
            </w:r>
            <w:r>
              <w:rPr>
                <w:sz w:val="18"/>
              </w:rPr>
              <w:t>1.028</w:t>
            </w:r>
          </w:p>
        </w:tc>
        <w:tc>
          <w:tcPr>
            <w:tcW w:type="dxa" w:w="1560"/>
          </w:tcPr>
          <w:p>
            <w:pPr>
              <w:spacing w:line="240" w:lineRule="auto"/>
            </w:pPr>
            <w:r>
              <w:rPr>
                <w:sz w:val="18"/>
              </w:rPr>
            </w:r>
            <w:r>
              <w:rPr>
                <w:sz w:val="18"/>
              </w:rPr>
              <w:t>104,156</w:t>
            </w:r>
          </w:p>
        </w:tc>
        <w:tc>
          <w:tcPr>
            <w:tcW w:type="dxa" w:w="1560"/>
          </w:tcPr>
          <w:p>
            <w:pPr>
              <w:spacing w:line="240" w:lineRule="auto"/>
            </w:pPr>
            <w:r>
              <w:rPr>
                <w:sz w:val="18"/>
              </w:rPr>
            </w:r>
            <w:r>
              <w:rPr>
                <w:sz w:val="18"/>
              </w:rPr>
              <w:t>—</w:t>
            </w:r>
          </w:p>
        </w:tc>
        <w:tc>
          <w:tcPr>
            <w:tcW w:type="dxa" w:w="1560"/>
          </w:tcPr>
          <w:p>
            <w:pPr>
              <w:spacing w:line="240" w:lineRule="auto"/>
            </w:pPr>
            <w:r>
              <w:rPr>
                <w:sz w:val="18"/>
              </w:rPr>
            </w:r>
            <w:r>
              <w:rPr>
                <w:sz w:val="18"/>
              </w:rPr>
              <w:t>—</w:t>
            </w:r>
          </w:p>
        </w:tc>
        <w:tc>
          <w:tcPr>
            <w:tcW w:type="dxa" w:w="1560"/>
          </w:tcPr>
          <w:p>
            <w:pPr>
              <w:spacing w:line="240" w:lineRule="auto"/>
            </w:pPr>
            <w:r>
              <w:rPr>
                <w:sz w:val="18"/>
              </w:rPr>
            </w:r>
            <w:r>
              <w:rPr>
                <w:sz w:val="18"/>
              </w:rPr>
              <w:t>Future</w:t>
            </w:r>
          </w:p>
        </w:tc>
      </w:tr>
    </w:tbl>
    <w:p>
      <w:pPr>
        <w:spacing w:after="200" w:line="240" w:lineRule="auto"/>
        <w:jc w:val="center"/>
      </w:pPr>
      <w:r>
        <w:rPr>
          <w:i/>
          <w:color w:val="7B8994"/>
          <w:sz w:val="20"/>
        </w:rPr>
        <w:t>Table 13. Six-period forecast with the two complete holdout months compared.</w:t>
      </w:r>
    </w:p>
    <w:p>
      <w:pPr>
        <w:jc w:val="center"/>
      </w:pPr>
      <w:r>
        <w:drawing>
          <wp:inline xmlns:a="http://schemas.openxmlformats.org/drawingml/2006/main" xmlns:pic="http://schemas.openxmlformats.org/drawingml/2006/picture">
            <wp:extent cx="5486400" cy="2787343"/>
            <wp:docPr id="4" name="Picture 4"/>
            <wp:cNvGraphicFramePr>
              <a:graphicFrameLocks noChangeAspect="1"/>
            </wp:cNvGraphicFramePr>
            <a:graphic>
              <a:graphicData uri="http://schemas.openxmlformats.org/drawingml/2006/picture">
                <pic:pic>
                  <pic:nvPicPr>
                    <pic:cNvPr id="0" name="cp2_fig4_forecast.png"/>
                    <pic:cNvPicPr/>
                  </pic:nvPicPr>
                  <pic:blipFill>
                    <a:blip r:embed="rId12"/>
                    <a:stretch>
                      <a:fillRect/>
                    </a:stretch>
                  </pic:blipFill>
                  <pic:spPr>
                    <a:xfrm>
                      <a:off x="0" y="0"/>
                      <a:ext cx="5486400" cy="2787343"/>
                    </a:xfrm>
                    <a:prstGeom prst="rect"/>
                  </pic:spPr>
                </pic:pic>
              </a:graphicData>
            </a:graphic>
          </wp:inline>
        </w:drawing>
      </w:r>
    </w:p>
    <w:p>
      <w:pPr>
        <w:spacing w:after="200" w:line="240" w:lineRule="auto"/>
        <w:jc w:val="center"/>
      </w:pPr>
      <w:r>
        <w:rPr>
          <w:i/>
          <w:color w:val="7B8994"/>
          <w:sz w:val="20"/>
        </w:rPr>
        <w:t>Figure 4. The sales trend in two regimes. The 12-month rolling average shows growth to a late-2022 peak, then a plateau; the six-month forecast and the two holdout months are at the right.</w:t>
      </w:r>
    </w:p>
    <w:p>
      <w:pPr>
        <w:pStyle w:val="Heading2"/>
      </w:pPr>
      <w:r>
        <w:t>Step 4 — How reliable is it? An honest assessment</w:t>
      </w:r>
    </w:p>
    <w:p>
      <w:r>
        <w:t>Comparing the seasonal forecast against a naive alternative that ignores seasonality and predicts the recent average (101,342) every month:</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Model</w:t>
            </w:r>
          </w:p>
        </w:tc>
        <w:tc>
          <w:tcPr>
            <w:tcW w:type="dxa" w:w="2340"/>
          </w:tcPr>
          <w:p>
            <w:r>
              <w:rPr>
                <w:b/>
              </w:rPr>
            </w:r>
            <w:r>
              <w:rPr>
                <w:b/>
              </w:rPr>
              <w:t>Jan error</w:t>
            </w:r>
          </w:p>
        </w:tc>
        <w:tc>
          <w:tcPr>
            <w:tcW w:type="dxa" w:w="2340"/>
          </w:tcPr>
          <w:p>
            <w:r>
              <w:rPr>
                <w:b/>
              </w:rPr>
            </w:r>
            <w:r>
              <w:rPr>
                <w:b/>
              </w:rPr>
              <w:t>Feb error</w:t>
            </w:r>
          </w:p>
        </w:tc>
        <w:tc>
          <w:tcPr>
            <w:tcW w:type="dxa" w:w="2340"/>
          </w:tcPr>
          <w:p>
            <w:r>
              <w:rPr>
                <w:b/>
              </w:rPr>
            </w:r>
            <w:r>
              <w:rPr>
                <w:b/>
              </w:rPr>
              <w:t>Mean absolute error</w:t>
            </w:r>
          </w:p>
        </w:tc>
      </w:tr>
      <w:tr>
        <w:tc>
          <w:tcPr>
            <w:tcW w:type="dxa" w:w="2340"/>
          </w:tcPr>
          <w:p>
            <w:pPr>
              <w:spacing w:line="240" w:lineRule="auto"/>
            </w:pPr>
            <w:r>
              <w:rPr>
                <w:sz w:val="18"/>
              </w:rPr>
            </w:r>
            <w:r>
              <w:rPr>
                <w:sz w:val="18"/>
              </w:rPr>
              <w:t>Seasonal (level × index)</w:t>
            </w:r>
          </w:p>
        </w:tc>
        <w:tc>
          <w:tcPr>
            <w:tcW w:type="dxa" w:w="2340"/>
          </w:tcPr>
          <w:p>
            <w:pPr>
              <w:spacing w:line="240" w:lineRule="auto"/>
            </w:pPr>
            <w:r>
              <w:rPr>
                <w:sz w:val="18"/>
              </w:rPr>
            </w:r>
            <w:r>
              <w:rPr>
                <w:sz w:val="18"/>
              </w:rPr>
              <w:t>−39.0%</w:t>
            </w:r>
          </w:p>
        </w:tc>
        <w:tc>
          <w:tcPr>
            <w:tcW w:type="dxa" w:w="2340"/>
          </w:tcPr>
          <w:p>
            <w:pPr>
              <w:spacing w:line="240" w:lineRule="auto"/>
            </w:pPr>
            <w:r>
              <w:rPr>
                <w:sz w:val="18"/>
              </w:rPr>
            </w:r>
            <w:r>
              <w:rPr>
                <w:sz w:val="18"/>
              </w:rPr>
              <w:t>+6.3%</w:t>
            </w:r>
          </w:p>
        </w:tc>
        <w:tc>
          <w:tcPr>
            <w:tcW w:type="dxa" w:w="2340"/>
          </w:tcPr>
          <w:p>
            <w:pPr>
              <w:spacing w:line="240" w:lineRule="auto"/>
            </w:pPr>
            <w:r>
              <w:rPr>
                <w:sz w:val="18"/>
              </w:rPr>
            </w:r>
            <w:r>
              <w:rPr>
                <w:b/>
                <w:sz w:val="18"/>
              </w:rPr>
              <w:t>22.7%</w:t>
            </w:r>
          </w:p>
        </w:tc>
      </w:tr>
      <w:tr>
        <w:tc>
          <w:tcPr>
            <w:tcW w:type="dxa" w:w="2340"/>
          </w:tcPr>
          <w:p>
            <w:pPr>
              <w:spacing w:line="240" w:lineRule="auto"/>
            </w:pPr>
            <w:r>
              <w:rPr>
                <w:sz w:val="18"/>
              </w:rPr>
            </w:r>
            <w:r>
              <w:rPr>
                <w:sz w:val="18"/>
              </w:rPr>
              <w:t>Flat (level only)</w:t>
            </w:r>
          </w:p>
        </w:tc>
        <w:tc>
          <w:tcPr>
            <w:tcW w:type="dxa" w:w="2340"/>
          </w:tcPr>
          <w:p>
            <w:pPr>
              <w:spacing w:line="240" w:lineRule="auto"/>
            </w:pPr>
            <w:r>
              <w:rPr>
                <w:sz w:val="18"/>
              </w:rPr>
            </w:r>
            <w:r>
              <w:rPr>
                <w:sz w:val="18"/>
              </w:rPr>
              <w:t>−10.2%</w:t>
            </w:r>
          </w:p>
        </w:tc>
        <w:tc>
          <w:tcPr>
            <w:tcW w:type="dxa" w:w="2340"/>
          </w:tcPr>
          <w:p>
            <w:pPr>
              <w:spacing w:line="240" w:lineRule="auto"/>
            </w:pPr>
            <w:r>
              <w:rPr>
                <w:sz w:val="18"/>
              </w:rPr>
            </w:r>
            <w:r>
              <w:rPr>
                <w:sz w:val="18"/>
              </w:rPr>
              <w:t>+19.6%</w:t>
            </w:r>
          </w:p>
        </w:tc>
        <w:tc>
          <w:tcPr>
            <w:tcW w:type="dxa" w:w="2340"/>
          </w:tcPr>
          <w:p>
            <w:pPr>
              <w:spacing w:line="240" w:lineRule="auto"/>
            </w:pPr>
            <w:r>
              <w:rPr>
                <w:sz w:val="18"/>
              </w:rPr>
            </w:r>
            <w:r>
              <w:rPr>
                <w:b/>
                <w:sz w:val="18"/>
              </w:rPr>
              <w:t>14.9%</w:t>
            </w:r>
          </w:p>
        </w:tc>
      </w:tr>
    </w:tbl>
    <w:p>
      <w:pPr>
        <w:spacing w:after="200" w:line="240" w:lineRule="auto"/>
        <w:jc w:val="center"/>
      </w:pPr>
      <w:r>
        <w:rPr>
          <w:i/>
          <w:color w:val="7B8994"/>
          <w:sz w:val="20"/>
        </w:rPr>
        <w:t>Table 14. Forecast accuracy over the two complete holdout months.</w:t>
      </w:r>
    </w:p>
    <w:p>
      <w:r>
        <w:rPr>
          <w:b/>
        </w:rPr>
        <w:t>The seasonal model did not win.</w:t>
      </w:r>
      <w:r>
        <w:t xml:space="preserve"> It was better in February (6.3% against 19.6%) but much worse in January, and on average the simpler flat forecast was more accurate over these two months.</w:t>
      </w:r>
    </w:p>
    <w:p>
      <w:r>
        <w:t xml:space="preserve">The cause is identifiable. January is historically the weakest month of the year at index 0.679, but </w:t>
      </w:r>
      <w:r>
        <w:rPr>
          <w:b/>
        </w:rPr>
        <w:t>January 2025 came in at 112,906 — above the recent average level, not 32% below it</w:t>
      </w:r>
      <w:r>
        <w:t>. Either the seasonal pattern has broken, or January 2025 is an unusual month. Two observations cannot distinguish those.</w:t>
      </w:r>
    </w:p>
    <w:p>
      <w:r>
        <w:t xml:space="preserve">The honest conclusion: </w:t>
      </w:r>
      <w:r>
        <w:rPr>
          <w:b/>
        </w:rPr>
        <w:t>with two comparable months, no forecasting method can be validated here.</w:t>
      </w:r>
      <w:r>
        <w:t xml:space="preserve"> This is reported as a sanity check, not as evidence the model works. What it does establish is that the seasonal adjustment is not obviously earning its extra complexity, which is worth knowing before anyone plans inventory on it.</w:t>
      </w:r>
    </w:p>
    <w:p>
      <w:pPr>
        <w:pStyle w:val="Heading2"/>
      </w:pPr>
      <w:r>
        <w:t>Assumptions and conditions</w:t>
      </w:r>
    </w:p>
    <w:p>
      <w:pPr>
        <w:pStyle w:val="ListNumber"/>
      </w:pPr>
      <w:r>
        <w:rPr>
          <w:b/>
        </w:rPr>
        <w:t>No trend is projected</w:t>
      </w:r>
      <w:r>
        <w:t>, because the trend test does not support one. If the business enters a new growth phase, the level must be re-estimated.</w:t>
      </w:r>
    </w:p>
    <w:p>
      <w:pPr>
        <w:pStyle w:val="ListNumber"/>
      </w:pPr>
      <w:r>
        <w:rPr>
          <w:b/>
        </w:rPr>
        <w:t>The seasonal index assumes next year repeats the average shape of the last five.</w:t>
      </w:r>
      <w:r>
        <w:t xml:space="preserve"> January 2025 shows that assumption failing in practice.</w:t>
      </w:r>
    </w:p>
    <w:p>
      <w:pPr>
        <w:pStyle w:val="ListNumber"/>
      </w:pPr>
      <w:r>
        <w:rPr>
          <w:b/>
        </w:rPr>
        <w:t>The level is the mean of the last 24 months</w:t>
      </w:r>
      <w:r>
        <w:t>, chosen because the series is flat over that window.</w:t>
      </w:r>
    </w:p>
    <w:p>
      <w:pPr>
        <w:pStyle w:val="ListNumber"/>
      </w:pPr>
      <w:r>
        <w:rPr>
          <w:b/>
        </w:rPr>
        <w:t>Two holdout months cannot validate a method.</w:t>
      </w:r>
      <w:r>
        <w:t xml:space="preserve"> A meaningful test needs at least a full year.</w:t>
      </w:r>
    </w:p>
    <w:p>
      <w:pPr>
        <w:pStyle w:val="ListNumber"/>
      </w:pPr>
      <w:r>
        <w:rPr>
          <w:b/>
        </w:rPr>
        <w:t>Nothing here models the Printer supply problem</w:t>
      </w:r>
      <w:r>
        <w:t xml:space="preserve"> found in Checkpoint 1. If that is a supply failure and it is fixed, the forecast is too low; if it is lost demand, it may be too high.</w:t>
      </w:r>
    </w:p>
    <w:p>
      <w:r>
        <w:br w:type="page"/>
      </w:r>
    </w:p>
    <w:p>
      <w:pPr>
        <w:pStyle w:val="Heading1"/>
      </w:pPr>
      <w:r>
        <w:t>Summary of Findings</w:t>
      </w:r>
    </w:p>
    <w:p>
      <w:pPr>
        <w:pStyle w:val="ListNumber"/>
      </w:pPr>
      <w:r>
        <w:rPr>
          <w:b/>
        </w:rPr>
        <w:t>Order count drives revenue, and this is now proven, not inferred.</w:t>
      </w:r>
      <w:r>
        <w:t xml:space="preserve"> r = 0.923, R² = 0.851, p &lt; 0.001 across 57 months. The Checkpoint 1 inference holds up formally. </w:t>
      </w:r>
      <w:r>
        <w:rPr>
          <w:i/>
        </w:rPr>
        <w:t>(Tasks 2.3, 2.4)</w:t>
      </w:r>
    </w:p>
    <w:p>
      <w:pPr>
        <w:pStyle w:val="ListNumber"/>
      </w:pPr>
      <w:r>
        <w:rPr>
          <w:b/>
        </w:rPr>
        <w:t>Units sold predicts nothing.</w:t>
      </w:r>
      <w:r>
        <w:t xml:space="preserve"> r = 0.045, p = 0.123 — not significant. Volume-based targets and incentives would not move revenue. </w:t>
      </w:r>
      <w:r>
        <w:rPr>
          <w:i/>
        </w:rPr>
        <w:t>(Task 2.3)</w:t>
      </w:r>
    </w:p>
    <w:p>
      <w:pPr>
        <w:pStyle w:val="ListNumber"/>
      </w:pPr>
      <w:r>
        <w:rPr>
          <w:b/>
        </w:rPr>
        <w:t>Revenue is a poor proxy for profit.</w:t>
      </w:r>
      <w:r>
        <w:t xml:space="preserve"> Profit is right-skewed (+0.94) with a coefficient of variation of 82.9% against Amount's 54.2%, and only 46% of profit variation tracks revenue. </w:t>
      </w:r>
      <w:r>
        <w:rPr>
          <w:i/>
        </w:rPr>
        <w:t>(Tasks 2.2, 2.3)</w:t>
      </w:r>
    </w:p>
    <w:p>
      <w:pPr>
        <w:pStyle w:val="ListNumber"/>
      </w:pPr>
      <w:r>
        <w:rPr>
          <w:b/>
        </w:rPr>
        <w:t>The sales trend runs in two regimes: growth then plateau.</w:t>
      </w:r>
      <w:r>
        <w:t xml:space="preserve"> Revenue per month rose 30.9% to a 2022 peak, then fell 17.6% and flattened. A single straight line fitted across both explains under 1% of the variation (p = 0.515), which is why the six-month forecast is built on level and seasonality rather than on a growth rate. </w:t>
      </w:r>
      <w:r>
        <w:rPr>
          <w:i/>
        </w:rPr>
        <w:t>(Task 2.5)</w:t>
      </w:r>
    </w:p>
    <w:p>
      <w:pPr>
        <w:pStyle w:val="ListNumber"/>
      </w:pPr>
      <w:r>
        <w:rPr>
          <w:b/>
        </w:rPr>
        <w:t>The four-order-per-month gap is worth about 250,000 a year</w:t>
      </w:r>
      <w:r>
        <w:t xml:space="preserve"> by the regression, independently corroborating the 257,297 shortfall measured directly in Checkpoint 1. </w:t>
      </w:r>
      <w:r>
        <w:rPr>
          <w:i/>
        </w:rPr>
        <w:t>(Task 2.4)</w:t>
      </w:r>
    </w:p>
    <w:p>
      <w:pPr>
        <w:pStyle w:val="ListNumber"/>
      </w:pPr>
      <w:r>
        <w:rPr>
          <w:b/>
        </w:rPr>
        <w:t>The seasonal forecast did not beat a flat average</w:t>
      </w:r>
      <w:r>
        <w:t xml:space="preserve"> over the two holdout months, and two months cannot settle the question. </w:t>
      </w:r>
      <w:r>
        <w:rPr>
          <w:i/>
        </w:rPr>
        <w:t>(Task 2.5)</w:t>
      </w:r>
    </w:p>
    <w:p>
      <w:r>
        <w:rPr>
          <w:b/>
        </w:rPr>
        <w:t>Recommended next step for Checkpoint 3.</w:t>
      </w:r>
      <w:r>
        <w:t xml:space="preserve"> Build the dashboard around order count as the primary KPI rather than revenue, since it is the leading indicator and the actionable one. Segment on margin rather than revenue, given how weakly the two are related.</w:t>
      </w:r>
    </w:p>
    <w:p>
      <w:r>
        <w:rPr>
          <w:b/>
        </w:rPr>
        <w:t>Stated limitation.</w:t>
      </w:r>
      <w:r>
        <w:t xml:space="preserve"> As established in Checkpoint 1, the dataset is synthetic — the flat, non-normal distributions of Amount and Quantity found in Task 2.2 are further evidence. The statistical methods and their interpretation are valid; the specific coefficients describe this file rather than a real market.</w:t>
      </w:r>
    </w:p>
    <w:p>
      <w:r>
        <w:br w:type="page"/>
      </w:r>
    </w:p>
    <w:p>
      <w:pPr>
        <w:pStyle w:val="Heading1"/>
      </w:pPr>
      <w:r>
        <w:t>Reproducibility</w:t>
      </w:r>
    </w:p>
    <w:p>
      <w:pPr>
        <w:spacing w:before="80" w:after="160"/>
        <w:ind w:left="360"/>
      </w:pPr>
      <w:r>
        <w:rPr>
          <w:rFonts w:ascii="Consolas" w:hAnsi="Consolas"/>
          <w:color w:val="333D47"/>
          <w:sz w:val="17"/>
        </w:rPr>
        <w:t>python3 scripts/clean_and_load.py      # rebuild the database</w:t>
        <w:br/>
        <w:t>python3 scripts/build_workbook.py      # build the Excel workbook</w:t>
        <w:br/>
        <w:t>python3 scripts/make_figures_cp2.py    # regenerate Figures 1-4</w:t>
        <w:br/>
        <w:t>python3 scripts/build_docx.py          # render this report to Word</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Artefact</w:t>
            </w:r>
          </w:p>
        </w:tc>
        <w:tc>
          <w:tcPr>
            <w:tcW w:type="dxa" w:w="4680"/>
          </w:tcPr>
          <w:p>
            <w:r>
              <w:rPr>
                <w:b/>
              </w:rPr>
            </w:r>
            <w:r>
              <w:rPr>
                <w:b/>
              </w:rPr>
              <w:t>Path</w:t>
            </w:r>
          </w:p>
        </w:tc>
      </w:tr>
      <w:tr>
        <w:tc>
          <w:tcPr>
            <w:tcW w:type="dxa" w:w="4680"/>
          </w:tcPr>
          <w:p>
            <w:pPr>
              <w:spacing w:line="240" w:lineRule="auto"/>
            </w:pPr>
            <w:r>
              <w:rPr>
                <w:sz w:val="18"/>
              </w:rPr>
            </w:r>
            <w:r>
              <w:rPr>
                <w:sz w:val="18"/>
              </w:rPr>
              <w:t>Excel workbook</w:t>
            </w:r>
          </w:p>
        </w:tc>
        <w:tc>
          <w:tcPr>
            <w:tcW w:type="dxa" w:w="4680"/>
          </w:tcPr>
          <w:p>
            <w:pPr>
              <w:spacing w:line="240" w:lineRule="auto"/>
            </w:pPr>
            <w:r>
              <w:rPr>
                <w:sz w:val="18"/>
              </w:rPr>
            </w:r>
            <w:r>
              <w:rPr>
                <w:rFonts w:ascii="Consolas" w:hAnsi="Consolas"/>
                <w:color w:val="2F6F9F"/>
                <w:sz w:val="18"/>
              </w:rPr>
              <w:t>reports/Checkpoint_2_Workbook.xlsx</w:t>
            </w:r>
          </w:p>
        </w:tc>
      </w:tr>
      <w:tr>
        <w:tc>
          <w:tcPr>
            <w:tcW w:type="dxa" w:w="4680"/>
          </w:tcPr>
          <w:p>
            <w:pPr>
              <w:spacing w:line="240" w:lineRule="auto"/>
            </w:pPr>
            <w:r>
              <w:rPr>
                <w:sz w:val="18"/>
              </w:rPr>
            </w:r>
            <w:r>
              <w:rPr>
                <w:sz w:val="18"/>
              </w:rPr>
              <w:t>This report</w:t>
            </w:r>
          </w:p>
        </w:tc>
        <w:tc>
          <w:tcPr>
            <w:tcW w:type="dxa" w:w="4680"/>
          </w:tcPr>
          <w:p>
            <w:pPr>
              <w:spacing w:line="240" w:lineRule="auto"/>
            </w:pPr>
            <w:r>
              <w:rPr>
                <w:sz w:val="18"/>
              </w:rPr>
            </w:r>
            <w:r>
              <w:rPr>
                <w:rFonts w:ascii="Consolas" w:hAnsi="Consolas"/>
                <w:color w:val="2F6F9F"/>
                <w:sz w:val="18"/>
              </w:rPr>
              <w:t>reports/Checkpoint_2_Report.docx</w:t>
            </w:r>
          </w:p>
        </w:tc>
      </w:tr>
      <w:tr>
        <w:tc>
          <w:tcPr>
            <w:tcW w:type="dxa" w:w="4680"/>
          </w:tcPr>
          <w:p>
            <w:pPr>
              <w:spacing w:line="240" w:lineRule="auto"/>
            </w:pPr>
            <w:r>
              <w:rPr>
                <w:sz w:val="18"/>
              </w:rPr>
            </w:r>
            <w:r>
              <w:rPr>
                <w:sz w:val="18"/>
              </w:rPr>
              <w:t>Workbook builder</w:t>
            </w:r>
          </w:p>
        </w:tc>
        <w:tc>
          <w:tcPr>
            <w:tcW w:type="dxa" w:w="4680"/>
          </w:tcPr>
          <w:p>
            <w:pPr>
              <w:spacing w:line="240" w:lineRule="auto"/>
            </w:pPr>
            <w:r>
              <w:rPr>
                <w:sz w:val="18"/>
              </w:rPr>
            </w:r>
            <w:r>
              <w:rPr>
                <w:rFonts w:ascii="Consolas" w:hAnsi="Consolas"/>
                <w:color w:val="2F6F9F"/>
                <w:sz w:val="18"/>
              </w:rPr>
              <w:t>scripts/build_workbook.py</w:t>
            </w:r>
          </w:p>
        </w:tc>
      </w:tr>
      <w:tr>
        <w:tc>
          <w:tcPr>
            <w:tcW w:type="dxa" w:w="4680"/>
          </w:tcPr>
          <w:p>
            <w:pPr>
              <w:spacing w:line="240" w:lineRule="auto"/>
            </w:pPr>
            <w:r>
              <w:rPr>
                <w:sz w:val="18"/>
              </w:rPr>
            </w:r>
            <w:r>
              <w:rPr>
                <w:sz w:val="18"/>
              </w:rPr>
              <w:t>Figures</w:t>
            </w:r>
          </w:p>
        </w:tc>
        <w:tc>
          <w:tcPr>
            <w:tcW w:type="dxa" w:w="4680"/>
          </w:tcPr>
          <w:p>
            <w:pPr>
              <w:spacing w:line="240" w:lineRule="auto"/>
            </w:pPr>
            <w:r>
              <w:rPr>
                <w:sz w:val="18"/>
              </w:rPr>
            </w:r>
            <w:r>
              <w:rPr>
                <w:rFonts w:ascii="Consolas" w:hAnsi="Consolas"/>
                <w:color w:val="2F6F9F"/>
                <w:sz w:val="18"/>
              </w:rPr>
              <w:t>docs/figures/cp2_*.png</w:t>
            </w:r>
          </w:p>
        </w:tc>
      </w:tr>
      <w:tr>
        <w:tc>
          <w:tcPr>
            <w:tcW w:type="dxa" w:w="4680"/>
          </w:tcPr>
          <w:p>
            <w:pPr>
              <w:spacing w:line="240" w:lineRule="auto"/>
            </w:pPr>
            <w:r>
              <w:rPr>
                <w:sz w:val="18"/>
              </w:rPr>
            </w:r>
            <w:r>
              <w:rPr>
                <w:sz w:val="18"/>
              </w:rPr>
              <w:t>Native PivotTable guide</w:t>
            </w:r>
          </w:p>
        </w:tc>
        <w:tc>
          <w:tcPr>
            <w:tcW w:type="dxa" w:w="4680"/>
          </w:tcPr>
          <w:p>
            <w:pPr>
              <w:spacing w:line="240" w:lineRule="auto"/>
            </w:pPr>
            <w:r>
              <w:rPr>
                <w:sz w:val="18"/>
              </w:rPr>
            </w:r>
            <w:r>
              <w:rPr>
                <w:rFonts w:ascii="Consolas" w:hAnsi="Consolas"/>
                <w:color w:val="2F6F9F"/>
                <w:sz w:val="18"/>
              </w:rPr>
              <w:t>docs/checkpoint2_excel_guide.md</w:t>
            </w:r>
          </w:p>
        </w:tc>
      </w:tr>
      <w:tr>
        <w:tc>
          <w:tcPr>
            <w:tcW w:type="dxa" w:w="4680"/>
          </w:tcPr>
          <w:p>
            <w:pPr>
              <w:spacing w:line="240" w:lineRule="auto"/>
            </w:pPr>
            <w:r>
              <w:rPr>
                <w:sz w:val="18"/>
              </w:rPr>
            </w:r>
            <w:r>
              <w:rPr>
                <w:sz w:val="18"/>
              </w:rPr>
              <w:t>Individual Contribution Form</w:t>
            </w:r>
          </w:p>
        </w:tc>
        <w:tc>
          <w:tcPr>
            <w:tcW w:type="dxa" w:w="4680"/>
          </w:tcPr>
          <w:p>
            <w:pPr>
              <w:spacing w:line="240" w:lineRule="auto"/>
            </w:pPr>
            <w:r>
              <w:rPr>
                <w:sz w:val="18"/>
              </w:rPr>
            </w:r>
            <w:r>
              <w:rPr>
                <w:rFonts w:ascii="Consolas" w:hAnsi="Consolas"/>
                <w:color w:val="2F6F9F"/>
                <w:sz w:val="18"/>
              </w:rPr>
              <w:t>reports/Form_A_Individual_Contribution.md</w:t>
            </w:r>
          </w:p>
        </w:tc>
      </w:tr>
    </w:tbl>
    <w:p>
      <w:pPr>
        <w:spacing w:after="200" w:line="240" w:lineRule="auto"/>
        <w:jc w:val="center"/>
      </w:pPr>
      <w:r>
        <w:rPr>
          <w:i/>
          <w:color w:val="7B8994"/>
          <w:sz w:val="20"/>
        </w:rPr>
        <w:t>Table 15. Checkpoint 2 artefacts and their locations.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color w:val="1F29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2F6F9F"/>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1F293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