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2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is to be evaluated against the four ISO/IEC 25010 quality characteristics named in the research instrument: usability, functionality, efficiency, and reliability, with students of Talibon Polytechnic College and tricycle drivers serving the campus as respondents.</w:t>
      </w:r>
    </w:p>
    <w:p>
      <w:pPr>
        <w:pStyle w:val="BodyText"/>
      </w:pPr>
      <w:r>
        <w:rPr>
          <w:iCs/>
          <w:i/>
        </w:rPr>
        <w:t xml:space="preserve">[The evaluation has not been conducted. Results, their interpretation, and the statistical treatment applied to them are to be added once data have been collected and the treatment has been determined.]</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Conclusions</w:t>
            </w:r>
          </w:p>
        </w:tc>
        <w:tc>
          <w:tcPr/>
          <w:p>
            <w:pPr>
              <w:pStyle w:val="Compact"/>
              <w:jc w:val="right"/>
            </w:pPr>
            <w:r>
              <w:t xml:space="preserve">85</w:t>
            </w:r>
          </w:p>
        </w:tc>
      </w:tr>
      <w:tr>
        <w:tc>
          <w:tcPr/>
          <w:p>
            <w:pPr>
              <w:pStyle w:val="Compact"/>
              <w:jc w:val="left"/>
            </w:pPr>
            <w:r>
              <w:t xml:space="preserve">5.2 Recommendations</w:t>
            </w:r>
          </w:p>
        </w:tc>
        <w:tc>
          <w:tcPr/>
          <w:p>
            <w:pPr>
              <w:pStyle w:val="Compact"/>
              <w:jc w:val="right"/>
            </w:pPr>
            <w:r>
              <w:t xml:space="preserve">86</w:t>
            </w:r>
          </w:p>
        </w:tc>
      </w:tr>
      <w:tr>
        <w:tc>
          <w:tcPr/>
          <w:p>
            <w:pPr>
              <w:pStyle w:val="Compact"/>
              <w:jc w:val="left"/>
            </w:pPr>
            <w:r>
              <w:t xml:space="preserve">5.3 Future Enhancements</w:t>
            </w:r>
          </w:p>
        </w:tc>
        <w:tc>
          <w:tcPr/>
          <w:p>
            <w:pPr>
              <w:pStyle w:val="Compact"/>
              <w:jc w:val="right"/>
            </w:pPr>
            <w:r>
              <w:t xml:space="preserve">88</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method of determining the sample size for student respondents is to be set with the guidance of the study’s statistician.</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[Population figures, the sample size, and the number of respondents who took part are to be recorded here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statistical treatment to be applied to the collected data is to be determined with the guidance of the study’s statistician, and the results will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61"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is to be conducted with respondents drawn from the two user groups, using the application under real conditions for the evaluation period. Respondents are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H.</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forty-three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G.</w:t>
      </w:r>
    </w:p>
    <w:p>
      <w:r>
        <w:br w:type="page"/>
      </w:r>
    </w:p>
    <w:bookmarkEnd w:id="159"/>
    <w:bookmarkEnd w:id="160"/>
    <w:bookmarkEnd w:id="161"/>
    <w:bookmarkStart w:id="162" w:name="chapter-5"/>
    <w:p>
      <w:pPr>
        <w:pStyle w:val="Heading1"/>
      </w:pPr>
      <w:r>
        <w:t xml:space="preserve">Chapter 5</w:t>
      </w:r>
    </w:p>
    <w:bookmarkEnd w:id="162"/>
    <w:bookmarkStart w:id="166" w:name="summary-conclusions-and-recommendations"/>
    <w:p>
      <w:pPr>
        <w:pStyle w:val="Heading1"/>
      </w:pPr>
      <w:r>
        <w:t xml:space="preserve">SUMMARY, CONCLUSIONS AND RECOMMENDATIONS</w:t>
      </w:r>
    </w:p>
    <w:bookmarkStart w:id="163" w:name="conclusions"/>
    <w:p>
      <w:pPr>
        <w:pStyle w:val="Heading2"/>
      </w:pPr>
      <w:r>
        <w:t xml:space="preserve">5.1 Conclusions</w:t>
      </w:r>
    </w:p>
    <w:p>
      <w:pPr>
        <w:pStyle w:val="FirstParagraph"/>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63"/>
    <w:bookmarkStart w:id="164" w:name="recommendations"/>
    <w:p>
      <w:pPr>
        <w:pStyle w:val="Heading2"/>
      </w:pPr>
      <w:r>
        <w:t xml:space="preserve">5.2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64"/>
    <w:bookmarkStart w:id="165" w:name="future-enhancements"/>
    <w:p>
      <w:pPr>
        <w:pStyle w:val="Heading2"/>
      </w:pPr>
      <w:r>
        <w:t xml:space="preserve">5.3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65"/>
    <w:bookmarkEnd w:id="166"/>
    <w:bookmarkStart w:id="167"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67"/>
    <w:bookmarkStart w:id="222" w:name="appendices"/>
    <w:p>
      <w:pPr>
        <w:pStyle w:val="Heading1"/>
      </w:pPr>
      <w:r>
        <w:t xml:space="preserve">APPENDICES</w:t>
      </w:r>
    </w:p>
    <w:bookmarkStart w:id="168"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68"/>
    <w:bookmarkStart w:id="169"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69"/>
    <w:bookmarkStart w:id="172"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0"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0"/>
    <w:bookmarkStart w:id="171"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1"/>
    <w:bookmarkEnd w:id="172"/>
    <w:bookmarkStart w:id="177" w:name="Xa0f1431884eca17d668bc46bc3532e12d11e1c0"/>
    <w:p>
      <w:pPr>
        <w:pStyle w:val="Heading2"/>
      </w:pPr>
      <w:r>
        <w:t xml:space="preserve">Appendix D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w:t>
      </w:r>
      <w:r>
        <w:t xml:space="preserve">of the repository given in Appendix I.</w:t>
      </w:r>
    </w:p>
    <w:p>
      <w:r>
        <w:br w:type="page"/>
      </w:r>
    </w:p>
    <w:bookmarkStart w:id="17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173"/>
    <w:bookmarkStart w:id="17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174"/>
    <w:bookmarkStart w:id="17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12"/>
        </w:numPr>
        <w:pStyle w:val="Compact"/>
      </w:pPr>
      <w:r>
        <w:t xml:space="preserve">Treat all users with courtesy and professionalism.</w:t>
      </w:r>
    </w:p>
    <w:p>
      <w:pPr>
        <w:numPr>
          <w:ilvl w:val="0"/>
          <w:numId w:val="1012"/>
        </w:numPr>
        <w:pStyle w:val="Compact"/>
      </w:pPr>
      <w:r>
        <w:t xml:space="preserve">Avoid abusive, offensive, discriminatory, or threatening language.</w:t>
      </w:r>
    </w:p>
    <w:p>
      <w:pPr>
        <w:numPr>
          <w:ilvl w:val="0"/>
          <w:numId w:val="1012"/>
        </w:numPr>
        <w:pStyle w:val="Compact"/>
      </w:pPr>
      <w:r>
        <w:t xml:space="preserve">Respect personal space and privacy.</w:t>
      </w:r>
    </w:p>
    <w:p>
      <w:pPr>
        <w:pStyle w:val="FirstParagraph"/>
      </w:pPr>
      <w:r>
        <w:rPr>
          <w:bCs/>
          <w:b/>
        </w:rPr>
        <w:t xml:space="preserve">Safe Riding</w:t>
      </w:r>
    </w:p>
    <w:p>
      <w:pPr>
        <w:numPr>
          <w:ilvl w:val="0"/>
          <w:numId w:val="1013"/>
        </w:numPr>
        <w:pStyle w:val="Compact"/>
      </w:pPr>
      <w:r>
        <w:t xml:space="preserve">Wait at the designated pickup location.</w:t>
      </w:r>
    </w:p>
    <w:p>
      <w:pPr>
        <w:numPr>
          <w:ilvl w:val="0"/>
          <w:numId w:val="1013"/>
        </w:numPr>
        <w:pStyle w:val="Compact"/>
      </w:pPr>
      <w:r>
        <w:t xml:space="preserve">Verify the driver’s identity before boarding.</w:t>
      </w:r>
    </w:p>
    <w:p>
      <w:pPr>
        <w:numPr>
          <w:ilvl w:val="0"/>
          <w:numId w:val="1013"/>
        </w:numPr>
        <w:pStyle w:val="Compact"/>
      </w:pPr>
      <w:r>
        <w:t xml:space="preserve">Follow the driver’s safety instructions during the trip.</w:t>
      </w:r>
    </w:p>
    <w:p>
      <w:pPr>
        <w:numPr>
          <w:ilvl w:val="0"/>
          <w:numId w:val="1013"/>
        </w:numPr>
        <w:pStyle w:val="Compact"/>
      </w:pPr>
      <w:r>
        <w:t xml:space="preserve">Remain seated while the vehicle is moving.</w:t>
      </w:r>
    </w:p>
    <w:p>
      <w:pPr>
        <w:numPr>
          <w:ilvl w:val="0"/>
          <w:numId w:val="101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175"/>
    <w:bookmarkStart w:id="17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176"/>
    <w:bookmarkEnd w:id="177"/>
    <w:bookmarkStart w:id="178" w:name="appendix-e-interview-guide"/>
    <w:p>
      <w:pPr>
        <w:pStyle w:val="Heading2"/>
      </w:pPr>
      <w:r>
        <w:t xml:space="preserve">Appendix E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4"/>
        </w:numPr>
        <w:pStyle w:val="Compact"/>
      </w:pPr>
      <w:r>
        <w:t xml:space="preserve">How is the current fare schedule set, published, and revised?</w:t>
      </w:r>
    </w:p>
    <w:p>
      <w:pPr>
        <w:numPr>
          <w:ilvl w:val="0"/>
          <w:numId w:val="1014"/>
        </w:numPr>
        <w:pStyle w:val="Compact"/>
      </w:pPr>
      <w:r>
        <w:t xml:space="preserve">How are fare disputes between a driver and a passenger resolved at present?</w:t>
      </w:r>
    </w:p>
    <w:p>
      <w:pPr>
        <w:numPr>
          <w:ilvl w:val="0"/>
          <w:numId w:val="1014"/>
        </w:numPr>
        <w:pStyle w:val="Compact"/>
      </w:pPr>
      <w:r>
        <w:t xml:space="preserve">Is there any existing register of drivers operating in the municipality, and who maintains it?</w:t>
      </w:r>
    </w:p>
    <w:p>
      <w:pPr>
        <w:numPr>
          <w:ilvl w:val="0"/>
          <w:numId w:val="1014"/>
        </w:numPr>
        <w:pStyle w:val="Compact"/>
      </w:pPr>
      <w:r>
        <w:t xml:space="preserve">What would the association need to see before endorsing an application of this kind to its members?</w:t>
      </w:r>
    </w:p>
    <w:p>
      <w:pPr>
        <w:numPr>
          <w:ilvl w:val="0"/>
          <w:numId w:val="1014"/>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5"/>
        </w:numPr>
        <w:pStyle w:val="Compact"/>
      </w:pPr>
      <w:r>
        <w:t xml:space="preserve">Walk me through a typical day. Where do you wait, and how do you decide where to go next?</w:t>
      </w:r>
    </w:p>
    <w:p>
      <w:pPr>
        <w:numPr>
          <w:ilvl w:val="0"/>
          <w:numId w:val="1015"/>
        </w:numPr>
        <w:pStyle w:val="Compact"/>
      </w:pPr>
      <w:r>
        <w:t xml:space="preserve">Roughly how much of your working day is spent without a passenger?</w:t>
      </w:r>
    </w:p>
    <w:p>
      <w:pPr>
        <w:numPr>
          <w:ilvl w:val="0"/>
          <w:numId w:val="1015"/>
        </w:numPr>
        <w:pStyle w:val="Compact"/>
      </w:pPr>
      <w:r>
        <w:t xml:space="preserve">How do you handle a passenger who disputes the fare?</w:t>
      </w:r>
    </w:p>
    <w:p>
      <w:pPr>
        <w:numPr>
          <w:ilvl w:val="0"/>
          <w:numId w:val="1015"/>
        </w:numPr>
        <w:pStyle w:val="Compact"/>
      </w:pPr>
      <w:r>
        <w:t xml:space="preserve">What would make you stop using an application like this one?</w:t>
      </w:r>
    </w:p>
    <w:p>
      <w:pPr>
        <w:numPr>
          <w:ilvl w:val="0"/>
          <w:numId w:val="1015"/>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6"/>
        </w:numPr>
        <w:pStyle w:val="Compact"/>
      </w:pPr>
      <w:r>
        <w:t xml:space="preserve">Describe the last time you had difficulty getting a tricycle to or from the campus.</w:t>
      </w:r>
    </w:p>
    <w:p>
      <w:pPr>
        <w:numPr>
          <w:ilvl w:val="0"/>
          <w:numId w:val="1016"/>
        </w:numPr>
        <w:pStyle w:val="Compact"/>
      </w:pPr>
      <w:r>
        <w:t xml:space="preserve">Before this study, did you know there was an official fare schedule?</w:t>
      </w:r>
    </w:p>
    <w:p>
      <w:pPr>
        <w:numPr>
          <w:ilvl w:val="0"/>
          <w:numId w:val="1016"/>
        </w:numPr>
        <w:pStyle w:val="Compact"/>
      </w:pPr>
      <w:r>
        <w:t xml:space="preserve">What would make you go back to hailing at the roadside instead of using the application?</w:t>
      </w:r>
    </w:p>
    <w:bookmarkEnd w:id="178"/>
    <w:bookmarkStart w:id="179"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79"/>
    <w:bookmarkStart w:id="180" w:name="appendix-g-system-screenshots"/>
    <w:p>
      <w:pPr>
        <w:pStyle w:val="Heading2"/>
      </w:pPr>
      <w:r>
        <w:t xml:space="preserve">Appendix G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7"/>
        </w:numPr>
        <w:pStyle w:val="Compact"/>
      </w:pPr>
      <w:r>
        <w:t xml:space="preserve">Onboarding carousel, first and final slides</w:t>
      </w:r>
    </w:p>
    <w:p>
      <w:pPr>
        <w:numPr>
          <w:ilvl w:val="0"/>
          <w:numId w:val="1017"/>
        </w:numPr>
        <w:pStyle w:val="Compact"/>
      </w:pPr>
      <w:r>
        <w:t xml:space="preserve">Welcome-back screen</w:t>
      </w:r>
    </w:p>
    <w:p>
      <w:pPr>
        <w:numPr>
          <w:ilvl w:val="0"/>
          <w:numId w:val="1017"/>
        </w:numPr>
        <w:pStyle w:val="Compact"/>
      </w:pPr>
      <w:r>
        <w:t xml:space="preserve">Registration screen showing the live password rule checklist</w:t>
      </w:r>
    </w:p>
    <w:p>
      <w:pPr>
        <w:numPr>
          <w:ilvl w:val="0"/>
          <w:numId w:val="1017"/>
        </w:numPr>
        <w:pStyle w:val="Compact"/>
      </w:pPr>
      <w:r>
        <w:t xml:space="preserve">Sign-in screen with remembered email</w:t>
      </w:r>
    </w:p>
    <w:p>
      <w:pPr>
        <w:numPr>
          <w:ilvl w:val="0"/>
          <w:numId w:val="1017"/>
        </w:numPr>
        <w:pStyle w:val="Compact"/>
      </w:pPr>
      <w:r>
        <w:t xml:space="preserve">Passenger home with no active ride</w:t>
      </w:r>
    </w:p>
    <w:p>
      <w:pPr>
        <w:numPr>
          <w:ilvl w:val="0"/>
          <w:numId w:val="1017"/>
        </w:numPr>
        <w:pStyle w:val="Compact"/>
      </w:pPr>
      <w:r>
        <w:t xml:space="preserve">Booking screen with the itemized fare displayed</w:t>
      </w:r>
    </w:p>
    <w:p>
      <w:pPr>
        <w:numPr>
          <w:ilvl w:val="0"/>
          <w:numId w:val="1017"/>
        </w:numPr>
        <w:pStyle w:val="Compact"/>
      </w:pPr>
      <w:r>
        <w:t xml:space="preserve">Destination picker with a search term entered</w:t>
      </w:r>
    </w:p>
    <w:p>
      <w:pPr>
        <w:numPr>
          <w:ilvl w:val="0"/>
          <w:numId w:val="1017"/>
        </w:numPr>
        <w:pStyle w:val="Compact"/>
      </w:pPr>
      <w:r>
        <w:t xml:space="preserve">Searching for a driver</w:t>
      </w:r>
    </w:p>
    <w:p>
      <w:pPr>
        <w:numPr>
          <w:ilvl w:val="0"/>
          <w:numId w:val="1017"/>
        </w:numPr>
        <w:pStyle w:val="Compact"/>
      </w:pPr>
      <w:r>
        <w:t xml:space="preserve">Ride tracking with the status timeline</w:t>
      </w:r>
    </w:p>
    <w:p>
      <w:pPr>
        <w:numPr>
          <w:ilvl w:val="0"/>
          <w:numId w:val="1017"/>
        </w:numPr>
        <w:pStyle w:val="Compact"/>
      </w:pPr>
      <w:r>
        <w:t xml:space="preserve">Ride completion summary and rating</w:t>
      </w:r>
    </w:p>
    <w:p>
      <w:pPr>
        <w:numPr>
          <w:ilvl w:val="0"/>
          <w:numId w:val="1017"/>
        </w:numPr>
        <w:pStyle w:val="Compact"/>
      </w:pPr>
      <w:r>
        <w:t xml:space="preserve">Passenger ride history</w:t>
      </w:r>
    </w:p>
    <w:p>
      <w:pPr>
        <w:numPr>
          <w:ilvl w:val="0"/>
          <w:numId w:val="1017"/>
        </w:numPr>
        <w:pStyle w:val="Compact"/>
      </w:pPr>
      <w:r>
        <w:t xml:space="preserve">Concern submission form</w:t>
      </w:r>
    </w:p>
    <w:p>
      <w:pPr>
        <w:numPr>
          <w:ilvl w:val="0"/>
          <w:numId w:val="1017"/>
        </w:numPr>
        <w:pStyle w:val="Compact"/>
      </w:pPr>
      <w:r>
        <w:t xml:space="preserve">Notification centre with unread items</w:t>
      </w:r>
    </w:p>
    <w:p>
      <w:pPr>
        <w:numPr>
          <w:ilvl w:val="0"/>
          <w:numId w:val="1017"/>
        </w:numPr>
        <w:pStyle w:val="Compact"/>
      </w:pPr>
      <w:r>
        <w:t xml:space="preserve">Driver dashboard, offline and online</w:t>
      </w:r>
    </w:p>
    <w:p>
      <w:pPr>
        <w:numPr>
          <w:ilvl w:val="0"/>
          <w:numId w:val="1017"/>
        </w:numPr>
        <w:pStyle w:val="Compact"/>
      </w:pPr>
      <w:r>
        <w:t xml:space="preserve">Driver request card with countdown</w:t>
      </w:r>
    </w:p>
    <w:p>
      <w:pPr>
        <w:numPr>
          <w:ilvl w:val="0"/>
          <w:numId w:val="1017"/>
        </w:numPr>
        <w:pStyle w:val="Compact"/>
      </w:pPr>
      <w:r>
        <w:t xml:space="preserve">Driver ride in progress with the advance button</w:t>
      </w:r>
    </w:p>
    <w:p>
      <w:pPr>
        <w:numPr>
          <w:ilvl w:val="0"/>
          <w:numId w:val="1017"/>
        </w:numPr>
        <w:pStyle w:val="Compact"/>
      </w:pPr>
      <w:r>
        <w:t xml:space="preserve">Driver earnings</w:t>
      </w:r>
    </w:p>
    <w:p>
      <w:pPr>
        <w:numPr>
          <w:ilvl w:val="0"/>
          <w:numId w:val="1017"/>
        </w:numPr>
        <w:pStyle w:val="Compact"/>
      </w:pPr>
      <w:r>
        <w:t xml:space="preserve">Driver credentials card showing verification status</w:t>
      </w:r>
    </w:p>
    <w:p>
      <w:pPr>
        <w:numPr>
          <w:ilvl w:val="0"/>
          <w:numId w:val="1017"/>
        </w:numPr>
        <w:pStyle w:val="Compact"/>
      </w:pPr>
      <w:r>
        <w:t xml:space="preserve">Administrator verification tab with a pending badge</w:t>
      </w:r>
    </w:p>
    <w:p>
      <w:pPr>
        <w:numPr>
          <w:ilvl w:val="0"/>
          <w:numId w:val="1017"/>
        </w:numPr>
        <w:pStyle w:val="Compact"/>
      </w:pPr>
      <w:r>
        <w:t xml:space="preserve">Administrator concerns tab with a concern open for review</w:t>
      </w:r>
    </w:p>
    <w:p>
      <w:pPr>
        <w:numPr>
          <w:ilvl w:val="0"/>
          <w:numId w:val="1017"/>
        </w:numPr>
        <w:pStyle w:val="Compact"/>
      </w:pPr>
      <w:r>
        <w:t xml:space="preserve">Administrator live monitor</w:t>
      </w:r>
    </w:p>
    <w:p>
      <w:pPr>
        <w:numPr>
          <w:ilvl w:val="0"/>
          <w:numId w:val="1017"/>
        </w:numPr>
        <w:pStyle w:val="Compact"/>
      </w:pPr>
      <w:r>
        <w:t xml:space="preserve">Administrator reports tab with a period selected and the summary shown</w:t>
      </w:r>
    </w:p>
    <w:p>
      <w:pPr>
        <w:numPr>
          <w:ilvl w:val="0"/>
          <w:numId w:val="1017"/>
        </w:numPr>
        <w:pStyle w:val="Compact"/>
      </w:pPr>
      <w:r>
        <w:t xml:space="preserve">Administrator fare table with a zone filter applied</w:t>
      </w:r>
    </w:p>
    <w:p>
      <w:pPr>
        <w:numPr>
          <w:ilvl w:val="0"/>
          <w:numId w:val="1017"/>
        </w:numPr>
        <w:pStyle w:val="Compact"/>
      </w:pPr>
      <w:r>
        <w:t xml:space="preserve">Administrator fare table filtered to entries needing review</w:t>
      </w:r>
    </w:p>
    <w:p>
      <w:pPr>
        <w:numPr>
          <w:ilvl w:val="0"/>
          <w:numId w:val="1017"/>
        </w:numPr>
        <w:pStyle w:val="Compact"/>
      </w:pPr>
      <w:r>
        <w:t xml:space="preserve">Fare entry editing dialog showing a transcription note</w:t>
      </w:r>
    </w:p>
    <w:p>
      <w:pPr>
        <w:numPr>
          <w:ilvl w:val="0"/>
          <w:numId w:val="1017"/>
        </w:numPr>
        <w:pStyle w:val="Compact"/>
      </w:pPr>
      <w:r>
        <w:t xml:space="preserve">Minimums and flat rates dialog</w:t>
      </w:r>
    </w:p>
    <w:p>
      <w:pPr>
        <w:numPr>
          <w:ilvl w:val="0"/>
          <w:numId w:val="1017"/>
        </w:numPr>
        <w:pStyle w:val="Compact"/>
      </w:pPr>
      <w:r>
        <w:t xml:space="preserve">Profile screen with a photograph set</w:t>
      </w:r>
    </w:p>
    <w:p>
      <w:pPr>
        <w:numPr>
          <w:ilvl w:val="0"/>
          <w:numId w:val="1017"/>
        </w:numPr>
        <w:pStyle w:val="Compact"/>
      </w:pPr>
      <w:r>
        <w:t xml:space="preserve">Dark theme, any two screens</w:t>
      </w:r>
    </w:p>
    <w:bookmarkEnd w:id="180"/>
    <w:bookmarkStart w:id="207" w:name="appendix-h-user-manual"/>
    <w:p>
      <w:pPr>
        <w:pStyle w:val="Heading2"/>
      </w:pPr>
      <w:r>
        <w:t xml:space="preserve">Appendix H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G.</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181" w:name="part-1-installing-the-app"/>
    <w:p>
      <w:pPr>
        <w:pStyle w:val="Heading3"/>
      </w:pPr>
      <w:r>
        <w:t xml:space="preserve">Part 1 — Installing the app</w:t>
      </w:r>
    </w:p>
    <w:p>
      <w:pPr>
        <w:pStyle w:val="FirstParagraph"/>
      </w:pPr>
      <w:r>
        <w:t xml:space="preserve">TrikRide is not on the Play Store. It is distributed as an installation file, an APK,</w:t>
      </w:r>
      <w:r>
        <w:t xml:space="preserve"> </w:t>
      </w:r>
      <w:r>
        <w:t xml:space="preserve">which you receive from the administrator by link or by direct transfer.</w:t>
      </w:r>
    </w:p>
    <w:p>
      <w:pPr>
        <w:numPr>
          <w:ilvl w:val="0"/>
          <w:numId w:val="1018"/>
        </w:numPr>
        <w:pStyle w:val="Compact"/>
      </w:pPr>
      <w:r>
        <w:rPr>
          <w:bCs/>
          <w:b/>
        </w:rPr>
        <w:t xml:space="preserve">Get the file.</w:t>
      </w:r>
      <w:r>
        <w:t xml:space="preserve"> </w:t>
      </w:r>
      <w:r>
        <w:t xml:space="preserve">Download it, or accept it from the administrator. It arrives in your</w:t>
      </w:r>
      <w:r>
        <w:t xml:space="preserve"> </w:t>
      </w:r>
      <w:r>
        <w:t xml:space="preserve">Downloads folder.</w:t>
      </w:r>
    </w:p>
    <w:p>
      <w:pPr>
        <w:numPr>
          <w:ilvl w:val="0"/>
          <w:numId w:val="1018"/>
        </w:numPr>
        <w:pStyle w:val="Compact"/>
      </w:pPr>
      <w:r>
        <w:rPr>
          <w:bCs/>
          <w:b/>
        </w:rPr>
        <w:t xml:space="preserve">Allow the installation.</w:t>
      </w:r>
      <w:r>
        <w:t xml:space="preserve"> </w:t>
      </w:r>
      <w:r>
        <w:t xml:space="preserve">Tap the file. Android will refuse the first time and offer</w:t>
      </w:r>
      <w:r>
        <w:t xml:space="preserve"> </w:t>
      </w:r>
      <w:r>
        <w:t xml:space="preserve">a settings screen: turn on</w:t>
      </w:r>
      <w:r>
        <w:t xml:space="preserve"> </w:t>
      </w:r>
      <w:r>
        <w:rPr>
          <w:bCs/>
          <w:b/>
        </w:rPr>
        <w:t xml:space="preserve">Allow from this source</w:t>
      </w:r>
      <w:r>
        <w:t xml:space="preserve"> </w:t>
      </w:r>
      <w:r>
        <w:t xml:space="preserve">for whichever app you are</w:t>
      </w:r>
      <w:r>
        <w:t xml:space="preserve"> </w:t>
      </w:r>
      <w:r>
        <w:t xml:space="preserve">installing from, usually Files or Chrome. Go back and tap the file again. This is</w:t>
      </w:r>
      <w:r>
        <w:t xml:space="preserve"> </w:t>
      </w:r>
      <w:r>
        <w:t xml:space="preserve">normal for an app distributed outside the store and only has to be done once.</w:t>
      </w:r>
    </w:p>
    <w:p>
      <w:pPr>
        <w:numPr>
          <w:ilvl w:val="0"/>
          <w:numId w:val="1018"/>
        </w:numPr>
        <w:pStyle w:val="Compact"/>
      </w:pPr>
      <w:r>
        <w:rPr>
          <w:bCs/>
          <w:b/>
        </w:rPr>
        <w:t xml:space="preserve">Install.</w:t>
      </w:r>
      <w:r>
        <w:t xml:space="preserve"> </w:t>
      </w:r>
      <w:r>
        <w:t xml:space="preserve">Tap Install, then Open.</w:t>
      </w:r>
    </w:p>
    <w:p>
      <w:pPr>
        <w:numPr>
          <w:ilvl w:val="0"/>
          <w:numId w:val="1018"/>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An update is installed the same way, over the top of the existing app. Your account and</w:t>
      </w:r>
      <w:r>
        <w:t xml:space="preserve"> </w:t>
      </w:r>
      <w:r>
        <w:t xml:space="preserve">your history are on the server, not on the phone, so nothing is lost.</w:t>
      </w:r>
    </w:p>
    <w:p>
      <w:r>
        <w:br w:type="page"/>
      </w:r>
    </w:p>
    <w:bookmarkEnd w:id="181"/>
    <w:bookmarkStart w:id="193" w:name="part-2-for-passengers"/>
    <w:p>
      <w:pPr>
        <w:pStyle w:val="Heading3"/>
      </w:pPr>
      <w:r>
        <w:t xml:space="preserve">Part 2 — For passengers</w:t>
      </w:r>
    </w:p>
    <w:bookmarkStart w:id="182"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182"/>
    <w:bookmarkStart w:id="183"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9"/>
        </w:numPr>
        <w:pStyle w:val="Compact"/>
      </w:pPr>
      <w:r>
        <w:t xml:space="preserve">at least 8 characters</w:t>
      </w:r>
    </w:p>
    <w:p>
      <w:pPr>
        <w:numPr>
          <w:ilvl w:val="0"/>
          <w:numId w:val="1019"/>
        </w:numPr>
        <w:pStyle w:val="Compact"/>
      </w:pPr>
      <w:r>
        <w:t xml:space="preserve">an uppercase letter</w:t>
      </w:r>
    </w:p>
    <w:p>
      <w:pPr>
        <w:numPr>
          <w:ilvl w:val="0"/>
          <w:numId w:val="1019"/>
        </w:numPr>
        <w:pStyle w:val="Compact"/>
      </w:pPr>
      <w:r>
        <w:t xml:space="preserve">a lowercase letter</w:t>
      </w:r>
    </w:p>
    <w:p>
      <w:pPr>
        <w:numPr>
          <w:ilvl w:val="0"/>
          <w:numId w:val="1019"/>
        </w:numPr>
        <w:pStyle w:val="Compact"/>
      </w:pPr>
      <w:r>
        <w:t xml:space="preserve">a number</w:t>
      </w:r>
    </w:p>
    <w:p>
      <w:pPr>
        <w:numPr>
          <w:ilvl w:val="0"/>
          <w:numId w:val="1019"/>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183"/>
    <w:bookmarkStart w:id="184"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184"/>
    <w:bookmarkStart w:id="185"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185"/>
    <w:bookmarkStart w:id="186"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186"/>
    <w:bookmarkStart w:id="187"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20"/>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20"/>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20"/>
        </w:numPr>
        <w:pStyle w:val="Compact"/>
      </w:pPr>
      <w:r>
        <w:rPr>
          <w:bCs/>
          <w:b/>
        </w:rPr>
        <w:t xml:space="preserve">Fare type.</w:t>
      </w:r>
      <w:r>
        <w:t xml:space="preserve"> </w:t>
      </w:r>
      <w:r>
        <w:rPr>
          <w:bCs/>
          <w:b/>
        </w:rPr>
        <w:t xml:space="preserve">Regular</w:t>
      </w:r>
      <w:r>
        <w:t xml:space="preserve">, or</w:t>
      </w:r>
      <w:r>
        <w:t xml:space="preserve"> </w:t>
      </w:r>
      <w:r>
        <w:rPr>
          <w:bCs/>
          <w:b/>
        </w:rPr>
        <w:t xml:space="preserve">Senior / PWD / Student</w:t>
      </w:r>
      <w:r>
        <w:t xml:space="preserve"> </w:t>
      </w:r>
      <w:r>
        <w:t xml:space="preserve">for the discounted column.</w:t>
      </w:r>
      <w:r>
        <w:t xml:space="preserve"> </w:t>
      </w:r>
      <w:r>
        <w:t xml:space="preserve">Bring the identification — the driver will ask for it, and the app only records which</w:t>
      </w:r>
      <w:r>
        <w:t xml:space="preserve"> </w:t>
      </w:r>
      <w:r>
        <w:t xml:space="preserve">column you chose.</w:t>
      </w:r>
    </w:p>
    <w:p>
      <w:pPr>
        <w:numPr>
          <w:ilvl w:val="0"/>
          <w:numId w:val="1020"/>
        </w:numPr>
        <w:pStyle w:val="Compact"/>
      </w:pPr>
      <w:r>
        <w:rPr>
          <w:bCs/>
          <w:b/>
        </w:rPr>
        <w:t xml:space="preserve">Passengers.</w:t>
      </w:r>
      <w:r>
        <w:t xml:space="preserve"> </w:t>
      </w:r>
      <w:r>
        <w:t xml:space="preserve">One to five, with the plus and minus buttons.</w:t>
      </w:r>
    </w:p>
    <w:p>
      <w:pPr>
        <w:numPr>
          <w:ilvl w:val="0"/>
          <w:numId w:val="1020"/>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20"/>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20"/>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multiplies</w:t>
      </w:r>
      <w:r>
        <w:t xml:space="preserve"> </w:t>
      </w:r>
      <w:r>
        <w:t xml:space="preserve">by the number of passengers. Poblacion and the terminal round trip are flat rates. Nothing</w:t>
      </w:r>
      <w:r>
        <w:t xml:space="preserve"> </w:t>
      </w:r>
      <w:r>
        <w:t xml:space="preserve">is calculated from distance, so the number you are shown before booking is the number you</w:t>
      </w:r>
      <w:r>
        <w:t xml:space="preserve"> </w:t>
      </w:r>
      <w:r>
        <w:t xml:space="preserve">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187"/>
    <w:bookmarkStart w:id="188"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188"/>
    <w:bookmarkStart w:id="189"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to call them. While they are online</w:t>
      </w:r>
      <w:r>
        <w:t xml:space="preserve"> </w:t>
      </w:r>
      <w:r>
        <w:t xml:space="preserve">with the app open, their position moves on the map.</w:t>
      </w:r>
    </w:p>
    <w:bookmarkEnd w:id="189"/>
    <w:bookmarkStart w:id="190"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190"/>
    <w:bookmarkStart w:id="191"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191"/>
    <w:bookmarkStart w:id="192"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21"/>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21"/>
        </w:numPr>
        <w:pStyle w:val="Compact"/>
      </w:pPr>
      <w:r>
        <w:rPr>
          <w:bCs/>
          <w:b/>
        </w:rPr>
        <w:t xml:space="preserve">Change Password</w:t>
      </w:r>
      <w:r>
        <w:t xml:space="preserve"> </w:t>
      </w:r>
      <w:r>
        <w:t xml:space="preserve">— emails you a reset link.</w:t>
      </w:r>
    </w:p>
    <w:p>
      <w:pPr>
        <w:numPr>
          <w:ilvl w:val="0"/>
          <w:numId w:val="1021"/>
        </w:numPr>
        <w:pStyle w:val="Compact"/>
      </w:pPr>
      <w:r>
        <w:rPr>
          <w:bCs/>
          <w:b/>
        </w:rPr>
        <w:t xml:space="preserve">Dark Mode</w:t>
      </w:r>
      <w:r>
        <w:t xml:space="preserve"> </w:t>
      </w:r>
      <w:r>
        <w:t xml:space="preserve">— a switch.</w:t>
      </w:r>
    </w:p>
    <w:p>
      <w:pPr>
        <w:numPr>
          <w:ilvl w:val="0"/>
          <w:numId w:val="1021"/>
        </w:numPr>
        <w:pStyle w:val="Compact"/>
      </w:pPr>
      <w:r>
        <w:t xml:space="preserve">The four documents, readable at any time.</w:t>
      </w:r>
    </w:p>
    <w:p>
      <w:pPr>
        <w:numPr>
          <w:ilvl w:val="0"/>
          <w:numId w:val="1021"/>
        </w:numPr>
        <w:pStyle w:val="Compact"/>
      </w:pPr>
      <w:r>
        <w:rPr>
          <w:bCs/>
          <w:b/>
        </w:rPr>
        <w:t xml:space="preserve">Log Out.</w:t>
      </w:r>
    </w:p>
    <w:p>
      <w:r>
        <w:br w:type="page"/>
      </w:r>
    </w:p>
    <w:bookmarkEnd w:id="192"/>
    <w:bookmarkEnd w:id="193"/>
    <w:bookmarkStart w:id="200" w:name="part-3-for-drivers"/>
    <w:p>
      <w:pPr>
        <w:pStyle w:val="Heading3"/>
      </w:pPr>
      <w:r>
        <w:t xml:space="preserve">Part 3 — For drivers</w:t>
      </w:r>
    </w:p>
    <w:bookmarkStart w:id="194"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194"/>
    <w:bookmarkStart w:id="195"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195"/>
    <w:bookmarkStart w:id="196"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196"/>
    <w:bookmarkStart w:id="197"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197"/>
    <w:bookmarkStart w:id="198"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when a passenger has booked the discounted rate. The app records the</w:t>
      </w:r>
      <w:r>
        <w:t xml:space="preserve"> </w:t>
      </w:r>
      <w:r>
        <w:t xml:space="preserve">column they chose; it cannot verify anyone is a senior, a PWD or a student.</w:t>
      </w:r>
    </w:p>
    <w:bookmarkEnd w:id="198"/>
    <w:bookmarkStart w:id="199"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199"/>
    <w:bookmarkEnd w:id="200"/>
    <w:bookmarkStart w:id="205"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01"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2"/>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2"/>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2"/>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01"/>
    <w:bookmarkStart w:id="202"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3"/>
        </w:numPr>
        <w:pStyle w:val="Compact"/>
      </w:pPr>
      <w:r>
        <w:rPr>
          <w:bCs/>
          <w:b/>
        </w:rPr>
        <w:t xml:space="preserve">Approve</w:t>
      </w:r>
      <w:r>
        <w:t xml:space="preserve"> </w:t>
      </w:r>
      <w:r>
        <w:t xml:space="preserve">— they can go online and start accepting.</w:t>
      </w:r>
    </w:p>
    <w:p>
      <w:pPr>
        <w:numPr>
          <w:ilvl w:val="0"/>
          <w:numId w:val="1023"/>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02"/>
    <w:bookmarkStart w:id="203"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03"/>
    <w:bookmarkStart w:id="204"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04"/>
    <w:bookmarkEnd w:id="205"/>
    <w:bookmarkStart w:id="206"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06"/>
    <w:bookmarkEnd w:id="207"/>
    <w:bookmarkStart w:id="208" w:name="appendix-i-source-code"/>
    <w:p>
      <w:pPr>
        <w:pStyle w:val="Heading2"/>
      </w:pPr>
      <w:r>
        <w:t xml:space="preserve">Appendix I — Source Code</w:t>
      </w:r>
    </w:p>
    <w:p>
      <w:pPr>
        <w:pStyle w:val="FirstParagraph"/>
      </w:pPr>
      <w:r>
        <w:t xml:space="preserve">The complete source code of the system is held in a Git repository rather than reproduced here. At roughly twelve thousand seven hundred lines across fifty-five files it would add some three hundred pages to a bound copy, at a printing cost the study cannot justify.</w:t>
      </w:r>
    </w:p>
    <w:p>
      <w:pPr>
        <w:pStyle w:val="BodyText"/>
      </w:pPr>
      <w:r>
        <w:rPr>
          <w:bCs/>
          <w:b/>
        </w:rPr>
        <w:t xml:space="preserve">Retrieving the source</w:t>
      </w:r>
    </w:p>
    <w:p>
      <w:pPr>
        <w:pStyle w:val="BodyText"/>
      </w:pPr>
      <w:r>
        <w:t xml:space="preserve">The repository is at:</w:t>
      </w:r>
    </w:p>
    <w:p>
      <w:pPr>
        <w:pStyle w:val="SourceCode"/>
      </w:pPr>
      <w:r>
        <w:rPr>
          <w:rStyle w:val="VerbatimChar"/>
        </w:rPr>
        <w:t xml:space="preserve">https://github.com/ZeroXJune/CapstoneProject</w:t>
      </w:r>
    </w:p>
    <w:p>
      <w:pPr>
        <w:pStyle w:val="FirstParagraph"/>
      </w:pPr>
      <w:r>
        <w:t xml:space="preserve">With Git installed, the whole project is obtained by opening a terminal in the folder where it should be placed and running:</w:t>
      </w:r>
    </w:p>
    <w:p>
      <w:pPr>
        <w:pStyle w:val="SourceCode"/>
      </w:pPr>
      <w:r>
        <w:rPr>
          <w:rStyle w:val="VerbatimChar"/>
        </w:rPr>
        <w:t xml:space="preserve">git clone https://github.com/ZeroXJune/CapstoneProject</w:t>
      </w:r>
    </w:p>
    <w:p>
      <w:pPr>
        <w:pStyle w:val="FirstParagraph"/>
      </w:pPr>
      <w:r>
        <w:t xml:space="preserve">Readers without Git may instead open the address above in a browser and use the</w:t>
      </w:r>
      <w:r>
        <w:t xml:space="preserve"> </w:t>
      </w:r>
      <w:r>
        <w:rPr>
          <w:bCs/>
          <w:b/>
        </w:rPr>
        <w:t xml:space="preserve">Code → Download ZIP</w:t>
      </w:r>
      <w:r>
        <w:t xml:space="preserve"> </w:t>
      </w:r>
      <w:r>
        <w:t xml:space="preserve">button, which produces the same files. If the repository is private, the researchers can grant read access to a named GitHub account, or supply the source on request as an archive.</w:t>
      </w:r>
    </w:p>
    <w:p>
      <w:pPr>
        <w:pStyle w:val="BodyText"/>
      </w:pPr>
      <w:r>
        <w:t xml:space="preserve">Two files are required to build and are deliberately absent from the repository because they carry credentials:</w:t>
      </w:r>
      <w:r>
        <w:t xml:space="preserve"> </w:t>
      </w:r>
      <w:r>
        <w:rPr>
          <w:rStyle w:val="VerbatimChar"/>
        </w:rPr>
        <w:t xml:space="preserve">google-services.json</w:t>
      </w:r>
      <w:r>
        <w:t xml:space="preserve">, the Firebase configuration, downloaded from the project’s Firebase console; and</w:t>
      </w:r>
      <w:r>
        <w:t xml:space="preserve"> </w:t>
      </w:r>
      <w:r>
        <w:rPr>
          <w:rStyle w:val="VerbatimChar"/>
        </w:rPr>
        <w:t xml:space="preserve">.env</w:t>
      </w:r>
      <w:r>
        <w:t xml:space="preserve">, copied from the committed</w:t>
      </w:r>
      <w:r>
        <w:t xml:space="preserve"> </w:t>
      </w:r>
      <w:r>
        <w:rPr>
          <w:rStyle w:val="VerbatimChar"/>
        </w:rPr>
        <w:t xml:space="preserve">.env.example</w:t>
      </w:r>
      <w:r>
        <w:t xml:space="preserve"> </w:t>
      </w:r>
      <w:r>
        <w:t xml:space="preserve">and filled in.</w:t>
      </w:r>
      <w:r>
        <w:t xml:space="preserve"> </w:t>
      </w:r>
      <w:r>
        <w:rPr>
          <w:rStyle w:val="VerbatimChar"/>
        </w:rPr>
        <w:t xml:space="preserve">SETUP_GUIDE.md</w:t>
      </w:r>
      <w:r>
        <w:t xml:space="preserve"> </w:t>
      </w:r>
      <w:r>
        <w:t xml:space="preserve">in the repository root gives the full procedure, and</w:t>
      </w:r>
      <w:r>
        <w:t xml:space="preserve"> </w:t>
      </w:r>
      <w:r>
        <w:rPr>
          <w:rStyle w:val="VerbatimChar"/>
        </w:rPr>
        <w:t xml:space="preserve">ARCHITECTURE.md</w:t>
      </w:r>
      <w:r>
        <w:t xml:space="preserve"> </w:t>
      </w:r>
      <w:r>
        <w:t xml:space="preserve">explains how the code is arranged.</w:t>
      </w:r>
    </w:p>
    <w:p>
      <w:pPr>
        <w:pStyle w:val="BodyText"/>
      </w:pPr>
      <w:r>
        <w:t xml:space="preserve">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w:t>
            </w:r>
            <w:r>
              <w:t xml:space="preserve"> </w:t>
            </w:r>
            <w:r>
              <w:rPr>
                <w:rStyle w:val="VerbatimChar"/>
              </w:rPr>
              <w:t xml:space="preserve">LicenceImage</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208"/>
    <w:bookmarkStart w:id="209" w:name="appendix-j-database-schema"/>
    <w:p>
      <w:pPr>
        <w:pStyle w:val="Heading2"/>
      </w:pPr>
      <w:r>
        <w:t xml:space="preserve">Appendix J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209"/>
    <w:bookmarkStart w:id="210" w:name="appendix-k-test-cases"/>
    <w:p>
      <w:pPr>
        <w:pStyle w:val="Heading2"/>
      </w:pPr>
      <w:r>
        <w:t xml:space="preserve">Appendix K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210"/>
    <w:bookmarkStart w:id="211" w:name="appendix-l-test-results"/>
    <w:p>
      <w:pPr>
        <w:pStyle w:val="Heading2"/>
      </w:pPr>
      <w:r>
        <w:t xml:space="preserve">Appendix L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211"/>
    <w:bookmarkStart w:id="212" w:name="appendix-m-sample-reports"/>
    <w:p>
      <w:pPr>
        <w:pStyle w:val="Heading2"/>
      </w:pPr>
      <w:r>
        <w:t xml:space="preserve">Appendix M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212"/>
    <w:bookmarkStart w:id="213" w:name="Xc50705ef7a2b355081ea3904d1607e0b082faec"/>
    <w:p>
      <w:pPr>
        <w:pStyle w:val="Heading2"/>
      </w:pPr>
      <w:r>
        <w:t xml:space="preserve">Appendix N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213"/>
    <w:bookmarkStart w:id="217" w:name="appendix-o-gantt-chart"/>
    <w:p>
      <w:pPr>
        <w:pStyle w:val="Heading2"/>
      </w:pPr>
      <w:r>
        <w:t xml:space="preserve">Appendix O — Gantt Chart</w:t>
      </w:r>
    </w:p>
    <w:p>
      <w:pPr>
        <w:pStyle w:val="CaptionedFigure"/>
      </w:pPr>
      <w:r>
        <w:drawing>
          <wp:inline>
            <wp:extent cx="5486400" cy="2674620"/>
            <wp:effectExtent b="0" l="0" r="0" t="0"/>
            <wp:docPr descr="Figure 14. Gantt Chart of Project Activities" title="" id="215" name="Picture"/>
            <a:graphic>
              <a:graphicData uri="http://schemas.openxmlformats.org/drawingml/2006/picture">
                <pic:pic>
                  <pic:nvPicPr>
                    <pic:cNvPr descr="figures/fig14_gantt.png" id="216" name="Picture"/>
                    <pic:cNvPicPr>
                      <a:picLocks noChangeArrowheads="1" noChangeAspect="1"/>
                    </pic:cNvPicPr>
                  </pic:nvPicPr>
                  <pic:blipFill>
                    <a:blip r:embed="rId21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217"/>
    <w:bookmarkStart w:id="221" w:name="appendix-p-researchers-biodata"/>
    <w:p>
      <w:pPr>
        <w:pStyle w:val="Heading2"/>
      </w:pPr>
      <w:r>
        <w:t xml:space="preserve">Appendix P — Researchers’ Biodata</w:t>
      </w:r>
    </w:p>
    <w:bookmarkStart w:id="21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218"/>
    <w:bookmarkStart w:id="21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219"/>
    <w:bookmarkStart w:id="22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20"/>
    <w:bookmarkEnd w:id="221"/>
    <w:bookmarkEnd w:id="22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214" Target="media/rId2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2026-08-30T09:25:55Z</dcterms:created>
  <dcterms:modified xsi:type="dcterms:W3CDTF">2026-08-30T09:25:55Z</dcterms:modified>
</cp:coreProperties>
</file>

<file path=docProps/custom.xml><?xml version="1.0" encoding="utf-8"?>
<Properties xmlns="http://schemas.openxmlformats.org/officeDocument/2006/custom-properties" xmlns:vt="http://schemas.openxmlformats.org/officeDocument/2006/docPropsVTypes"/>
</file>