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3.png" ContentType="image/png"/>
  <Override PartName="/word/media/rId88.png" ContentType="image/png"/>
  <Override PartName="/word/media/rId101.png" ContentType="image/png"/>
  <Override PartName="/word/media/rId105.png" ContentType="image/png"/>
  <Override PartName="/word/media/rId109.png" ContentType="image/png"/>
  <Override PartName="/word/media/rId113.png" ContentType="image/png"/>
  <Override PartName="/word/media/rId117.png" ContentType="image/png"/>
  <Override PartName="/word/media/rId121.png" ContentType="image/png"/>
  <Override PartName="/word/media/rId125.png" ContentType="image/png"/>
  <Override PartName="/word/media/rId129.png" ContentType="image/png"/>
  <Override PartName="/word/media/rId138.png" ContentType="image/png"/>
  <Override PartName="/word/media/rId133.png" ContentType="image/png"/>
  <Override PartName="/word/media/rId1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is to be evaluated against the four ISO/IEC 25010 quality characteristics named in the research instrument: usability, functionality, efficiency, and reliability, with students of Talibon Polytechnic College and tricycle drivers serving the campus as respondents.</w:t>
      </w:r>
    </w:p>
    <w:p>
      <w:pPr>
        <w:pStyle w:val="BodyText"/>
      </w:pPr>
      <w:r>
        <w:rPr>
          <w:iCs/>
          <w:i/>
        </w:rPr>
        <w:t xml:space="preserve">[The evaluation has not been conducted. Results, their interpretation, and the statistical treatment applied to them are to be added once data have been collected and the treatment has been determined.]</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Conclusions</w:t>
            </w:r>
          </w:p>
        </w:tc>
        <w:tc>
          <w:tcPr/>
          <w:p>
            <w:pPr>
              <w:pStyle w:val="Compact"/>
              <w:jc w:val="right"/>
            </w:pPr>
            <w:r>
              <w:t xml:space="preserve">85</w:t>
            </w:r>
          </w:p>
        </w:tc>
      </w:tr>
      <w:tr>
        <w:tc>
          <w:tcPr/>
          <w:p>
            <w:pPr>
              <w:pStyle w:val="Compact"/>
              <w:jc w:val="left"/>
            </w:pPr>
            <w:r>
              <w:t xml:space="preserve">5.2 Recommendations</w:t>
            </w:r>
          </w:p>
        </w:tc>
        <w:tc>
          <w:tcPr/>
          <w:p>
            <w:pPr>
              <w:pStyle w:val="Compact"/>
              <w:jc w:val="right"/>
            </w:pPr>
            <w:r>
              <w:t xml:space="preserve">86</w:t>
            </w:r>
          </w:p>
        </w:tc>
      </w:tr>
      <w:tr>
        <w:tc>
          <w:tcPr/>
          <w:p>
            <w:pPr>
              <w:pStyle w:val="Compact"/>
              <w:jc w:val="left"/>
            </w:pPr>
            <w:r>
              <w:t xml:space="preserve">5.3 Future Enhancements</w:t>
            </w:r>
          </w:p>
        </w:tc>
        <w:tc>
          <w:tcPr/>
          <w:p>
            <w:pPr>
              <w:pStyle w:val="Compact"/>
              <w:jc w:val="right"/>
            </w:pPr>
            <w:r>
              <w:t xml:space="preserve">88</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included. The booking and tracking screens show an interactive map with the relevant positions on it, but the system does not compute or display a driving route, because route calculation is a billed web service and the study operates at no cost.</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method of determining the sample size for student respondents is to be set with the guidance of the study’s statistician.</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[Population figures, the sample size, and the number of respondents who took part are to be recorded here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statistical treatment to be applied to the collected data is to be determined with the guidance of the study’s statistician, and the results will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8"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live map in the evaluated build;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2"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objectives four and five.</w:t>
      </w:r>
    </w:p>
    <w:bookmarkEnd w:id="60"/>
    <w:bookmarkStart w:id="61" w:name="diffusion-of-innovations"/>
    <w:p>
      <w:pPr>
        <w:pStyle w:val="Heading3"/>
      </w:pPr>
      <w:r>
        <w:t xml:space="preserve">Diffusion of Innovations</w:t>
      </w:r>
    </w:p>
    <w:p>
      <w:pPr>
        <w:pStyle w:val="FirstParagraph"/>
      </w:pPr>
      <w:r>
        <w:t xml:space="preserve">Rogers (2003) identified five attributes that predict how quickly an innovation spreads: relative advantage, compatibility, complexity, trialability, and observability. The system is designed with these in mind. Relative advantage is the elimination of waiting and searching. Compatibility is served by pricing from the schedule the association already publishes rather than introducing a new pricing scheme. Complexity is kept low. Trialability is served by distribution to a defined group of testers before any wider release. Observability is served by the administrative monitor and the exported reports, which make the system’s effects visible to the college and the association.</w:t>
      </w:r>
    </w:p>
    <w:bookmarkEnd w:id="61"/>
    <w:bookmarkEnd w:id="62"/>
    <w:bookmarkStart w:id="66"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4" name="Picture"/>
            <a:graphic>
              <a:graphicData uri="http://schemas.openxmlformats.org/drawingml/2006/picture">
                <pic:pic>
                  <pic:nvPicPr>
                    <pic:cNvPr descr="figures/fig02_conceptual_framework.png" id="65" name="Picture"/>
                    <pic:cNvPicPr>
                      <a:picLocks noChangeArrowheads="1" noChangeAspect="1"/>
                    </pic:cNvPicPr>
                  </pic:nvPicPr>
                  <pic:blipFill>
                    <a:blip r:embed="rId63"/>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6"/>
    <w:bookmarkStart w:id="67"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7"/>
    <w:bookmarkEnd w:id="68"/>
    <w:bookmarkStart w:id="69" w:name="chapter-3"/>
    <w:p>
      <w:pPr>
        <w:pStyle w:val="Heading1"/>
      </w:pPr>
      <w:r>
        <w:t xml:space="preserve">Chapter 3</w:t>
      </w:r>
    </w:p>
    <w:bookmarkEnd w:id="69"/>
    <w:bookmarkStart w:id="92"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3" w:name="software-requirements"/>
    <w:p>
      <w:pPr>
        <w:pStyle w:val="Heading2"/>
      </w:pPr>
      <w:r>
        <w:t xml:space="preserve">3.1 Software Requirements</w:t>
      </w:r>
    </w:p>
    <w:bookmarkStart w:id="70"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70"/>
    <w:bookmarkStart w:id="71"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1"/>
    <w:bookmarkStart w:id="72"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2"/>
    <w:bookmarkEnd w:id="73"/>
    <w:bookmarkStart w:id="77" w:name="hardware-requirements"/>
    <w:p>
      <w:pPr>
        <w:pStyle w:val="Heading2"/>
      </w:pPr>
      <w:r>
        <w:t xml:space="preserve">3.2 Hardware Requirements</w:t>
      </w:r>
    </w:p>
    <w:bookmarkStart w:id="74"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4"/>
    <w:bookmarkStart w:id="75"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5"/>
    <w:bookmarkStart w:id="76"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6"/>
    <w:bookmarkEnd w:id="77"/>
    <w:bookmarkStart w:id="78"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8"/>
    <w:bookmarkStart w:id="79"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9"/>
    <w:bookmarkStart w:id="84" w:name="database-technologies"/>
    <w:p>
      <w:pPr>
        <w:pStyle w:val="Heading2"/>
      </w:pPr>
      <w:r>
        <w:t xml:space="preserve">3.5 Database Technologies</w:t>
      </w:r>
    </w:p>
    <w:bookmarkStart w:id="80"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80"/>
    <w:bookmarkStart w:id="81"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1"/>
    <w:bookmarkStart w:id="82"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2"/>
    <w:bookmarkStart w:id="83" w:name="data-organization"/>
    <w:p>
      <w:pPr>
        <w:pStyle w:val="Heading3"/>
      </w:pPr>
      <w:r>
        <w:t xml:space="preserve">Data Organization</w:t>
      </w:r>
    </w:p>
    <w:p>
      <w:pPr>
        <w:pStyle w:val="FirstParagraph"/>
      </w:pPr>
      <w:r>
        <w:t xml:space="preserve">The database is organized as nine top-level nodes, documented in Table 8 and Figure 11.</w:t>
      </w:r>
    </w:p>
    <w:bookmarkEnd w:id="83"/>
    <w:bookmarkEnd w:id="84"/>
    <w:bookmarkStart w:id="85"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5"/>
    <w:bookmarkStart w:id="86"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6"/>
    <w:bookmarkStart w:id="87"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7"/>
    <w:bookmarkStart w:id="91"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9" name="Picture"/>
            <a:graphic>
              <a:graphicData uri="http://schemas.openxmlformats.org/drawingml/2006/picture">
                <pic:pic>
                  <pic:nvPicPr>
                    <pic:cNvPr descr="figures/fig03_system_architecture.png" id="90" name="Picture"/>
                    <pic:cNvPicPr>
                      <a:picLocks noChangeArrowheads="1" noChangeAspect="1"/>
                    </pic:cNvPicPr>
                  </pic:nvPicPr>
                  <pic:blipFill>
                    <a:blip r:embed="rId88"/>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1"/>
    <w:bookmarkEnd w:id="92"/>
    <w:bookmarkStart w:id="93" w:name="chapter-4"/>
    <w:p>
      <w:pPr>
        <w:pStyle w:val="Heading1"/>
      </w:pPr>
      <w:r>
        <w:t xml:space="preserve">Chapter 4</w:t>
      </w:r>
    </w:p>
    <w:bookmarkEnd w:id="93"/>
    <w:bookmarkStart w:id="162" w:name="methodology-results-and-discussion"/>
    <w:p>
      <w:pPr>
        <w:pStyle w:val="Heading1"/>
      </w:pPr>
      <w:r>
        <w:t xml:space="preserve">METHODOLOGY, RESULTS, AND DISCUSSION</w:t>
      </w:r>
    </w:p>
    <w:bookmarkStart w:id="96"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4"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4"/>
    <w:bookmarkStart w:id="95"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5"/>
    <w:bookmarkEnd w:id="96"/>
    <w:bookmarkStart w:id="100" w:name="requirements-documentation"/>
    <w:p>
      <w:pPr>
        <w:pStyle w:val="Heading2"/>
      </w:pPr>
      <w:r>
        <w:t xml:space="preserve">4.2 Requirements Documentation</w:t>
      </w:r>
    </w:p>
    <w:bookmarkStart w:id="97"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7"/>
    <w:bookmarkStart w:id="98"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8"/>
    <w:bookmarkStart w:id="99"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9"/>
    <w:bookmarkEnd w:id="100"/>
    <w:bookmarkStart w:id="137" w:name="system-design"/>
    <w:p>
      <w:pPr>
        <w:pStyle w:val="Heading2"/>
      </w:pPr>
      <w:r>
        <w:t xml:space="preserve">4.3 System Design</w:t>
      </w:r>
    </w:p>
    <w:bookmarkStart w:id="104"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2" name="Picture"/>
            <a:graphic>
              <a:graphicData uri="http://schemas.openxmlformats.org/drawingml/2006/picture">
                <pic:pic>
                  <pic:nvPicPr>
                    <pic:cNvPr descr="figures/fig04_context_diagram.png" id="103" name="Picture"/>
                    <pic:cNvPicPr>
                      <a:picLocks noChangeArrowheads="1" noChangeAspect="1"/>
                    </pic:cNvPicPr>
                  </pic:nvPicPr>
                  <pic:blipFill>
                    <a:blip r:embed="rId101"/>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4"/>
    <w:bookmarkStart w:id="108"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6" name="Picture"/>
            <a:graphic>
              <a:graphicData uri="http://schemas.openxmlformats.org/drawingml/2006/picture">
                <pic:pic>
                  <pic:nvPicPr>
                    <pic:cNvPr descr="figures/fig05_dfd_level1.png" id="107" name="Picture"/>
                    <pic:cNvPicPr>
                      <a:picLocks noChangeArrowheads="1" noChangeAspect="1"/>
                    </pic:cNvPicPr>
                  </pic:nvPicPr>
                  <pic:blipFill>
                    <a:blip r:embed="rId105"/>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8"/>
    <w:bookmarkStart w:id="112"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10" name="Picture"/>
            <a:graphic>
              <a:graphicData uri="http://schemas.openxmlformats.org/drawingml/2006/picture">
                <pic:pic>
                  <pic:nvPicPr>
                    <pic:cNvPr descr="figures/fig06_erd.png" id="111" name="Picture"/>
                    <pic:cNvPicPr>
                      <a:picLocks noChangeArrowheads="1" noChangeAspect="1"/>
                    </pic:cNvPicPr>
                  </pic:nvPicPr>
                  <pic:blipFill>
                    <a:blip r:embed="rId109"/>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2"/>
    <w:bookmarkStart w:id="116" w:name="use-case-diagram"/>
    <w:p>
      <w:pPr>
        <w:pStyle w:val="Heading3"/>
      </w:pPr>
      <w:r>
        <w:t xml:space="preserve">Use Case Diagram</w:t>
      </w:r>
    </w:p>
    <w:p>
      <w:pPr>
        <w:pStyle w:val="CaptionedFigure"/>
      </w:pPr>
      <w:r>
        <w:drawing>
          <wp:inline>
            <wp:extent cx="5486400" cy="6246835"/>
            <wp:effectExtent b="0" l="0" r="0" t="0"/>
            <wp:docPr descr="Figure 7. Use Case Diagram" title="" id="114" name="Picture"/>
            <a:graphic>
              <a:graphicData uri="http://schemas.openxmlformats.org/drawingml/2006/picture">
                <pic:pic>
                  <pic:nvPicPr>
                    <pic:cNvPr descr="figures/fig07_use_case.png" id="115" name="Picture"/>
                    <pic:cNvPicPr>
                      <a:picLocks noChangeArrowheads="1" noChangeAspect="1"/>
                    </pic:cNvPicPr>
                  </pic:nvPicPr>
                  <pic:blipFill>
                    <a:blip r:embed="rId113"/>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6"/>
    <w:bookmarkStart w:id="120"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8" name="Picture"/>
            <a:graphic>
              <a:graphicData uri="http://schemas.openxmlformats.org/drawingml/2006/picture">
                <pic:pic>
                  <pic:nvPicPr>
                    <pic:cNvPr descr="figures/fig08_activity_booking.png" id="119" name="Picture"/>
                    <pic:cNvPicPr>
                      <a:picLocks noChangeArrowheads="1" noChangeAspect="1"/>
                    </pic:cNvPicPr>
                  </pic:nvPicPr>
                  <pic:blipFill>
                    <a:blip r:embed="rId117"/>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20"/>
    <w:bookmarkStart w:id="124"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2" name="Picture"/>
            <a:graphic>
              <a:graphicData uri="http://schemas.openxmlformats.org/drawingml/2006/picture">
                <pic:pic>
                  <pic:nvPicPr>
                    <pic:cNvPr descr="figures/fig09_sequence_booking.png" id="123" name="Picture"/>
                    <pic:cNvPicPr>
                      <a:picLocks noChangeArrowheads="1" noChangeAspect="1"/>
                    </pic:cNvPicPr>
                  </pic:nvPicPr>
                  <pic:blipFill>
                    <a:blip r:embed="rId121"/>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4"/>
    <w:bookmarkStart w:id="128" w:name="class-diagram"/>
    <w:p>
      <w:pPr>
        <w:pStyle w:val="Heading3"/>
      </w:pPr>
      <w:r>
        <w:t xml:space="preserve">Class Diagram</w:t>
      </w:r>
    </w:p>
    <w:p>
      <w:pPr>
        <w:pStyle w:val="CaptionedFigure"/>
      </w:pPr>
      <w:r>
        <w:drawing>
          <wp:inline>
            <wp:extent cx="4809744" cy="6765755"/>
            <wp:effectExtent b="0" l="0" r="0" t="0"/>
            <wp:docPr descr="Figure 10. Class Diagram" title="" id="126" name="Picture"/>
            <a:graphic>
              <a:graphicData uri="http://schemas.openxmlformats.org/drawingml/2006/picture">
                <pic:pic>
                  <pic:nvPicPr>
                    <pic:cNvPr descr="figures/fig10_class_diagram.png" id="127" name="Picture"/>
                    <pic:cNvPicPr>
                      <a:picLocks noChangeArrowheads="1" noChangeAspect="1"/>
                    </pic:cNvPicPr>
                  </pic:nvPicPr>
                  <pic:blipFill>
                    <a:blip r:embed="rId125"/>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8"/>
    <w:bookmarkStart w:id="132"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Licence number and expiry, 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Base64 JPEG of the driver’s licence, the time it was sent, and the time consent was given</w:t>
            </w:r>
          </w:p>
        </w:tc>
        <w:tc>
          <w:tcPr/>
          <w:p>
            <w:pPr>
              <w:pStyle w:val="Compact"/>
              <w:jc w:val="left"/>
            </w:pPr>
            <w:r>
              <w:t xml:space="preserve">The driver;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30" name="Picture"/>
            <a:graphic>
              <a:graphicData uri="http://schemas.openxmlformats.org/drawingml/2006/picture">
                <pic:pic>
                  <pic:nvPicPr>
                    <pic:cNvPr descr="figures/fig11_database_schema.png" id="131" name="Picture"/>
                    <pic:cNvPicPr>
                      <a:picLocks noChangeArrowheads="1" noChangeAspect="1"/>
                    </pic:cNvPicPr>
                  </pic:nvPicPr>
                  <pic:blipFill>
                    <a:blip r:embed="rId129"/>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2"/>
    <w:bookmarkStart w:id="136"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4" name="Picture"/>
            <a:graphic>
              <a:graphicData uri="http://schemas.openxmlformats.org/drawingml/2006/picture">
                <pic:pic>
                  <pic:nvPicPr>
                    <pic:cNvPr descr="figures/fig13_screen_flow.png" id="135" name="Picture"/>
                    <pic:cNvPicPr>
                      <a:picLocks noChangeArrowheads="1" noChangeAspect="1"/>
                    </pic:cNvPicPr>
                  </pic:nvPicPr>
                  <pic:blipFill>
                    <a:blip r:embed="rId133"/>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6"/>
    <w:bookmarkEnd w:id="137"/>
    <w:bookmarkStart w:id="145" w:name="software-development"/>
    <w:p>
      <w:pPr>
        <w:pStyle w:val="Heading2"/>
      </w:pPr>
      <w:r>
        <w:t xml:space="preserve">4.4 Software Development</w:t>
      </w:r>
    </w:p>
    <w:bookmarkStart w:id="141"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9" name="Picture"/>
            <a:graphic>
              <a:graphicData uri="http://schemas.openxmlformats.org/drawingml/2006/picture">
                <pic:pic>
                  <pic:nvPicPr>
                    <pic:cNvPr descr="figures/fig12_waterfall.png" id="140" name="Picture"/>
                    <pic:cNvPicPr>
                      <a:picLocks noChangeArrowheads="1" noChangeAspect="1"/>
                    </pic:cNvPicPr>
                  </pic:nvPicPr>
                  <pic:blipFill>
                    <a:blip r:embed="rId138"/>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1"/>
    <w:bookmarkStart w:id="142"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2"/>
    <w:bookmarkStart w:id="143"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3"/>
    <w:bookmarkStart w:id="144"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4"/>
    <w:bookmarkEnd w:id="145"/>
    <w:bookmarkStart w:id="152" w:name="testing"/>
    <w:p>
      <w:pPr>
        <w:pStyle w:val="Heading2"/>
      </w:pPr>
      <w:r>
        <w:t xml:space="preserve">4.5 Testing</w:t>
      </w:r>
    </w:p>
    <w:p>
      <w:pPr>
        <w:pStyle w:val="FirstParagraph"/>
      </w:pPr>
      <w:r>
        <w:t xml:space="preserve">Testing was conducted at four levels, followed by performance and security testing.</w:t>
      </w:r>
    </w:p>
    <w:bookmarkStart w:id="146"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6"/>
    <w:bookmarkStart w:id="147"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7"/>
    <w:bookmarkStart w:id="148"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8"/>
    <w:bookmarkStart w:id="149" w:name="user-acceptance-testing"/>
    <w:p>
      <w:pPr>
        <w:pStyle w:val="Heading3"/>
      </w:pPr>
      <w:r>
        <w:t xml:space="preserve">User Acceptance Testing</w:t>
      </w:r>
    </w:p>
    <w:p>
      <w:pPr>
        <w:pStyle w:val="FirstParagraph"/>
      </w:pPr>
      <w:r>
        <w:t xml:space="preserve">User acceptance testing is to be conducted with respondents drawn from the two user groups, using the application under real conditions for the evaluation period. Respondents are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49"/>
    <w:bookmarkStart w:id="150"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50"/>
    <w:bookmarkStart w:id="151"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1"/>
    <w:bookmarkEnd w:id="152"/>
    <w:bookmarkStart w:id="153"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3"/>
    <w:bookmarkStart w:id="157" w:name="implementation-plan"/>
    <w:p>
      <w:pPr>
        <w:pStyle w:val="Heading2"/>
      </w:pPr>
      <w:r>
        <w:t xml:space="preserve">4.7 Implementation Plan</w:t>
      </w:r>
    </w:p>
    <w:bookmarkStart w:id="154"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H.</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4"/>
    <w:bookmarkStart w:id="155"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5"/>
    <w:bookmarkStart w:id="156"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6"/>
    <w:bookmarkEnd w:id="157"/>
    <w:bookmarkStart w:id="161" w:name="implementation-results"/>
    <w:p>
      <w:pPr>
        <w:pStyle w:val="Heading2"/>
      </w:pPr>
      <w:r>
        <w:t xml:space="preserve">4.8 Implementation Results</w:t>
      </w:r>
    </w:p>
    <w:bookmarkStart w:id="158"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optional coordinates on fare stops</w:t>
            </w:r>
          </w:p>
        </w:tc>
        <w:tc>
          <w:tcPr/>
          <w:p>
            <w:pPr>
              <w:pStyle w:val="Compact"/>
              <w:jc w:val="left"/>
            </w:pPr>
            <w:r>
              <w:t xml:space="preserve">FR-09,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forty-three functional requirements were implemented, as were the seventeen non-functional requirements.</w:t>
      </w:r>
    </w:p>
    <w:bookmarkEnd w:id="158"/>
    <w:bookmarkStart w:id="159"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9"/>
    <w:bookmarkStart w:id="160" w:name="screenshots"/>
    <w:p>
      <w:pPr>
        <w:pStyle w:val="Heading3"/>
      </w:pPr>
      <w:r>
        <w:t xml:space="preserve">Screenshots</w:t>
      </w:r>
    </w:p>
    <w:p>
      <w:pPr>
        <w:pStyle w:val="FirstParagraph"/>
      </w:pPr>
      <w:r>
        <w:t xml:space="preserve">System screenshots are presented in Appendix G.</w:t>
      </w:r>
    </w:p>
    <w:p>
      <w:r>
        <w:br w:type="page"/>
      </w:r>
    </w:p>
    <w:bookmarkEnd w:id="160"/>
    <w:bookmarkEnd w:id="161"/>
    <w:bookmarkEnd w:id="162"/>
    <w:bookmarkStart w:id="163" w:name="chapter-5"/>
    <w:p>
      <w:pPr>
        <w:pStyle w:val="Heading1"/>
      </w:pPr>
      <w:r>
        <w:t xml:space="preserve">Chapter 5</w:t>
      </w:r>
    </w:p>
    <w:bookmarkEnd w:id="163"/>
    <w:bookmarkStart w:id="167" w:name="summary-conclusions-and-recommendations"/>
    <w:p>
      <w:pPr>
        <w:pStyle w:val="Heading1"/>
      </w:pPr>
      <w:r>
        <w:t xml:space="preserve">SUMMARY, CONCLUSIONS AND RECOMMENDATIONS</w:t>
      </w:r>
    </w:p>
    <w:bookmarkStart w:id="164" w:name="conclusions"/>
    <w:p>
      <w:pPr>
        <w:pStyle w:val="Heading2"/>
      </w:pPr>
      <w:r>
        <w:t xml:space="preserve">5.1 Conclusions</w:t>
      </w:r>
    </w:p>
    <w:p>
      <w:pPr>
        <w:pStyle w:val="FirstParagraph"/>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64"/>
    <w:bookmarkStart w:id="165" w:name="recommendations"/>
    <w:p>
      <w:pPr>
        <w:pStyle w:val="Heading2"/>
      </w:pPr>
      <w:r>
        <w:t xml:space="preserve">5.2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65"/>
    <w:bookmarkStart w:id="166" w:name="future-enhancements"/>
    <w:p>
      <w:pPr>
        <w:pStyle w:val="Heading2"/>
      </w:pPr>
      <w:r>
        <w:t xml:space="preserve">5.3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Only stops an administrator has positioned appear on the map. Surveying the coordinates of all 240, which a group of students with phones could do in a few afternoons, would let a passenger pick a destination from the map and have the system snap to the nearest posted stop rather than search a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66"/>
    <w:bookmarkEnd w:id="167"/>
    <w:bookmarkStart w:id="168"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Rogers, E. M. (2003).</w:t>
      </w:r>
      <w:r>
        <w:t xml:space="preserve"> </w:t>
      </w:r>
      <w:r>
        <w:rPr>
          <w:iCs/>
          <w:i/>
        </w:rPr>
        <w:t xml:space="preserve">Diffusion of innovations</w:t>
      </w:r>
      <w:r>
        <w:t xml:space="preserve"> </w:t>
      </w:r>
      <w:r>
        <w:t xml:space="preserve">(5th ed.). Free Press.</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68"/>
    <w:bookmarkStart w:id="193" w:name="appendices"/>
    <w:p>
      <w:pPr>
        <w:pStyle w:val="Heading1"/>
      </w:pPr>
      <w:r>
        <w:t xml:space="preserve">APPENDICES</w:t>
      </w:r>
    </w:p>
    <w:bookmarkStart w:id="169"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69"/>
    <w:bookmarkStart w:id="170"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70"/>
    <w:bookmarkStart w:id="173"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1"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1"/>
    <w:bookmarkStart w:id="172"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2"/>
    <w:bookmarkEnd w:id="173"/>
    <w:bookmarkStart w:id="174" w:name="Xa0f1431884eca17d668bc46bc3532e12d11e1c0"/>
    <w:p>
      <w:pPr>
        <w:pStyle w:val="Heading2"/>
      </w:pPr>
      <w:r>
        <w:t xml:space="preserve">Appendix D — Legal Documents Presented In-App</w:t>
      </w:r>
    </w:p>
    <w:p>
      <w:pPr>
        <w:pStyle w:val="FirstParagraph"/>
      </w:pPr>
      <w:r>
        <w:t xml:space="preserve">The following documents are carried inside the application, are readable at any time from</w:t>
      </w:r>
      <w:r>
        <w:t xml:space="preserve"> </w:t>
      </w:r>
      <w:r>
        <w:t xml:space="preserve">the profile screen, and must be accepted before the service becomes available. They are</w:t>
      </w:r>
      <w:r>
        <w:t xml:space="preserve"> </w:t>
      </w:r>
      <w:r>
        <w:t xml:space="preserve">reproduced here as issued, effective 28 July 2026.</w:t>
      </w:r>
    </w:p>
    <w:p>
      <w:pPr>
        <w:pStyle w:val="BodyText"/>
      </w:pPr>
      <w:r>
        <w:rPr>
          <w:bCs/>
          <w:b/>
        </w:rPr>
        <w:t xml:space="preserve">D.1 Terms and Conditions.</w:t>
      </w:r>
      <w:r>
        <w:t xml:space="preserve"> </w:t>
      </w:r>
      <w:r>
        <w:t xml:space="preserve">Ten sections covering eligibility, account registration,</w:t>
      </w:r>
      <w:r>
        <w:t xml:space="preserve"> </w:t>
      </w:r>
      <w:r>
        <w:t xml:space="preserve">ride booking obligations for passengers and drivers, prohibited activities, limitation of</w:t>
      </w:r>
      <w:r>
        <w:t xml:space="preserve"> </w:t>
      </w:r>
      <w:r>
        <w:t xml:space="preserve">liability, account suspension, intellectual property, amendments, governing rules, and</w:t>
      </w:r>
      <w:r>
        <w:t xml:space="preserve"> </w:t>
      </w:r>
      <w:r>
        <w:t xml:space="preserve">acceptance.</w:t>
      </w:r>
    </w:p>
    <w:p>
      <w:pPr>
        <w:pStyle w:val="BodyText"/>
      </w:pPr>
      <w:r>
        <w:rPr>
          <w:bCs/>
          <w:b/>
        </w:rPr>
        <w:t xml:space="preserve">D.2 Privacy Policy.</w:t>
      </w:r>
      <w:r>
        <w:t xml:space="preserve"> </w:t>
      </w:r>
      <w:r>
        <w:t xml:space="preserve">Eight sections covering what is collected, how it is used,</w:t>
      </w:r>
      <w:r>
        <w:t xml:space="preserve"> </w:t>
      </w:r>
      <w:r>
        <w:t xml:space="preserve">location, storage, sharing, user choices, children, and contact.</w:t>
      </w:r>
    </w:p>
    <w:p>
      <w:pPr>
        <w:pStyle w:val="BodyText"/>
      </w:pPr>
      <w:r>
        <w:rPr>
          <w:bCs/>
          <w:b/>
        </w:rPr>
        <w:t xml:space="preserve">D.3 Safety and Community Guidelines.</w:t>
      </w:r>
      <w:r>
        <w:t xml:space="preserve"> </w:t>
      </w:r>
      <w:r>
        <w:t xml:space="preserve">Commitment, respect, safe riding, driver</w:t>
      </w:r>
      <w:r>
        <w:t xml:space="preserve"> </w:t>
      </w:r>
      <w:r>
        <w:t xml:space="preserve">responsibilities, passenger responsibilities, prohibited conduct, reporting safety</w:t>
      </w:r>
      <w:r>
        <w:t xml:space="preserve"> </w:t>
      </w:r>
      <w:r>
        <w:t xml:space="preserve">concerns, and account enforcement.</w:t>
      </w:r>
    </w:p>
    <w:p>
      <w:pPr>
        <w:pStyle w:val="BodyText"/>
      </w:pPr>
      <w:r>
        <w:rPr>
          <w:bCs/>
          <w:b/>
        </w:rPr>
        <w:t xml:space="preserve">D.4 Driver Agreement.</w:t>
      </w:r>
      <w:r>
        <w:t xml:space="preserve"> </w:t>
      </w:r>
      <w:r>
        <w:t xml:space="preserve">Driver eligibility, driver responsibilities, professional</w:t>
      </w:r>
      <w:r>
        <w:t xml:space="preserve"> </w:t>
      </w:r>
      <w:r>
        <w:t xml:space="preserve">conduct, safety requirements, suspension and termination, limitation of responsibility,</w:t>
      </w:r>
      <w:r>
        <w:t xml:space="preserve"> </w:t>
      </w:r>
      <w:r>
        <w:t xml:space="preserve">and agreement.</w:t>
      </w:r>
    </w:p>
    <w:p>
      <w:pPr>
        <w:pStyle w:val="BodyText"/>
      </w:pPr>
      <w:r>
        <w:rPr>
          <w:iCs/>
          <w:i/>
        </w:rPr>
        <w:t xml:space="preserve">[Insert the full text of each document here. The text held in the application is</w:t>
      </w:r>
      <w:r>
        <w:rPr>
          <w:iCs/>
          <w:i/>
        </w:rPr>
        <w:t xml:space="preserve"> </w:t>
      </w:r>
      <w:r>
        <w:rPr>
          <w:iCs/>
          <w:i/>
        </w:rPr>
        <w:t xml:space="preserve">reproduced verbatim from the issued documents; the source is</w:t>
      </w:r>
      <w:r>
        <w:rPr>
          <w:iCs/>
          <w:i/>
        </w:rPr>
        <w:t xml:space="preserve"> </w:t>
      </w:r>
      <w:r>
        <w:rPr>
          <w:rStyle w:val="VerbatimChar"/>
          <w:iCs/>
          <w:i/>
        </w:rPr>
        <w:t xml:space="preserve">app/src/main/java/com/tpc/trikride/ui/screens/LegalScreen.kt</w:t>
      </w:r>
      <w:r>
        <w:rPr>
          <w:iCs/>
          <w:i/>
        </w:rPr>
        <w:t xml:space="preserve">.]</w:t>
      </w:r>
    </w:p>
    <w:bookmarkEnd w:id="174"/>
    <w:bookmarkStart w:id="175" w:name="appendix-e-interview-guide"/>
    <w:p>
      <w:pPr>
        <w:pStyle w:val="Heading2"/>
      </w:pPr>
      <w:r>
        <w:t xml:space="preserve">Appendix E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75"/>
    <w:bookmarkStart w:id="176"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76"/>
    <w:bookmarkStart w:id="177" w:name="appendix-g-system-screenshots"/>
    <w:p>
      <w:pPr>
        <w:pStyle w:val="Heading2"/>
      </w:pPr>
      <w:r>
        <w:t xml:space="preserve">Appendix G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77"/>
    <w:bookmarkStart w:id="178" w:name="appendix-h-user-manual"/>
    <w:p>
      <w:pPr>
        <w:pStyle w:val="Heading2"/>
      </w:pPr>
      <w:r>
        <w:t xml:space="preserve">Appendix H — User Manual</w:t>
      </w:r>
    </w:p>
    <w:p>
      <w:pPr>
        <w:pStyle w:val="FirstParagraph"/>
      </w:pPr>
      <w:r>
        <w:rPr>
          <w:iCs/>
          <w:i/>
        </w:rPr>
        <w:t xml:space="preserve">[The complete illustrated manual is to accompany this appendix. Its structure is given below.]</w:t>
      </w:r>
    </w:p>
    <w:p>
      <w:pPr>
        <w:pStyle w:val="BodyText"/>
      </w:pPr>
      <w:r>
        <w:rPr>
          <w:bCs/>
          <w:b/>
        </w:rPr>
        <w:t xml:space="preserve">Part 1 — Installation.</w:t>
      </w:r>
      <w:r>
        <w:t xml:space="preserve"> </w:t>
      </w:r>
      <w:r>
        <w:t xml:space="preserve">Obtaining the installation package; permitting installation from outside the application store; installing; first launch.</w:t>
      </w:r>
    </w:p>
    <w:p>
      <w:pPr>
        <w:pStyle w:val="BodyText"/>
      </w:pPr>
      <w:r>
        <w:rPr>
          <w:bCs/>
          <w:b/>
        </w:rPr>
        <w:t xml:space="preserve">Part 2 — For Passengers.</w:t>
      </w:r>
      <w:r>
        <w:t xml:space="preserve"> </w:t>
      </w:r>
      <w:r>
        <w:t xml:space="preserve">Registering an account; the password rules; reading and accepting the Terms and Conditions, Privacy Policy and Safety and Community Guidelines; signing in and staying signed in; setting a profile photograph; booking a ride step by step; understanding the fare breakdown; choosing the discounted rate and what identification to bring; tracking a ride; rating a driver; viewing history; reporting a concern; reading notifications; switching to dark theme; signing out.</w:t>
      </w:r>
    </w:p>
    <w:p>
      <w:pPr>
        <w:pStyle w:val="BodyText"/>
      </w:pPr>
      <w:r>
        <w:rPr>
          <w:bCs/>
          <w:b/>
        </w:rPr>
        <w:t xml:space="preserve">Part 3 — For Drivers.</w:t>
      </w:r>
      <w:r>
        <w:t xml:space="preserve"> </w:t>
      </w:r>
      <w:r>
        <w:t xml:space="preserve">Registering; accepting the Driver Agreement; submitting licence and tricycle details; what happens while verification is pending; going online and offline; reading a request card; accepting before the countdown expires; advancing a ride through its stages; viewing earnings and history; reporting a concern.</w:t>
      </w:r>
    </w:p>
    <w:p>
      <w:pPr>
        <w:pStyle w:val="BodyText"/>
      </w:pPr>
      <w:r>
        <w:rPr>
          <w:bCs/>
          <w:b/>
        </w:rPr>
        <w:t xml:space="preserve">Part 4 — For Administrators.</w:t>
      </w:r>
      <w:r>
        <w:t xml:space="preserve"> </w:t>
      </w:r>
      <w:r>
        <w:t xml:space="preserve">Signing in as an administrator; verifying and rejecting driver applications, including review of the submitted licence photograph; loading the official fare table for the first time; searching and filtering the fare table; correcting an entry and clearing its review flag; adding and deactivating entries; editing the minimum fares and flat rates; reviewing and resolving concerns; reading the live monitor; selecting a report period, including a range between two dates; exporting and sharing a report in either format.</w:t>
      </w:r>
    </w:p>
    <w:p>
      <w:pPr>
        <w:pStyle w:val="BodyText"/>
      </w:pPr>
      <w:r>
        <w:rPr>
          <w:bCs/>
          <w:b/>
        </w:rPr>
        <w:t xml:space="preserve">Part 5 — Troubleshooting.</w:t>
      </w:r>
      <w:r>
        <w:t xml:space="preserve"> </w:t>
      </w:r>
      <w:r>
        <w:t xml:space="preserve">The application says it cannot reach the database; a booking will not submit; no drivers appear to be online; a fare looks wrong; a photograph will not upload; how to report a problem.</w:t>
      </w:r>
    </w:p>
    <w:bookmarkEnd w:id="178"/>
    <w:bookmarkStart w:id="179" w:name="appendix-i-source-code"/>
    <w:p>
      <w:pPr>
        <w:pStyle w:val="Heading2"/>
      </w:pPr>
      <w:r>
        <w:t xml:space="preserve">Appendix I — Source Code</w:t>
      </w:r>
    </w:p>
    <w:p>
      <w:pPr>
        <w:pStyle w:val="FirstParagraph"/>
      </w:pPr>
      <w:r>
        <w:t xml:space="preserve">The complete source code of the system is held in a Git repository rather than reproduced here. At roughly twelve thousand seven hundred lines across fifty-five files it would add some three hundred pages to a bound copy, at a printing cost the study cannot justify.</w:t>
      </w:r>
    </w:p>
    <w:p>
      <w:pPr>
        <w:pStyle w:val="BodyText"/>
      </w:pPr>
      <w:r>
        <w:rPr>
          <w:bCs/>
          <w:b/>
        </w:rPr>
        <w:t xml:space="preserve">Retrieving the source</w:t>
      </w:r>
    </w:p>
    <w:p>
      <w:pPr>
        <w:pStyle w:val="BodyText"/>
      </w:pPr>
      <w:r>
        <w:t xml:space="preserve">The repository is at:</w:t>
      </w:r>
    </w:p>
    <w:p>
      <w:pPr>
        <w:pStyle w:val="SourceCode"/>
      </w:pPr>
      <w:r>
        <w:rPr>
          <w:rStyle w:val="VerbatimChar"/>
        </w:rPr>
        <w:t xml:space="preserve">https://github.com/ZeroXJune/CapstoneProject</w:t>
      </w:r>
    </w:p>
    <w:p>
      <w:pPr>
        <w:pStyle w:val="FirstParagraph"/>
      </w:pPr>
      <w:r>
        <w:t xml:space="preserve">With Git installed, the whole project is obtained by opening a terminal in the folder where it should be placed and running:</w:t>
      </w:r>
    </w:p>
    <w:p>
      <w:pPr>
        <w:pStyle w:val="SourceCode"/>
      </w:pPr>
      <w:r>
        <w:rPr>
          <w:rStyle w:val="VerbatimChar"/>
        </w:rPr>
        <w:t xml:space="preserve">git clone https://github.com/ZeroXJune/CapstoneProject</w:t>
      </w:r>
    </w:p>
    <w:p>
      <w:pPr>
        <w:pStyle w:val="FirstParagraph"/>
      </w:pPr>
      <w:r>
        <w:t xml:space="preserve">Readers without Git may instead open the address above in a browser and use the</w:t>
      </w:r>
      <w:r>
        <w:t xml:space="preserve"> </w:t>
      </w:r>
      <w:r>
        <w:rPr>
          <w:bCs/>
          <w:b/>
        </w:rPr>
        <w:t xml:space="preserve">Code → Download ZIP</w:t>
      </w:r>
      <w:r>
        <w:t xml:space="preserve"> </w:t>
      </w:r>
      <w:r>
        <w:t xml:space="preserve">button, which produces the same files. If the repository is private, the researchers can grant read access to a named GitHub account, or supply the source on request as an archive.</w:t>
      </w:r>
    </w:p>
    <w:p>
      <w:pPr>
        <w:pStyle w:val="BodyText"/>
      </w:pPr>
      <w:r>
        <w:t xml:space="preserve">Two files are required to build and are deliberately absent from the repository because they carry credentials:</w:t>
      </w:r>
      <w:r>
        <w:t xml:space="preserve"> </w:t>
      </w:r>
      <w:r>
        <w:rPr>
          <w:rStyle w:val="VerbatimChar"/>
        </w:rPr>
        <w:t xml:space="preserve">google-services.json</w:t>
      </w:r>
      <w:r>
        <w:t xml:space="preserve">, the Firebase configuration, downloaded from the project’s Firebase console; and</w:t>
      </w:r>
      <w:r>
        <w:t xml:space="preserve"> </w:t>
      </w:r>
      <w:r>
        <w:rPr>
          <w:rStyle w:val="VerbatimChar"/>
        </w:rPr>
        <w:t xml:space="preserve">.env</w:t>
      </w:r>
      <w:r>
        <w:t xml:space="preserve">, copied from the committed</w:t>
      </w:r>
      <w:r>
        <w:t xml:space="preserve"> </w:t>
      </w:r>
      <w:r>
        <w:rPr>
          <w:rStyle w:val="VerbatimChar"/>
        </w:rPr>
        <w:t xml:space="preserve">.env.example</w:t>
      </w:r>
      <w:r>
        <w:t xml:space="preserve"> </w:t>
      </w:r>
      <w:r>
        <w:t xml:space="preserve">and filled in.</w:t>
      </w:r>
      <w:r>
        <w:t xml:space="preserve"> </w:t>
      </w:r>
      <w:r>
        <w:rPr>
          <w:rStyle w:val="VerbatimChar"/>
        </w:rPr>
        <w:t xml:space="preserve">SETUP_GUIDE.md</w:t>
      </w:r>
      <w:r>
        <w:t xml:space="preserve"> </w:t>
      </w:r>
      <w:r>
        <w:t xml:space="preserve">in the repository root gives the full procedure, and</w:t>
      </w:r>
      <w:r>
        <w:t xml:space="preserve"> </w:t>
      </w:r>
      <w:r>
        <w:rPr>
          <w:rStyle w:val="VerbatimChar"/>
        </w:rPr>
        <w:t xml:space="preserve">ARCHITECTURE.md</w:t>
      </w:r>
      <w:r>
        <w:t xml:space="preserve"> </w:t>
      </w:r>
      <w:r>
        <w:t xml:space="preserve">explains how the code is arranged.</w:t>
      </w:r>
    </w:p>
    <w:p>
      <w:pPr>
        <w:pStyle w:val="BodyText"/>
      </w:pPr>
      <w:r>
        <w:t xml:space="preserve">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w:t>
            </w:r>
            <w:r>
              <w:t xml:space="preserve"> </w:t>
            </w:r>
            <w:r>
              <w:rPr>
                <w:rStyle w:val="VerbatimChar"/>
              </w:rPr>
              <w:t xml:space="preserve">LicenceImage</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179"/>
    <w:bookmarkStart w:id="180" w:name="appendix-j-database-schema"/>
    <w:p>
      <w:pPr>
        <w:pStyle w:val="Heading2"/>
      </w:pPr>
      <w:r>
        <w:t xml:space="preserve">Appendix J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180"/>
    <w:bookmarkStart w:id="181" w:name="appendix-k-test-cases"/>
    <w:p>
      <w:pPr>
        <w:pStyle w:val="Heading2"/>
      </w:pPr>
      <w:r>
        <w:t xml:space="preserve">Appendix K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181"/>
    <w:bookmarkStart w:id="182" w:name="appendix-l-test-results"/>
    <w:p>
      <w:pPr>
        <w:pStyle w:val="Heading2"/>
      </w:pPr>
      <w:r>
        <w:t xml:space="preserve">Appendix L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182"/>
    <w:bookmarkStart w:id="183" w:name="appendix-m-sample-reports"/>
    <w:p>
      <w:pPr>
        <w:pStyle w:val="Heading2"/>
      </w:pPr>
      <w:r>
        <w:t xml:space="preserve">Appendix M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183"/>
    <w:bookmarkStart w:id="184" w:name="Xc50705ef7a2b355081ea3904d1607e0b082faec"/>
    <w:p>
      <w:pPr>
        <w:pStyle w:val="Heading2"/>
      </w:pPr>
      <w:r>
        <w:t xml:space="preserve">Appendix N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184"/>
    <w:bookmarkStart w:id="188" w:name="appendix-o-gantt-chart"/>
    <w:p>
      <w:pPr>
        <w:pStyle w:val="Heading2"/>
      </w:pPr>
      <w:r>
        <w:t xml:space="preserve">Appendix O — Gantt Chart</w:t>
      </w:r>
    </w:p>
    <w:p>
      <w:pPr>
        <w:pStyle w:val="CaptionedFigure"/>
      </w:pPr>
      <w:r>
        <w:drawing>
          <wp:inline>
            <wp:extent cx="5486400" cy="2674620"/>
            <wp:effectExtent b="0" l="0" r="0" t="0"/>
            <wp:docPr descr="Figure 14. Gantt Chart of Project Activities" title="" id="186" name="Picture"/>
            <a:graphic>
              <a:graphicData uri="http://schemas.openxmlformats.org/drawingml/2006/picture">
                <pic:pic>
                  <pic:nvPicPr>
                    <pic:cNvPr descr="figures/fig14_gantt.png" id="187" name="Picture"/>
                    <pic:cNvPicPr>
                      <a:picLocks noChangeArrowheads="1" noChangeAspect="1"/>
                    </pic:cNvPicPr>
                  </pic:nvPicPr>
                  <pic:blipFill>
                    <a:blip r:embed="rId185"/>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188"/>
    <w:bookmarkStart w:id="192" w:name="appendix-p-researchers-biodata"/>
    <w:p>
      <w:pPr>
        <w:pStyle w:val="Heading2"/>
      </w:pPr>
      <w:r>
        <w:t xml:space="preserve">Appendix P — Researchers’ Biodata</w:t>
      </w:r>
    </w:p>
    <w:bookmarkStart w:id="189"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189"/>
    <w:bookmarkStart w:id="190"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190"/>
    <w:bookmarkStart w:id="191"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191"/>
    <w:bookmarkEnd w:id="192"/>
    <w:bookmarkEnd w:id="193"/>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3" Target="media/rId63.png" /><Relationship Type="http://schemas.openxmlformats.org/officeDocument/2006/relationships/image" Id="rId88" Target="media/rId88.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8" Target="media/rId138.png" /><Relationship Type="http://schemas.openxmlformats.org/officeDocument/2006/relationships/image" Id="rId133" Target="media/rId133.png" /><Relationship Type="http://schemas.openxmlformats.org/officeDocument/2006/relationships/image" Id="rId185" Target="media/rId18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2026-08-24T07:32:23Z</dcterms:created>
  <dcterms:modified xsi:type="dcterms:W3CDTF">2026-08-24T07:32:23Z</dcterms:modified>
</cp:coreProperties>
</file>

<file path=docProps/custom.xml><?xml version="1.0" encoding="utf-8"?>
<Properties xmlns="http://schemas.openxmlformats.org/officeDocument/2006/custom-properties" xmlns:vt="http://schemas.openxmlformats.org/officeDocument/2006/docPropsVTypes"/>
</file>