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a licence and tricycle details, and can accept requests only once an administrator has approved those documents. An administrator verifies drivers, maintains the fare table, reviews concerns raised by either side, watches activity as it happens, and exports monthly or yearly records as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Likert Scale and Interpretation</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Profile of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Evaluation Results: Passengers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Drivers</w:t>
            </w:r>
          </w:p>
        </w:tc>
        <w:tc>
          <w:tcPr/>
          <w:p>
            <w:pPr>
              <w:pStyle w:val="Compact"/>
              <w:jc w:val="right"/>
            </w:pPr>
            <w:r>
              <w:t xml:space="preserve">85</w:t>
            </w:r>
          </w:p>
        </w:tc>
      </w:tr>
      <w:tr>
        <w:tc>
          <w:tcPr/>
          <w:p>
            <w:pPr>
              <w:pStyle w:val="Compact"/>
              <w:jc w:val="center"/>
            </w:pPr>
            <w:r>
              <w:t xml:space="preserve">21</w:t>
            </w:r>
          </w:p>
        </w:tc>
        <w:tc>
          <w:tcPr/>
          <w:p>
            <w:pPr>
              <w:pStyle w:val="Compact"/>
              <w:jc w:val="left"/>
            </w:pPr>
            <w:r>
              <w:t xml:space="preserve">Summary of Evaluation Across Characteristics</w:t>
            </w:r>
          </w:p>
        </w:tc>
        <w:tc>
          <w:tcPr/>
          <w:p>
            <w:pPr>
              <w:pStyle w:val="Compact"/>
              <w:jc w:val="right"/>
            </w:pPr>
            <w:r>
              <w:t xml:space="preserve">86</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as spreadsheets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as comma-separated-value files.</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Live map display and turn-by-turn navigation are not included in the evaluated build. Locations are selected from a defined list of pickup points and from the FeTODAT destination schedule rather than from an interactive map, and map areas within the interface are represented by styled placeholders.</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monthly and yearly reports that can be exported,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18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17.</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monthly and yearly reports exportable</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 Driver credentials are recorded as typed values reviewed by an administrator rather than as uploaded document images, for the same reason.</w:t>
      </w:r>
    </w:p>
    <w:bookmarkEnd w:id="83"/>
    <w:bookmarkStart w:id="84" w:name="data-organization"/>
    <w:p>
      <w:pPr>
        <w:pStyle w:val="Heading3"/>
      </w:pPr>
      <w:r>
        <w:t xml:space="preserve">Data Organization</w:t>
      </w:r>
    </w:p>
    <w:p>
      <w:pPr>
        <w:pStyle w:val="FirstParagraph"/>
      </w:pPr>
      <w:r>
        <w:t xml:space="preserve">The database is organized as seven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produces the exported reports; and</w:t>
      </w:r>
      <w:r>
        <w:t xml:space="preserve"> </w:t>
      </w:r>
      <w:r>
        <w:rPr>
          <w:rStyle w:val="VerbatimChar"/>
        </w:rPr>
        <w:t xml:space="preserve">PasswordRules</w:t>
      </w:r>
      <w:r>
        <w:t xml:space="preserve">, which evaluates password strength.</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FR-09</w:t>
            </w:r>
          </w:p>
        </w:tc>
        <w:tc>
          <w:tcPr/>
          <w:p>
            <w:pPr>
              <w:pStyle w:val="Compact"/>
              <w:jc w:val="left"/>
            </w:pPr>
            <w:r>
              <w:t xml:space="preserve">The system shall allow a passenger to select a pickup point from a defined list.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year, or the whole record.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reports shall open without conversion in Microsoft Excel, Google Sheets, and LibreOffice Calc.</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for the reason given in Section 3.5.</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documents</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w:t>
            </w:r>
          </w:p>
        </w:tc>
        <w:tc>
          <w:tcPr/>
          <w:p>
            <w:pPr>
              <w:pStyle w:val="Compact"/>
              <w:jc w:val="left"/>
            </w:pPr>
            <w:r>
              <w:t xml:space="preserve">A file opens correctly in a spreadsheet application</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J.</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export through the file picker and sharing</w:t>
            </w:r>
          </w:p>
        </w:tc>
        <w:tc>
          <w:tcPr/>
          <w:p>
            <w:pPr>
              <w:pStyle w:val="Compact"/>
              <w:jc w:val="left"/>
            </w:pPr>
            <w:r>
              <w:t xml:space="preserve">FR-36 to FR-38</w:t>
            </w:r>
          </w:p>
        </w:tc>
      </w:tr>
    </w:tbl>
    <w:p>
      <w:pPr>
        <w:pStyle w:val="BodyText"/>
      </w:pPr>
      <w:r>
        <w:t xml:space="preserve">All thirty-eight functional requirements were implemented, as were the fifteen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or the whole record</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Reports are produced as comma-separated-value files, which open without conversion in Microsoft Excel, Google Sheets, and LibreOffice Calc. Each may be saved to a location chosen by the administrator through the system file picker, or shared directly to another application. Neither route requires a storage permission.</w:t>
      </w:r>
    </w:p>
    <w:bookmarkEnd w:id="160"/>
    <w:bookmarkStart w:id="161" w:name="screenshots"/>
    <w:p>
      <w:pPr>
        <w:pStyle w:val="Heading3"/>
      </w:pPr>
      <w:r>
        <w:t xml:space="preserve">Screenshots</w:t>
      </w:r>
    </w:p>
    <w:p>
      <w:pPr>
        <w:pStyle w:val="FirstParagraph"/>
      </w:pPr>
      <w:r>
        <w:t xml:space="preserve">System screenshots are presented in Appendix I.</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17. Likert Scale and Interpretation</w:t>
      </w:r>
    </w:p>
    <w:tbl>
      <w:tblPr>
        <w:tblStyle w:val="Table"/>
        <w:tblW w:type="pct" w:w="5000"/>
        <w:tblLook w:firstRow="1" w:lastRow="0" w:firstColumn="0" w:lastColumn="0" w:noHBand="0" w:noVBand="0" w:val="0020"/>
        <w:jc w:val="start"/>
        <w:tblCaption w:val="Table 17.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18. Profile of Respondents</w:t>
      </w:r>
    </w:p>
    <w:tbl>
      <w:tblPr>
        <w:tblStyle w:val="Table"/>
        <w:tblW w:type="auto" w:w="0"/>
        <w:tblLook w:firstRow="1" w:lastRow="0" w:firstColumn="0" w:lastColumn="0" w:noHBand="0" w:noVBand="0" w:val="0020"/>
        <w:jc w:val="start"/>
        <w:tblCaption w:val="Table 18.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19. Evaluation Results: Passengers</w:t>
      </w:r>
    </w:p>
    <w:tbl>
      <w:tblPr>
        <w:tblStyle w:val="Table"/>
        <w:tblW w:type="auto" w:w="0"/>
        <w:tblLook w:firstRow="1" w:lastRow="0" w:firstColumn="0" w:lastColumn="0" w:noHBand="0" w:noVBand="0" w:val="0020"/>
        <w:jc w:val="start"/>
        <w:tblCaption w:val="Table 19.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20. Evaluation Results: Drivers</w:t>
      </w:r>
    </w:p>
    <w:tbl>
      <w:tblPr>
        <w:tblStyle w:val="Table"/>
        <w:tblW w:type="auto" w:w="0"/>
        <w:tblLook w:firstRow="1" w:lastRow="0" w:firstColumn="0" w:lastColumn="0" w:noHBand="0" w:noVBand="0" w:val="0020"/>
        <w:jc w:val="start"/>
        <w:tblCaption w:val="Table 20.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Summary of Evaluation Across Characteristics</w:t>
      </w:r>
    </w:p>
    <w:tbl>
      <w:tblPr>
        <w:tblStyle w:val="Table"/>
        <w:tblW w:type="pct" w:w="5000"/>
        <w:tblLook w:firstRow="1" w:lastRow="0" w:firstColumn="0" w:lastColumn="0" w:noHBand="0" w:noVBand="0" w:val="0020"/>
        <w:jc w:val="start"/>
        <w:tblCaption w:val="Table 21.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G, and the computations in Appendix H.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thirty-eight functional requirements and fifteen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21 and Appendix H.]</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Live mapping and navigation.</w:t>
      </w:r>
      <w:r>
        <w:t xml:space="preserve"> </w:t>
      </w:r>
      <w:r>
        <w:t xml:space="preserve">Integrating the Google Maps SDK would allow the passenger to watch the tricycle approach and would give the driver turn-by-turn guidance. Displaying a map in a mobile application is not itself billed by the platform, though a billing account must be attached to obtain a key, and route calculation is billed. Attaching coordinates to each of the 240 fare stops would be a prerequisite.</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2"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81"/>
    <w:bookmarkStart w:id="182" w:name="appendix-e-interview-guide"/>
    <w:p>
      <w:pPr>
        <w:pStyle w:val="Heading2"/>
      </w:pPr>
      <w:r>
        <w:t xml:space="preserve">Appendix E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2"/>
    <w:bookmarkStart w:id="183"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3"/>
    <w:bookmarkStart w:id="184" w:name="appendix-g-raw-data"/>
    <w:p>
      <w:pPr>
        <w:pStyle w:val="Heading2"/>
      </w:pPr>
      <w:r>
        <w:t xml:space="preserve">Appendix G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4"/>
    <w:bookmarkStart w:id="185" w:name="appendix-h-statistical-computation"/>
    <w:p>
      <w:pPr>
        <w:pStyle w:val="Heading2"/>
      </w:pPr>
      <w:r>
        <w:t xml:space="preserve">Appendix H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5"/>
    <w:bookmarkStart w:id="186" w:name="appendix-i-system-screenshots"/>
    <w:p>
      <w:pPr>
        <w:pStyle w:val="Heading2"/>
      </w:pPr>
      <w:r>
        <w:t xml:space="preserve">Appendix I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187" w:name="appendix-j-user-manual"/>
    <w:p>
      <w:pPr>
        <w:pStyle w:val="Heading2"/>
      </w:pPr>
      <w:r>
        <w:t xml:space="preserve">Appendix J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exporting and sharing a report.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7"/>
    <w:bookmarkStart w:id="188" w:name="appendix-k-source-code"/>
    <w:p>
      <w:pPr>
        <w:pStyle w:val="Heading2"/>
      </w:pPr>
      <w:r>
        <w:t xml:space="preserve">Appendix K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8"/>
    <w:bookmarkStart w:id="189" w:name="appendix-l-database-schema"/>
    <w:p>
      <w:pPr>
        <w:pStyle w:val="Heading2"/>
      </w:pPr>
      <w:r>
        <w:t xml:space="preserve">Appendix L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bl>
    <w:bookmarkEnd w:id="189"/>
    <w:bookmarkStart w:id="190" w:name="appendix-m-test-cases"/>
    <w:p>
      <w:pPr>
        <w:pStyle w:val="Heading2"/>
      </w:pPr>
      <w:r>
        <w:t xml:space="preserve">Appendix M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file is exported</w:t>
            </w:r>
          </w:p>
        </w:tc>
      </w:tr>
    </w:tbl>
    <w:bookmarkEnd w:id="190"/>
    <w:bookmarkStart w:id="191" w:name="appendix-n-test-results"/>
    <w:p>
      <w:pPr>
        <w:pStyle w:val="Heading2"/>
      </w:pPr>
      <w:r>
        <w:t xml:space="preserve">Appendix N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1"/>
    <w:bookmarkStart w:id="192" w:name="appendix-o-sample-reports"/>
    <w:p>
      <w:pPr>
        <w:pStyle w:val="Heading2"/>
      </w:pPr>
      <w:r>
        <w:t xml:space="preserve">Appendix O — Sample Reports</w:t>
      </w:r>
    </w:p>
    <w:p>
      <w:pPr>
        <w:pStyle w:val="FirstParagraph"/>
      </w:pPr>
      <w:r>
        <w:rPr>
          <w:iCs/>
          <w:i/>
        </w:rPr>
        <w:t xml:space="preserve">[Exported files are to be inserted here as printed extracts. The following three are produced by the system.]</w:t>
      </w:r>
    </w:p>
    <w:p>
      <w:pPr>
        <w:pStyle w:val="BodyText"/>
      </w:pPr>
      <w:r>
        <w:rPr>
          <w:bCs/>
          <w:b/>
        </w:rPr>
        <w:t xml:space="preserve">Sample 1 — Ride activity report</w:t>
      </w:r>
      <w:r>
        <w:t xml:space="preserve"> </w:t>
      </w:r>
      <w:r>
        <w:t xml:space="preserve">for a selected month, showing the summary block and a representative extract of the per-ride rows.</w:t>
      </w:r>
    </w:p>
    <w:p>
      <w:pPr>
        <w:pStyle w:val="BodyText"/>
      </w:pPr>
      <w:r>
        <w:rPr>
          <w:bCs/>
          <w:b/>
        </w:rPr>
        <w:t xml:space="preserve">Sample 2 — Driver performance report</w:t>
      </w:r>
      <w:r>
        <w:t xml:space="preserve"> </w:t>
      </w:r>
      <w:r>
        <w:t xml:space="preserve">for the same month, showing per-driver totals ordered by rides accepted, and the list of drivers with no rides in the period.</w:t>
      </w:r>
    </w:p>
    <w:p>
      <w:pPr>
        <w:pStyle w:val="BodyText"/>
      </w:pPr>
      <w:r>
        <w:rPr>
          <w:bCs/>
          <w:b/>
        </w:rPr>
        <w:t xml:space="preserve">Sample 3 — Concerns report</w:t>
      </w:r>
      <w:r>
        <w:t xml:space="preserve"> </w:t>
      </w:r>
      <w:r>
        <w:t xml:space="preserve">for the same month, showing the counts by status, the category breakdown, and the per-concern rows.</w:t>
      </w:r>
    </w:p>
    <w:p>
      <w:pPr>
        <w:pStyle w:val="BodyText"/>
      </w:pPr>
      <w:r>
        <w:t xml:space="preserve">Each is exported as a comma-separated-value file. The header of the ride activity report is reproduced below to indicate the columns produced.</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2"/>
    <w:bookmarkStart w:id="193" w:name="X83f387f02dc84d4b5cd83e28dcea5394680be49"/>
    <w:p>
      <w:pPr>
        <w:pStyle w:val="Heading2"/>
      </w:pPr>
      <w:r>
        <w:t xml:space="preserve">Appendix P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3"/>
    <w:bookmarkStart w:id="197" w:name="appendix-q-gantt-chart"/>
    <w:p>
      <w:pPr>
        <w:pStyle w:val="Heading2"/>
      </w:pPr>
      <w:r>
        <w:t xml:space="preserve">Appendix Q — Gantt Chart</w:t>
      </w:r>
    </w:p>
    <w:p>
      <w:pPr>
        <w:pStyle w:val="CaptionedFigure"/>
      </w:pPr>
      <w:r>
        <w:drawing>
          <wp:inline>
            <wp:extent cx="5486400" cy="2674620"/>
            <wp:effectExtent b="0" l="0" r="0" t="0"/>
            <wp:docPr descr="Figure 14. Gantt Chart of Project Activities" title="" id="195" name="Picture"/>
            <a:graphic>
              <a:graphicData uri="http://schemas.openxmlformats.org/drawingml/2006/picture">
                <pic:pic>
                  <pic:nvPicPr>
                    <pic:cNvPr descr="figures/fig14_gantt.png" id="196" name="Picture"/>
                    <pic:cNvPicPr>
                      <a:picLocks noChangeArrowheads="1" noChangeAspect="1"/>
                    </pic:cNvPicPr>
                  </pic:nvPicPr>
                  <pic:blipFill>
                    <a:blip r:embed="rId19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7"/>
    <w:bookmarkStart w:id="201" w:name="appendix-r-researchers-biodata"/>
    <w:p>
      <w:pPr>
        <w:pStyle w:val="Heading2"/>
      </w:pPr>
      <w:r>
        <w:t xml:space="preserve">Appendix R — Researchers’ Biodata</w:t>
      </w:r>
    </w:p>
    <w:bookmarkStart w:id="19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8"/>
    <w:bookmarkStart w:id="19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9"/>
    <w:bookmarkStart w:id="20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00"/>
    <w:bookmarkEnd w:id="201"/>
    <w:bookmarkEnd w:id="20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4" Target="media/rId1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2026-08-14T10:35:13Z</dcterms:created>
  <dcterms:modified xsi:type="dcterms:W3CDTF">2026-08-14T10:35:13Z</dcterms:modified>
</cp:coreProperties>
</file>

<file path=docProps/custom.xml><?xml version="1.0" encoding="utf-8"?>
<Properties xmlns="http://schemas.openxmlformats.org/officeDocument/2006/custom-properties" xmlns:vt="http://schemas.openxmlformats.org/officeDocument/2006/docPropsVTypes"/>
</file>