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1"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G.</w:t>
      </w:r>
    </w:p>
    <w:p>
      <w:r>
        <w:br w:type="page"/>
      </w:r>
    </w:p>
    <w:bookmarkEnd w:id="159"/>
    <w:bookmarkEnd w:id="160"/>
    <w:bookmarkEnd w:id="161"/>
    <w:bookmarkStart w:id="162" w:name="chapter-5"/>
    <w:p>
      <w:pPr>
        <w:pStyle w:val="Heading1"/>
      </w:pPr>
      <w:r>
        <w:t xml:space="preserve">Chapter 5</w:t>
      </w:r>
    </w:p>
    <w:bookmarkEnd w:id="162"/>
    <w:bookmarkStart w:id="166" w:name="summary-conclusions-and-recommendations"/>
    <w:p>
      <w:pPr>
        <w:pStyle w:val="Heading1"/>
      </w:pPr>
      <w:r>
        <w:t xml:space="preserve">SUMMARY, CONCLUSIONS AND RECOMMENDATIONS</w:t>
      </w:r>
    </w:p>
    <w:bookmarkStart w:id="163"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3"/>
    <w:bookmarkStart w:id="164"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4"/>
    <w:bookmarkStart w:id="165"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5"/>
    <w:bookmarkEnd w:id="166"/>
    <w:bookmarkStart w:id="16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7"/>
    <w:bookmarkStart w:id="222" w:name="appendices"/>
    <w:p>
      <w:pPr>
        <w:pStyle w:val="Heading1"/>
      </w:pPr>
      <w:r>
        <w:t xml:space="preserve">APPENDICES</w:t>
      </w:r>
    </w:p>
    <w:bookmarkStart w:id="16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8"/>
    <w:bookmarkStart w:id="16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69"/>
    <w:bookmarkStart w:id="17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0"/>
    <w:bookmarkStart w:id="17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1"/>
    <w:bookmarkEnd w:id="172"/>
    <w:bookmarkStart w:id="177"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3"/>
    <w:bookmarkStart w:id="17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4"/>
    <w:bookmarkStart w:id="17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5"/>
    <w:bookmarkStart w:id="17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6"/>
    <w:bookmarkEnd w:id="177"/>
    <w:bookmarkStart w:id="178"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8"/>
    <w:bookmarkStart w:id="179"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9"/>
    <w:bookmarkStart w:id="180"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0"/>
    <w:bookmarkStart w:id="207" w:name="appendix-h-user-manual"/>
    <w:p>
      <w:pPr>
        <w:pStyle w:val="Heading2"/>
      </w:pPr>
      <w:r>
        <w:t xml:space="preserve">Appendix H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G.</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1" w:name="part-1-installing-the-app"/>
    <w:p>
      <w:pPr>
        <w:pStyle w:val="Heading3"/>
      </w:pPr>
      <w:r>
        <w:t xml:space="preserve">Part 1 — Installing the app</w:t>
      </w:r>
    </w:p>
    <w:p>
      <w:pPr>
        <w:pStyle w:val="FirstParagraph"/>
      </w:pPr>
      <w:r>
        <w:t xml:space="preserve">TrikRide is not on the Play Store. It is distributed as an installation file, an APK,</w:t>
      </w:r>
      <w:r>
        <w:t xml:space="preserve"> </w:t>
      </w:r>
      <w:r>
        <w:t xml:space="preserve">which you receive from the administrator by link or by direct transfer.</w:t>
      </w:r>
    </w:p>
    <w:p>
      <w:pPr>
        <w:numPr>
          <w:ilvl w:val="0"/>
          <w:numId w:val="1018"/>
        </w:numPr>
        <w:pStyle w:val="Compact"/>
      </w:pPr>
      <w:r>
        <w:rPr>
          <w:bCs/>
          <w:b/>
        </w:rPr>
        <w:t xml:space="preserve">Get the file.</w:t>
      </w:r>
      <w:r>
        <w:t xml:space="preserve"> </w:t>
      </w:r>
      <w:r>
        <w:t xml:space="preserve">Download it, or accept it from the administrator. It arrives in your</w:t>
      </w:r>
      <w:r>
        <w:t xml:space="preserve"> </w:t>
      </w:r>
      <w:r>
        <w:t xml:space="preserve">Downloads folder.</w:t>
      </w:r>
    </w:p>
    <w:p>
      <w:pPr>
        <w:numPr>
          <w:ilvl w:val="0"/>
          <w:numId w:val="1018"/>
        </w:numPr>
        <w:pStyle w:val="Compact"/>
      </w:pPr>
      <w:r>
        <w:rPr>
          <w:bCs/>
          <w:b/>
        </w:rPr>
        <w:t xml:space="preserve">Allow the installation.</w:t>
      </w:r>
      <w:r>
        <w:t xml:space="preserve"> </w:t>
      </w:r>
      <w:r>
        <w:t xml:space="preserve">Tap the file. Android will refuse the first time and offer</w:t>
      </w:r>
      <w:r>
        <w:t xml:space="preserve"> </w:t>
      </w:r>
      <w:r>
        <w:t xml:space="preserve">a settings screen: turn on</w:t>
      </w:r>
      <w:r>
        <w:t xml:space="preserve"> </w:t>
      </w:r>
      <w:r>
        <w:rPr>
          <w:bCs/>
          <w:b/>
        </w:rPr>
        <w:t xml:space="preserve">Allow from this source</w:t>
      </w:r>
      <w:r>
        <w:t xml:space="preserve"> </w:t>
      </w:r>
      <w:r>
        <w:t xml:space="preserve">for whichever app you are</w:t>
      </w:r>
      <w:r>
        <w:t xml:space="preserve"> </w:t>
      </w:r>
      <w:r>
        <w:t xml:space="preserve">installing from, usually Files or Chrome. Go back and tap the file again. This is</w:t>
      </w:r>
      <w:r>
        <w:t xml:space="preserve"> </w:t>
      </w:r>
      <w:r>
        <w:t xml:space="preserve">normal for an app distributed outside the store and only has to be done once.</w:t>
      </w:r>
    </w:p>
    <w:p>
      <w:pPr>
        <w:numPr>
          <w:ilvl w:val="0"/>
          <w:numId w:val="1018"/>
        </w:numPr>
        <w:pStyle w:val="Compact"/>
      </w:pPr>
      <w:r>
        <w:rPr>
          <w:bCs/>
          <w:b/>
        </w:rPr>
        <w:t xml:space="preserve">Install.</w:t>
      </w:r>
      <w:r>
        <w:t xml:space="preserve"> </w:t>
      </w:r>
      <w:r>
        <w:t xml:space="preserve">Tap Install, then Open.</w:t>
      </w:r>
    </w:p>
    <w:p>
      <w:pPr>
        <w:numPr>
          <w:ilvl w:val="0"/>
          <w:numId w:val="1018"/>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An update is installed the same way, over the top of the existing app. Your account and</w:t>
      </w:r>
      <w:r>
        <w:t xml:space="preserve"> </w:t>
      </w:r>
      <w:r>
        <w:t xml:space="preserve">your history are on the server, not on the phone, so nothing is lost.</w:t>
      </w:r>
    </w:p>
    <w:p>
      <w:r>
        <w:br w:type="page"/>
      </w:r>
    </w:p>
    <w:bookmarkEnd w:id="181"/>
    <w:bookmarkStart w:id="193" w:name="part-2-for-passengers"/>
    <w:p>
      <w:pPr>
        <w:pStyle w:val="Heading3"/>
      </w:pPr>
      <w:r>
        <w:t xml:space="preserve">Part 2 — For passengers</w:t>
      </w:r>
    </w:p>
    <w:bookmarkStart w:id="182"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2"/>
    <w:bookmarkStart w:id="183"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9"/>
        </w:numPr>
        <w:pStyle w:val="Compact"/>
      </w:pPr>
      <w:r>
        <w:t xml:space="preserve">at least 8 characters</w:t>
      </w:r>
    </w:p>
    <w:p>
      <w:pPr>
        <w:numPr>
          <w:ilvl w:val="0"/>
          <w:numId w:val="1019"/>
        </w:numPr>
        <w:pStyle w:val="Compact"/>
      </w:pPr>
      <w:r>
        <w:t xml:space="preserve">an uppercase letter</w:t>
      </w:r>
    </w:p>
    <w:p>
      <w:pPr>
        <w:numPr>
          <w:ilvl w:val="0"/>
          <w:numId w:val="1019"/>
        </w:numPr>
        <w:pStyle w:val="Compact"/>
      </w:pPr>
      <w:r>
        <w:t xml:space="preserve">a lowercase letter</w:t>
      </w:r>
    </w:p>
    <w:p>
      <w:pPr>
        <w:numPr>
          <w:ilvl w:val="0"/>
          <w:numId w:val="1019"/>
        </w:numPr>
        <w:pStyle w:val="Compact"/>
      </w:pPr>
      <w:r>
        <w:t xml:space="preserve">a number</w:t>
      </w:r>
    </w:p>
    <w:p>
      <w:pPr>
        <w:numPr>
          <w:ilvl w:val="0"/>
          <w:numId w:val="1019"/>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3"/>
    <w:bookmarkStart w:id="184"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84"/>
    <w:bookmarkStart w:id="185"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85"/>
    <w:bookmarkStart w:id="186"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86"/>
    <w:bookmarkStart w:id="187"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20"/>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20"/>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20"/>
        </w:numPr>
        <w:pStyle w:val="Compact"/>
      </w:pPr>
      <w:r>
        <w:rPr>
          <w:bCs/>
          <w:b/>
        </w:rPr>
        <w:t xml:space="preserve">Fare type.</w:t>
      </w:r>
      <w:r>
        <w:t xml:space="preserve"> </w:t>
      </w:r>
      <w:r>
        <w:rPr>
          <w:bCs/>
          <w:b/>
        </w:rPr>
        <w:t xml:space="preserve">Regular</w:t>
      </w:r>
      <w:r>
        <w:t xml:space="preserve">, or</w:t>
      </w:r>
      <w:r>
        <w:t xml:space="preserve"> </w:t>
      </w:r>
      <w:r>
        <w:rPr>
          <w:bCs/>
          <w:b/>
        </w:rPr>
        <w:t xml:space="preserve">Senior / PWD / Student</w:t>
      </w:r>
      <w:r>
        <w:t xml:space="preserve"> </w:t>
      </w:r>
      <w:r>
        <w:t xml:space="preserve">for the discounted column.</w:t>
      </w:r>
      <w:r>
        <w:t xml:space="preserve"> </w:t>
      </w:r>
      <w:r>
        <w:t xml:space="preserve">Bring the identification — the driver will ask for it, and the app only records which</w:t>
      </w:r>
      <w:r>
        <w:t xml:space="preserve"> </w:t>
      </w:r>
      <w:r>
        <w:t xml:space="preserve">column you chose.</w:t>
      </w:r>
    </w:p>
    <w:p>
      <w:pPr>
        <w:numPr>
          <w:ilvl w:val="0"/>
          <w:numId w:val="1020"/>
        </w:numPr>
        <w:pStyle w:val="Compact"/>
      </w:pPr>
      <w:r>
        <w:rPr>
          <w:bCs/>
          <w:b/>
        </w:rPr>
        <w:t xml:space="preserve">Passengers.</w:t>
      </w:r>
      <w:r>
        <w:t xml:space="preserve"> </w:t>
      </w:r>
      <w:r>
        <w:t xml:space="preserve">One to five, with the plus and minus buttons.</w:t>
      </w:r>
    </w:p>
    <w:p>
      <w:pPr>
        <w:numPr>
          <w:ilvl w:val="0"/>
          <w:numId w:val="1020"/>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20"/>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20"/>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multiplies</w:t>
      </w:r>
      <w:r>
        <w:t xml:space="preserve"> </w:t>
      </w:r>
      <w:r>
        <w:t xml:space="preserve">by the number of passengers. Poblacion and the terminal round trip are flat rates. Nothing</w:t>
      </w:r>
      <w:r>
        <w:t xml:space="preserve"> </w:t>
      </w:r>
      <w:r>
        <w:t xml:space="preserve">is calculated from distance, so the number you are shown before booking is the number you</w:t>
      </w:r>
      <w:r>
        <w:t xml:space="preserve"> </w:t>
      </w:r>
      <w:r>
        <w:t xml:space="preserve">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187"/>
    <w:bookmarkStart w:id="188"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88"/>
    <w:bookmarkStart w:id="189"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to call them. While they are online</w:t>
      </w:r>
      <w:r>
        <w:t xml:space="preserve"> </w:t>
      </w:r>
      <w:r>
        <w:t xml:space="preserve">with the app open, their position moves on the map.</w:t>
      </w:r>
    </w:p>
    <w:bookmarkEnd w:id="189"/>
    <w:bookmarkStart w:id="190"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0"/>
    <w:bookmarkStart w:id="191"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1"/>
    <w:bookmarkStart w:id="192"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21"/>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21"/>
        </w:numPr>
        <w:pStyle w:val="Compact"/>
      </w:pPr>
      <w:r>
        <w:rPr>
          <w:bCs/>
          <w:b/>
        </w:rPr>
        <w:t xml:space="preserve">Change Password</w:t>
      </w:r>
      <w:r>
        <w:t xml:space="preserve"> </w:t>
      </w:r>
      <w:r>
        <w:t xml:space="preserve">— emails you a reset link.</w:t>
      </w:r>
    </w:p>
    <w:p>
      <w:pPr>
        <w:numPr>
          <w:ilvl w:val="0"/>
          <w:numId w:val="1021"/>
        </w:numPr>
        <w:pStyle w:val="Compact"/>
      </w:pPr>
      <w:r>
        <w:rPr>
          <w:bCs/>
          <w:b/>
        </w:rPr>
        <w:t xml:space="preserve">Dark Mode</w:t>
      </w:r>
      <w:r>
        <w:t xml:space="preserve"> </w:t>
      </w:r>
      <w:r>
        <w:t xml:space="preserve">— a switch.</w:t>
      </w:r>
    </w:p>
    <w:p>
      <w:pPr>
        <w:numPr>
          <w:ilvl w:val="0"/>
          <w:numId w:val="1021"/>
        </w:numPr>
        <w:pStyle w:val="Compact"/>
      </w:pPr>
      <w:r>
        <w:t xml:space="preserve">The four documents, readable at any time.</w:t>
      </w:r>
    </w:p>
    <w:p>
      <w:pPr>
        <w:numPr>
          <w:ilvl w:val="0"/>
          <w:numId w:val="1021"/>
        </w:numPr>
        <w:pStyle w:val="Compact"/>
      </w:pPr>
      <w:r>
        <w:rPr>
          <w:bCs/>
          <w:b/>
        </w:rPr>
        <w:t xml:space="preserve">Log Out.</w:t>
      </w:r>
    </w:p>
    <w:p>
      <w:r>
        <w:br w:type="page"/>
      </w:r>
    </w:p>
    <w:bookmarkEnd w:id="192"/>
    <w:bookmarkEnd w:id="193"/>
    <w:bookmarkStart w:id="200" w:name="part-3-for-drivers"/>
    <w:p>
      <w:pPr>
        <w:pStyle w:val="Heading3"/>
      </w:pPr>
      <w:r>
        <w:t xml:space="preserve">Part 3 — For drivers</w:t>
      </w:r>
    </w:p>
    <w:bookmarkStart w:id="194"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194"/>
    <w:bookmarkStart w:id="195"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195"/>
    <w:bookmarkStart w:id="196"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196"/>
    <w:bookmarkStart w:id="197"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197"/>
    <w:bookmarkStart w:id="198"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Check identification when a passenger has booked the discounted rate. The app records the</w:t>
      </w:r>
      <w:r>
        <w:t xml:space="preserve"> </w:t>
      </w:r>
      <w:r>
        <w:t xml:space="preserve">column they chose; it cannot verify anyone is a senior, a PWD or a student.</w:t>
      </w:r>
    </w:p>
    <w:bookmarkEnd w:id="198"/>
    <w:bookmarkStart w:id="199"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199"/>
    <w:bookmarkEnd w:id="200"/>
    <w:bookmarkStart w:id="205"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1"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2"/>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2"/>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2"/>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A stop can be given coordinates in the same dialog. A stop without them</w:t>
      </w:r>
      <w:r>
        <w:t xml:space="preserve"> </w:t>
      </w:r>
      <w:r>
        <w:t xml:space="preserve">books and prices normally; it just does not appear on the map, and cannot be found through</w:t>
      </w:r>
      <w:r>
        <w:t xml:space="preserve"> </w:t>
      </w:r>
      <w:r>
        <w:t xml:space="preserve">“</w:t>
      </w:r>
      <w:r>
        <w:t xml:space="preserve">Find it on the map</w:t>
      </w:r>
      <w:r>
        <w:t xml:space="preserve">”</w:t>
      </w:r>
      <w:r>
        <w:t xml:space="preserve">. Filling in the common destinations is worth doing.</w:t>
      </w:r>
    </w:p>
    <w:bookmarkEnd w:id="201"/>
    <w:bookmarkStart w:id="202"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3"/>
        </w:numPr>
        <w:pStyle w:val="Compact"/>
      </w:pPr>
      <w:r>
        <w:rPr>
          <w:bCs/>
          <w:b/>
        </w:rPr>
        <w:t xml:space="preserve">Approve</w:t>
      </w:r>
      <w:r>
        <w:t xml:space="preserve"> </w:t>
      </w:r>
      <w:r>
        <w:t xml:space="preserve">— they can go online and start accepting.</w:t>
      </w:r>
    </w:p>
    <w:p>
      <w:pPr>
        <w:numPr>
          <w:ilvl w:val="0"/>
          <w:numId w:val="1023"/>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2"/>
    <w:bookmarkStart w:id="203"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3"/>
    <w:bookmarkStart w:id="204"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04"/>
    <w:bookmarkEnd w:id="205"/>
    <w:bookmarkStart w:id="206"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06"/>
    <w:bookmarkEnd w:id="207"/>
    <w:bookmarkStart w:id="208"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208"/>
    <w:bookmarkStart w:id="209"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09"/>
    <w:bookmarkStart w:id="210"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10"/>
    <w:bookmarkStart w:id="211"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11"/>
    <w:bookmarkStart w:id="212"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12"/>
    <w:bookmarkStart w:id="213"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13"/>
    <w:bookmarkStart w:id="217"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15" name="Picture"/>
            <a:graphic>
              <a:graphicData uri="http://schemas.openxmlformats.org/drawingml/2006/picture">
                <pic:pic>
                  <pic:nvPicPr>
                    <pic:cNvPr descr="figures/fig14_gantt.png" id="216" name="Picture"/>
                    <pic:cNvPicPr>
                      <a:picLocks noChangeArrowheads="1" noChangeAspect="1"/>
                    </pic:cNvPicPr>
                  </pic:nvPicPr>
                  <pic:blipFill>
                    <a:blip r:embed="rId21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17"/>
    <w:bookmarkStart w:id="221" w:name="appendix-p-researchers-biodata"/>
    <w:p>
      <w:pPr>
        <w:pStyle w:val="Heading2"/>
      </w:pPr>
      <w:r>
        <w:t xml:space="preserve">Appendix P — Researchers’ Biodata</w:t>
      </w:r>
    </w:p>
    <w:bookmarkStart w:id="21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18"/>
    <w:bookmarkStart w:id="21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19"/>
    <w:bookmarkStart w:id="22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20"/>
    <w:bookmarkEnd w:id="221"/>
    <w:bookmarkEnd w:id="22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214" Target="media/rId2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2026-08-30T08:27:07Z</dcterms:created>
  <dcterms:modified xsi:type="dcterms:W3CDTF">2026-08-30T08:27:07Z</dcterms:modified>
</cp:coreProperties>
</file>

<file path=docProps/custom.xml><?xml version="1.0" encoding="utf-8"?>
<Properties xmlns="http://schemas.openxmlformats.org/officeDocument/2006/custom-properties" xmlns:vt="http://schemas.openxmlformats.org/officeDocument/2006/docPropsVTypes"/>
</file>