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Likert Scale and Interpretation</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Profile of Respondents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Passengers</w:t>
            </w:r>
          </w:p>
        </w:tc>
        <w:tc>
          <w:tcPr/>
          <w:p>
            <w:pPr>
              <w:pStyle w:val="Compact"/>
              <w:jc w:val="right"/>
            </w:pPr>
            <w:r>
              <w:t xml:space="preserve">86</w:t>
            </w:r>
          </w:p>
        </w:tc>
      </w:tr>
      <w:tr>
        <w:tc>
          <w:tcPr/>
          <w:p>
            <w:pPr>
              <w:pStyle w:val="Compact"/>
              <w:jc w:val="center"/>
            </w:pPr>
            <w:r>
              <w:t xml:space="preserve">21</w:t>
            </w:r>
          </w:p>
        </w:tc>
        <w:tc>
          <w:tcPr/>
          <w:p>
            <w:pPr>
              <w:pStyle w:val="Compact"/>
              <w:jc w:val="left"/>
            </w:pPr>
            <w:r>
              <w:t xml:space="preserve">Evaluation Results: Drivers</w:t>
            </w:r>
          </w:p>
        </w:tc>
        <w:tc>
          <w:tcPr/>
          <w:p>
            <w:pPr>
              <w:pStyle w:val="Compact"/>
              <w:jc w:val="right"/>
            </w:pPr>
            <w:r>
              <w:t xml:space="preserve">86</w:t>
            </w:r>
          </w:p>
        </w:tc>
      </w:tr>
      <w:tr>
        <w:tc>
          <w:tcPr/>
          <w:p>
            <w:pPr>
              <w:pStyle w:val="Compact"/>
              <w:jc w:val="center"/>
            </w:pPr>
            <w:r>
              <w:t xml:space="preserve">22</w:t>
            </w:r>
          </w:p>
        </w:tc>
        <w:tc>
          <w:tcPr/>
          <w:p>
            <w:pPr>
              <w:pStyle w:val="Compact"/>
              <w:jc w:val="left"/>
            </w:pPr>
            <w:r>
              <w:t xml:space="preserve">Summary of Evaluation Across Characteristics</w:t>
            </w:r>
          </w:p>
        </w:tc>
        <w:tc>
          <w:tcPr/>
          <w:p>
            <w:pPr>
              <w:pStyle w:val="Compact"/>
              <w:jc w:val="right"/>
            </w:pPr>
            <w:r>
              <w:t xml:space="preserve">87</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19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18.</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3"/>
    <w:bookmarkStart w:id="84" w:name="data-organization"/>
    <w:p>
      <w:pPr>
        <w:pStyle w:val="Heading3"/>
      </w:pPr>
      <w:r>
        <w:t xml:space="preserve">Data Organization</w:t>
      </w:r>
    </w:p>
    <w:p>
      <w:pPr>
        <w:pStyle w:val="FirstParagraph"/>
      </w:pPr>
      <w:r>
        <w:t xml:space="preserve">The database is organized as nine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Base64 JPEG of the driver’s licence, the time it was sent, and the time consent was given</w:t>
            </w:r>
          </w:p>
        </w:tc>
        <w:tc>
          <w:tcPr/>
          <w:p>
            <w:pPr>
              <w:pStyle w:val="Compact"/>
              <w:jc w:val="left"/>
            </w:pPr>
            <w:r>
              <w:t xml:space="preserve">The driver;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above the ordinance minimum of ₱15.00 for regular passengers and ₱12.00 for discounted passengers. In addition to the 240 destinations, the schedule fixes two flat rates that are not tied to a numbered stop: ₱15.00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J.</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60"/>
    <w:bookmarkStart w:id="161" w:name="screenshots"/>
    <w:p>
      <w:pPr>
        <w:pStyle w:val="Heading3"/>
      </w:pPr>
      <w:r>
        <w:t xml:space="preserve">Screenshots</w:t>
      </w:r>
    </w:p>
    <w:p>
      <w:pPr>
        <w:pStyle w:val="FirstParagraph"/>
      </w:pPr>
      <w:r>
        <w:t xml:space="preserve">System screenshots are presented in Appendix I.</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18. Likert Scale and Interpretation</w:t>
      </w:r>
    </w:p>
    <w:tbl>
      <w:tblPr>
        <w:tblStyle w:val="Table"/>
        <w:tblW w:type="pct" w:w="5000"/>
        <w:tblLook w:firstRow="1" w:lastRow="0" w:firstColumn="0" w:lastColumn="0" w:noHBand="0" w:noVBand="0" w:val="0020"/>
        <w:jc w:val="start"/>
        <w:tblCaption w:val="Table 18.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19. Profile of Respondents</w:t>
      </w:r>
    </w:p>
    <w:tbl>
      <w:tblPr>
        <w:tblStyle w:val="Table"/>
        <w:tblW w:type="auto" w:w="0"/>
        <w:tblLook w:firstRow="1" w:lastRow="0" w:firstColumn="0" w:lastColumn="0" w:noHBand="0" w:noVBand="0" w:val="0020"/>
        <w:jc w:val="start"/>
        <w:tblCaption w:val="Table 19.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20. Evaluation Results: Passengers</w:t>
      </w:r>
    </w:p>
    <w:tbl>
      <w:tblPr>
        <w:tblStyle w:val="Table"/>
        <w:tblW w:type="auto" w:w="0"/>
        <w:tblLook w:firstRow="1" w:lastRow="0" w:firstColumn="0" w:lastColumn="0" w:noHBand="0" w:noVBand="0" w:val="0020"/>
        <w:jc w:val="start"/>
        <w:tblCaption w:val="Table 20.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Evaluation Results: Drivers</w:t>
      </w:r>
    </w:p>
    <w:tbl>
      <w:tblPr>
        <w:tblStyle w:val="Table"/>
        <w:tblW w:type="auto" w:w="0"/>
        <w:tblLook w:firstRow="1" w:lastRow="0" w:firstColumn="0" w:lastColumn="0" w:noHBand="0" w:noVBand="0" w:val="0020"/>
        <w:jc w:val="start"/>
        <w:tblCaption w:val="Table 21.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22. Summary of Evaluation Across Characteristics</w:t>
      </w:r>
    </w:p>
    <w:tbl>
      <w:tblPr>
        <w:tblStyle w:val="Table"/>
        <w:tblW w:type="pct" w:w="5000"/>
        <w:tblLook w:firstRow="1" w:lastRow="0" w:firstColumn="0" w:lastColumn="0" w:noHBand="0" w:noVBand="0" w:val="0020"/>
        <w:jc w:val="start"/>
        <w:tblCaption w:val="Table 22.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G, and the computations in Appendix H.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forty-three functional requirements and seventeen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statutory minimum fares of ₱15.00 and ₱12.00,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22 and Appendix H.]</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2"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81"/>
    <w:bookmarkStart w:id="182" w:name="appendix-e-interview-guide"/>
    <w:p>
      <w:pPr>
        <w:pStyle w:val="Heading2"/>
      </w:pPr>
      <w:r>
        <w:t xml:space="preserve">Appendix E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2"/>
    <w:bookmarkStart w:id="183"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3"/>
    <w:bookmarkStart w:id="184" w:name="appendix-g-raw-data"/>
    <w:p>
      <w:pPr>
        <w:pStyle w:val="Heading2"/>
      </w:pPr>
      <w:r>
        <w:t xml:space="preserve">Appendix G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4"/>
    <w:bookmarkStart w:id="185" w:name="appendix-h-statistical-computation"/>
    <w:p>
      <w:pPr>
        <w:pStyle w:val="Heading2"/>
      </w:pPr>
      <w:r>
        <w:t xml:space="preserve">Appendix H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5"/>
    <w:bookmarkStart w:id="186" w:name="appendix-i-system-screenshots"/>
    <w:p>
      <w:pPr>
        <w:pStyle w:val="Heading2"/>
      </w:pPr>
      <w:r>
        <w:t xml:space="preserve">Appendix I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6"/>
    <w:bookmarkStart w:id="187" w:name="appendix-j-user-manual"/>
    <w:p>
      <w:pPr>
        <w:pStyle w:val="Heading2"/>
      </w:pPr>
      <w:r>
        <w:t xml:space="preserve">Appendix J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including review of the submitted licence photograph;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including a range between two dates; exporting and sharing a report in either format.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7"/>
    <w:bookmarkStart w:id="188" w:name="appendix-k-source-code"/>
    <w:p>
      <w:pPr>
        <w:pStyle w:val="Heading2"/>
      </w:pPr>
      <w:r>
        <w:t xml:space="preserve">Appendix K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8"/>
    <w:bookmarkStart w:id="189" w:name="appendix-l-database-schema"/>
    <w:p>
      <w:pPr>
        <w:pStyle w:val="Heading2"/>
      </w:pPr>
      <w:r>
        <w:t xml:space="preserve">Appendix L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189"/>
    <w:bookmarkStart w:id="190" w:name="appendix-m-test-cases"/>
    <w:p>
      <w:pPr>
        <w:pStyle w:val="Heading2"/>
      </w:pPr>
      <w:r>
        <w:t xml:space="preserve">Appendix M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190"/>
    <w:bookmarkStart w:id="191" w:name="appendix-n-test-results"/>
    <w:p>
      <w:pPr>
        <w:pStyle w:val="Heading2"/>
      </w:pPr>
      <w:r>
        <w:t xml:space="preserve">Appendix N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1"/>
    <w:bookmarkStart w:id="192" w:name="appendix-o-sample-reports"/>
    <w:p>
      <w:pPr>
        <w:pStyle w:val="Heading2"/>
      </w:pPr>
      <w:r>
        <w:t xml:space="preserve">Appendix O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2"/>
    <w:bookmarkStart w:id="193" w:name="X83f387f02dc84d4b5cd83e28dcea5394680be49"/>
    <w:p>
      <w:pPr>
        <w:pStyle w:val="Heading2"/>
      </w:pPr>
      <w:r>
        <w:t xml:space="preserve">Appendix P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3"/>
    <w:bookmarkStart w:id="197" w:name="appendix-q-gantt-chart"/>
    <w:p>
      <w:pPr>
        <w:pStyle w:val="Heading2"/>
      </w:pPr>
      <w:r>
        <w:t xml:space="preserve">Appendix Q — Gantt Chart</w:t>
      </w:r>
    </w:p>
    <w:p>
      <w:pPr>
        <w:pStyle w:val="CaptionedFigure"/>
      </w:pPr>
      <w:r>
        <w:drawing>
          <wp:inline>
            <wp:extent cx="5486400" cy="2674620"/>
            <wp:effectExtent b="0" l="0" r="0" t="0"/>
            <wp:docPr descr="Figure 14. Gantt Chart of Project Activities" title="" id="195" name="Picture"/>
            <a:graphic>
              <a:graphicData uri="http://schemas.openxmlformats.org/drawingml/2006/picture">
                <pic:pic>
                  <pic:nvPicPr>
                    <pic:cNvPr descr="figures/fig14_gantt.png" id="196" name="Picture"/>
                    <pic:cNvPicPr>
                      <a:picLocks noChangeArrowheads="1" noChangeAspect="1"/>
                    </pic:cNvPicPr>
                  </pic:nvPicPr>
                  <pic:blipFill>
                    <a:blip r:embed="rId19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7"/>
    <w:bookmarkStart w:id="201" w:name="appendix-r-researchers-biodata"/>
    <w:p>
      <w:pPr>
        <w:pStyle w:val="Heading2"/>
      </w:pPr>
      <w:r>
        <w:t xml:space="preserve">Appendix R — Researchers’ Biodata</w:t>
      </w:r>
    </w:p>
    <w:bookmarkStart w:id="19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8"/>
    <w:bookmarkStart w:id="19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9"/>
    <w:bookmarkStart w:id="20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00"/>
    <w:bookmarkEnd w:id="201"/>
    <w:bookmarkEnd w:id="20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4" Target="media/rId1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2026-08-22T01:52:20Z</dcterms:created>
  <dcterms:modified xsi:type="dcterms:W3CDTF">2026-08-22T01:52:20Z</dcterms:modified>
</cp:coreProperties>
</file>

<file path=docProps/custom.xml><?xml version="1.0" encoding="utf-8"?>
<Properties xmlns="http://schemas.openxmlformats.org/officeDocument/2006/custom-properties" xmlns:vt="http://schemas.openxmlformats.org/officeDocument/2006/docPropsVTypes"/>
</file>