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rPr>
                <w:bCs/>
                <w:b/>
              </w:rPr>
              <w:t xml:space="preserve">Chapter 5 — SUMMARY, CONCLUSIONS AND RECOMMENDATIONS</w:t>
            </w:r>
          </w:p>
        </w:tc>
        <w:tc>
          <w:tcPr/>
          <w:p>
            <w:pPr>
              <w:pStyle w:val="Compact"/>
              <w:jc w:val="right"/>
            </w:pPr>
            <w:r>
              <w:t xml:space="preserve">90</w:t>
            </w:r>
          </w:p>
        </w:tc>
      </w:tr>
      <w:tr>
        <w:tc>
          <w:tcPr/>
          <w:p>
            <w:pPr>
              <w:pStyle w:val="Compact"/>
              <w:jc w:val="left"/>
            </w:pPr>
            <w:r>
              <w:t xml:space="preserve">5.1 Summary of Findings</w:t>
            </w:r>
          </w:p>
        </w:tc>
        <w:tc>
          <w:tcPr/>
          <w:p>
            <w:pPr>
              <w:pStyle w:val="Compact"/>
              <w:jc w:val="right"/>
            </w:pPr>
            <w:r>
              <w:t xml:space="preserve">90</w:t>
            </w:r>
          </w:p>
        </w:tc>
      </w:tr>
      <w:tr>
        <w:tc>
          <w:tcPr/>
          <w:p>
            <w:pPr>
              <w:pStyle w:val="Compact"/>
              <w:jc w:val="left"/>
            </w:pPr>
            <w:r>
              <w:t xml:space="preserve">5.2 Conclusions</w:t>
            </w:r>
          </w:p>
        </w:tc>
        <w:tc>
          <w:tcPr/>
          <w:p>
            <w:pPr>
              <w:pStyle w:val="Compact"/>
              <w:jc w:val="right"/>
            </w:pPr>
            <w:r>
              <w:t xml:space="preserve">92</w:t>
            </w:r>
          </w:p>
        </w:tc>
      </w:tr>
      <w:tr>
        <w:tc>
          <w:tcPr/>
          <w:p>
            <w:pPr>
              <w:pStyle w:val="Compact"/>
              <w:jc w:val="left"/>
            </w:pPr>
            <w:r>
              <w:t xml:space="preserve">5.3 Recommendations</w:t>
            </w:r>
          </w:p>
        </w:tc>
        <w:tc>
          <w:tcPr/>
          <w:p>
            <w:pPr>
              <w:pStyle w:val="Compact"/>
              <w:jc w:val="right"/>
            </w:pPr>
            <w:r>
              <w:t xml:space="preserve">93</w:t>
            </w:r>
          </w:p>
        </w:tc>
      </w:tr>
      <w:tr>
        <w:tc>
          <w:tcPr/>
          <w:p>
            <w:pPr>
              <w:pStyle w:val="Compact"/>
              <w:jc w:val="left"/>
            </w:pPr>
            <w:r>
              <w:t xml:space="preserve">5.4 Limitations of the Study</w:t>
            </w:r>
          </w:p>
        </w:tc>
        <w:tc>
          <w:tcPr/>
          <w:p>
            <w:pPr>
              <w:pStyle w:val="Compact"/>
              <w:jc w:val="right"/>
            </w:pPr>
            <w:r>
              <w:t xml:space="preserve">95</w:t>
            </w:r>
          </w:p>
        </w:tc>
      </w:tr>
      <w:tr>
        <w:tc>
          <w:tcPr/>
          <w:p>
            <w:pPr>
              <w:pStyle w:val="Compact"/>
              <w:jc w:val="left"/>
            </w:pPr>
            <w:r>
              <w:t xml:space="preserve">5.5 Future Enhancements</w:t>
            </w:r>
          </w:p>
        </w:tc>
        <w:tc>
          <w:tcPr/>
          <w:p>
            <w:pPr>
              <w:pStyle w:val="Compact"/>
              <w:jc w:val="right"/>
            </w:pPr>
            <w:r>
              <w:t xml:space="preserve">96</w:t>
            </w:r>
          </w:p>
        </w:tc>
      </w:tr>
      <w:tr>
        <w:tc>
          <w:tcPr/>
          <w:p>
            <w:pPr>
              <w:pStyle w:val="Compact"/>
              <w:jc w:val="left"/>
            </w:pPr>
            <w:r>
              <w:t xml:space="preserve">REFERENCES</w:t>
            </w:r>
          </w:p>
        </w:tc>
        <w:tc>
          <w:tcPr/>
          <w:p>
            <w:pPr>
              <w:pStyle w:val="Compact"/>
              <w:jc w:val="right"/>
            </w:pPr>
            <w:r>
              <w:t xml:space="preserve">100</w:t>
            </w:r>
          </w:p>
        </w:tc>
      </w:tr>
      <w:tr>
        <w:tc>
          <w:tcPr/>
          <w:p>
            <w:pPr>
              <w:pStyle w:val="Compact"/>
              <w:jc w:val="left"/>
            </w:pPr>
            <w:r>
              <w:t xml:space="preserve">APPENDICES</w:t>
            </w:r>
          </w:p>
        </w:tc>
        <w:tc>
          <w:tcPr/>
          <w:p>
            <w:pPr>
              <w:pStyle w:val="Compact"/>
              <w:jc w:val="right"/>
            </w:pPr>
            <w:r>
              <w:t xml:space="preserve">103</w:t>
            </w:r>
          </w:p>
        </w:tc>
      </w:tr>
      <w:tr>
        <w:tc>
          <w:tcPr/>
          <w:p>
            <w:pPr>
              <w:pStyle w:val="Compact"/>
              <w:jc w:val="left"/>
            </w:pPr>
            <w:r>
              <w:t xml:space="preserve">CURRICULUM VITAE</w:t>
            </w:r>
          </w:p>
        </w:tc>
        <w:tc>
          <w:tcPr/>
          <w:p>
            <w:pPr>
              <w:pStyle w:val="Compact"/>
              <w:jc w:val="right"/>
            </w:pPr>
            <w:r>
              <w:t xml:space="preserve">126</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Overall Weighted Mean by Respondent Group</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Category Means — Student Passengers (N = 20)</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Category Means — Tricycle Drivers (N = 20)</w:t>
            </w:r>
          </w:p>
        </w:tc>
        <w:tc>
          <w:tcPr/>
          <w:p>
            <w:pPr>
              <w:pStyle w:val="Compact"/>
              <w:jc w:val="right"/>
            </w:pPr>
            <w:r>
              <w:t xml:space="preserve">87</w:t>
            </w:r>
          </w:p>
        </w:tc>
      </w:tr>
      <w:tr>
        <w:tc>
          <w:tcPr/>
          <w:p>
            <w:pPr>
              <w:pStyle w:val="Compact"/>
              <w:jc w:val="center"/>
            </w:pPr>
            <w:r>
              <w:t xml:space="preserve">22</w:t>
            </w:r>
          </w:p>
        </w:tc>
        <w:tc>
          <w:tcPr/>
          <w:p>
            <w:pPr>
              <w:pStyle w:val="Compact"/>
              <w:jc w:val="left"/>
            </w:pPr>
            <w:r>
              <w:t xml:space="preserve">Category Means — System Administrator (N = 1)</w:t>
            </w:r>
          </w:p>
        </w:tc>
        <w:tc>
          <w:tcPr/>
          <w:p>
            <w:pPr>
              <w:pStyle w:val="Compact"/>
              <w:jc w:val="right"/>
            </w:pPr>
            <w:r>
              <w:t xml:space="preserve">87</w:t>
            </w:r>
          </w:p>
        </w:tc>
      </w:tr>
      <w:tr>
        <w:tc>
          <w:tcPr/>
          <w:p>
            <w:pPr>
              <w:pStyle w:val="Compact"/>
              <w:jc w:val="center"/>
            </w:pPr>
            <w:r>
              <w:t xml:space="preserve">23</w:t>
            </w:r>
          </w:p>
        </w:tc>
        <w:tc>
          <w:tcPr/>
          <w:p>
            <w:pPr>
              <w:pStyle w:val="Compact"/>
              <w:jc w:val="left"/>
            </w:pPr>
            <w:r>
              <w:t xml:space="preserve">Highest and Lowest Rated Items by Group</w:t>
            </w:r>
          </w:p>
        </w:tc>
        <w:tc>
          <w:tcPr/>
          <w:p>
            <w:pPr>
              <w:pStyle w:val="Compact"/>
              <w:jc w:val="right"/>
            </w:pPr>
            <w:r>
              <w:t xml:space="preserve">88</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24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9"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68"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24. Section 5.4 records what this design can and cannot support.</w:t>
      </w:r>
    </w:p>
    <w:bookmarkEnd w:id="163"/>
    <w:bookmarkStart w:id="164" w:name="results"/>
    <w:p>
      <w:pPr>
        <w:pStyle w:val="Heading3"/>
      </w:pPr>
      <w:r>
        <w:t xml:space="preserve">Results</w:t>
      </w:r>
    </w:p>
    <w:p>
      <w:pPr>
        <w:pStyle w:val="TableCaption"/>
      </w:pPr>
      <w:r>
        <w:t xml:space="preserve">Table 19. Overall Weighted Mean by Respondent Group</w:t>
      </w:r>
    </w:p>
    <w:tbl>
      <w:tblPr>
        <w:tblStyle w:val="Table"/>
        <w:tblW w:type="auto" w:w="0"/>
        <w:tblLook w:firstRow="1" w:lastRow="0" w:firstColumn="0" w:lastColumn="0" w:noHBand="0" w:noVBand="0" w:val="0020"/>
        <w:jc w:val="start"/>
        <w:tblCaption w:val="Table 19.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
      <w:pPr>
        <w:pStyle w:val="TableCaption"/>
      </w:pPr>
      <w:r>
        <w:t xml:space="preserve">Table 20. Category Means — Student Passengers (N = 20)</w:t>
      </w:r>
    </w:p>
    <w:tbl>
      <w:tblPr>
        <w:tblStyle w:val="Table"/>
        <w:tblW w:type="auto" w:w="0"/>
        <w:tblLook w:firstRow="1" w:lastRow="0" w:firstColumn="0" w:lastColumn="0" w:noHBand="0" w:noVBand="0" w:val="0020"/>
        <w:jc w:val="start"/>
        <w:tblCaption w:val="Table 20. Category Means — Student Passeng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rPr>
                <w:bCs/>
                <w:b/>
              </w:rPr>
              <w:t xml:space="preserve">Overall</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
      <w:pPr>
        <w:pStyle w:val="TableCaption"/>
      </w:pPr>
      <w:r>
        <w:t xml:space="preserve">Table 21. Category Means — Tricycle Drivers (N = 20)</w:t>
      </w:r>
    </w:p>
    <w:tbl>
      <w:tblPr>
        <w:tblStyle w:val="Table"/>
        <w:tblW w:type="auto" w:w="0"/>
        <w:tblLook w:firstRow="1" w:lastRow="0" w:firstColumn="0" w:lastColumn="0" w:noHBand="0" w:noVBand="0" w:val="0020"/>
        <w:jc w:val="start"/>
        <w:tblCaption w:val="Table 21. Category Means — Tricycle Driv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rPr>
                <w:bCs/>
                <w:b/>
              </w:rPr>
              <w:t xml:space="preserve">Overall</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
      <w:pPr>
        <w:pStyle w:val="TableCaption"/>
      </w:pPr>
      <w:r>
        <w:t xml:space="preserve">Table 22. Category Means — System Administrator (N = 1)</w:t>
      </w:r>
    </w:p>
    <w:tbl>
      <w:tblPr>
        <w:tblStyle w:val="Table"/>
        <w:tblW w:type="auto" w:w="0"/>
        <w:tblLook w:firstRow="1" w:lastRow="0" w:firstColumn="0" w:lastColumn="0" w:noHBand="0" w:noVBand="0" w:val="0020"/>
        <w:jc w:val="start"/>
        <w:tblCaption w:val="Table 22. Category Means — System Administrator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t xml:space="preserve">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TableCaption"/>
      </w:pPr>
      <w:r>
        <w:t xml:space="preserve">Table 23. Highest and Lowest Rated Items by Group</w:t>
      </w:r>
    </w:p>
    <w:tbl>
      <w:tblPr>
        <w:tblStyle w:val="Table"/>
        <w:tblW w:type="pct" w:w="5000"/>
        <w:tblLook w:firstRow="1" w:lastRow="0" w:firstColumn="0" w:lastColumn="0" w:noHBand="0" w:noVBand="0" w:val="0020"/>
        <w:jc w:val="start"/>
        <w:tblCaption w:val="Table 23. Highest and Lowest Rated Items by Group"/>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Highest-rated item</w:t>
            </w:r>
          </w:p>
        </w:tc>
        <w:tc>
          <w:tcPr/>
          <w:p>
            <w:pPr>
              <w:pStyle w:val="Compact"/>
              <w:jc w:val="right"/>
            </w:pPr>
            <w:r>
              <w:t xml:space="preserve">WM</w:t>
            </w:r>
          </w:p>
        </w:tc>
        <w:tc>
          <w:tcPr/>
          <w:p>
            <w:pPr>
              <w:pStyle w:val="Compact"/>
              <w:jc w:val="left"/>
            </w:pPr>
            <w:r>
              <w:t xml:space="preserve">Lowest-rated item</w:t>
            </w:r>
          </w:p>
        </w:tc>
        <w:tc>
          <w:tcPr/>
          <w:p>
            <w:pPr>
              <w:pStyle w:val="Compact"/>
              <w:jc w:val="right"/>
            </w:pPr>
            <w:r>
              <w:t xml:space="preserve">WM</w:t>
            </w:r>
          </w:p>
        </w:tc>
      </w:tr>
      <w:tr>
        <w:tc>
          <w:tcPr/>
          <w:p>
            <w:pPr>
              <w:pStyle w:val="Compact"/>
              <w:jc w:val="left"/>
            </w:pPr>
            <w:r>
              <w:t xml:space="preserve">Passengers</w:t>
            </w:r>
          </w:p>
        </w:tc>
        <w:tc>
          <w:tcPr/>
          <w:p>
            <w:pPr>
              <w:pStyle w:val="Compact"/>
              <w:jc w:val="left"/>
            </w:pPr>
            <w:r>
              <w:t xml:space="preserve">The system accurately matches me with an available driver.</w:t>
            </w:r>
          </w:p>
        </w:tc>
        <w:tc>
          <w:tcPr/>
          <w:p>
            <w:pPr>
              <w:pStyle w:val="Compact"/>
              <w:jc w:val="right"/>
            </w:pPr>
            <w:r>
              <w:t xml:space="preserve">4.45</w:t>
            </w:r>
          </w:p>
        </w:tc>
        <w:tc>
          <w:tcPr/>
          <w:p>
            <w:pPr>
              <w:pStyle w:val="Compact"/>
              <w:jc w:val="left"/>
            </w:pPr>
            <w:r>
              <w:t xml:space="preserve">I receive timely notifications about my ride status.</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The system meets my expectations.</w:t>
            </w:r>
          </w:p>
        </w:tc>
        <w:tc>
          <w:tcPr/>
          <w:p>
            <w:pPr>
              <w:pStyle w:val="Compact"/>
              <w:jc w:val="right"/>
            </w:pPr>
            <w:r>
              <w:t xml:space="preserve">4.45</w:t>
            </w:r>
          </w:p>
        </w:tc>
        <w:tc>
          <w:tcPr/>
          <w:p>
            <w:pPr>
              <w:pStyle w:val="Compact"/>
              <w:jc w:val="left"/>
            </w:pPr>
            <w:r>
              <w:t xml:space="preserve">Notifications arrive without delay.</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I can complete my tasks without confusion.</w:t>
            </w:r>
          </w:p>
        </w:tc>
        <w:tc>
          <w:tcPr/>
          <w:p>
            <w:pPr>
              <w:pStyle w:val="Compact"/>
              <w:jc w:val="right"/>
            </w:pPr>
            <w:r>
              <w:t xml:space="preserve">4.45</w:t>
            </w:r>
          </w:p>
        </w:tc>
        <w:tc>
          <w:tcPr/>
          <w:p>
            <w:pPr>
              <w:pStyle w:val="Compact"/>
            </w:pPr>
          </w:p>
        </w:tc>
        <w:tc>
          <w:tcPr/>
          <w:p>
            <w:pPr>
              <w:pStyle w:val="Compact"/>
            </w:pPr>
          </w:p>
        </w:tc>
      </w:tr>
      <w:tr>
        <w:tc>
          <w:tcPr/>
          <w:p>
            <w:pPr>
              <w:pStyle w:val="Compact"/>
              <w:jc w:val="left"/>
            </w:pPr>
            <w:r>
              <w:t xml:space="preserve">Drivers</w:t>
            </w:r>
          </w:p>
        </w:tc>
        <w:tc>
          <w:tcPr/>
          <w:p>
            <w:pPr>
              <w:pStyle w:val="Compact"/>
              <w:jc w:val="left"/>
            </w:pPr>
            <w:r>
              <w:t xml:space="preserve">The system works consistently without errors or crashes.</w:t>
            </w:r>
          </w:p>
        </w:tc>
        <w:tc>
          <w:tcPr/>
          <w:p>
            <w:pPr>
              <w:pStyle w:val="Compact"/>
              <w:jc w:val="right"/>
            </w:pPr>
            <w:r>
              <w:t xml:space="preserve">4.50</w:t>
            </w:r>
          </w:p>
        </w:tc>
        <w:tc>
          <w:tcPr/>
          <w:p>
            <w:pPr>
              <w:pStyle w:val="Compact"/>
              <w:jc w:val="left"/>
            </w:pPr>
            <w:r>
              <w:t xml:space="preserve">The interface is clean and visually understandable.</w:t>
            </w:r>
          </w:p>
        </w:tc>
        <w:tc>
          <w:tcPr/>
          <w:p>
            <w:pPr>
              <w:pStyle w:val="Compact"/>
              <w:jc w:val="right"/>
            </w:pPr>
            <w:r>
              <w:t xml:space="preserve">4.10</w:t>
            </w:r>
          </w:p>
        </w:tc>
      </w:tr>
      <w:tr>
        <w:tc>
          <w:tcPr/>
          <w:p>
            <w:pPr>
              <w:pStyle w:val="Compact"/>
              <w:jc w:val="left"/>
            </w:pPr>
            <w:r>
              <w:t xml:space="preserve">Drivers</w:t>
            </w:r>
          </w:p>
        </w:tc>
        <w:tc>
          <w:tcPr/>
          <w:p>
            <w:pPr>
              <w:pStyle w:val="Compact"/>
              <w:jc w:val="left"/>
            </w:pPr>
            <w:r>
              <w:t xml:space="preserve">I trust the system to support my work as a registered driver.</w:t>
            </w:r>
          </w:p>
        </w:tc>
        <w:tc>
          <w:tcPr/>
          <w:p>
            <w:pPr>
              <w:pStyle w:val="Compact"/>
              <w:jc w:val="right"/>
            </w:pPr>
            <w:r>
              <w:t xml:space="preserve">4.45</w:t>
            </w:r>
          </w:p>
        </w:tc>
        <w:tc>
          <w:tcPr/>
          <w:p>
            <w:pPr>
              <w:pStyle w:val="Compact"/>
              <w:jc w:val="left"/>
            </w:pPr>
            <w:r>
              <w:t xml:space="preserve">The instructions and labels in the system are clear and easy to understand.</w:t>
            </w:r>
          </w:p>
        </w:tc>
        <w:tc>
          <w:tcPr/>
          <w:p>
            <w:pPr>
              <w:pStyle w:val="Compact"/>
              <w:jc w:val="right"/>
            </w:pPr>
            <w:r>
              <w:t xml:space="preserve">4.10</w:t>
            </w:r>
          </w:p>
        </w:tc>
      </w:tr>
      <w:tr>
        <w:tc>
          <w:tcPr/>
          <w:p>
            <w:pPr>
              <w:pStyle w:val="Compact"/>
              <w:jc w:val="left"/>
            </w:pPr>
            <w:r>
              <w:t xml:space="preserve">Administrator</w:t>
            </w:r>
          </w:p>
        </w:tc>
        <w:tc>
          <w:tcPr/>
          <w:p>
            <w:pPr>
              <w:pStyle w:val="Compact"/>
              <w:jc w:val="left"/>
            </w:pPr>
            <w:r>
              <w:t xml:space="preserve">Five of seven items</w:t>
            </w:r>
          </w:p>
        </w:tc>
        <w:tc>
          <w:tcPr/>
          <w:p>
            <w:pPr>
              <w:pStyle w:val="Compact"/>
              <w:jc w:val="right"/>
            </w:pPr>
            <w:r>
              <w:t xml:space="preserve">5.00</w:t>
            </w:r>
          </w:p>
        </w:tc>
        <w:tc>
          <w:tcPr/>
          <w:p>
            <w:pPr>
              <w:pStyle w:val="Compact"/>
              <w:jc w:val="left"/>
            </w:pPr>
            <w:r>
              <w:t xml:space="preserve">Records are accurate; Data updates correctly.</w:t>
            </w:r>
          </w:p>
        </w:tc>
        <w:tc>
          <w:tcPr/>
          <w:p>
            <w:pPr>
              <w:pStyle w:val="Compact"/>
              <w:jc w:val="right"/>
            </w:pPr>
            <w:r>
              <w:t xml:space="preserve">4.00</w:t>
            </w:r>
          </w:p>
        </w:tc>
      </w:tr>
    </w:tbl>
    <w:bookmarkEnd w:id="164"/>
    <w:bookmarkStart w:id="165" w:name="X375f6c3ba57ced1f561a9c3cd96d0abeb7fa0b3"/>
    <w:p>
      <w:pPr>
        <w:pStyle w:val="Heading3"/>
      </w:pPr>
      <w:r>
        <w:t xml:space="preserve">Comparison Between Passenger and Driver Evaluations</w:t>
      </w:r>
    </w:p>
    <w:p>
      <w:pPr>
        <w:pStyle w:val="FirstParagraph"/>
      </w:pPr>
      <w:r>
        <w:t xml:space="preserve">The fourth question in the Statement of the Problem asks whether a significant difference exists between the evaluations of passenger-respondents and driver-respondents across the four quality characteristics both instruments measure. Answering it requires an inferential test, which the descriptive treatment above does not provide.</w:t>
      </w:r>
    </w:p>
    <w:p>
      <w:pPr>
        <w:pStyle w:val="BodyText"/>
      </w:pPr>
      <w:r>
        <w:t xml:space="preserve">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24. Comparison of Passenger and Driver Evaluations by Characteristic</w:t>
      </w:r>
    </w:p>
    <w:tbl>
      <w:tblPr>
        <w:tblStyle w:val="Table"/>
        <w:tblW w:type="pct" w:w="5000"/>
        <w:tblLook w:firstRow="1" w:lastRow="0" w:firstColumn="0" w:lastColumn="0" w:noHBand="0" w:noVBand="0" w:val="0020"/>
        <w:jc w:val="start"/>
        <w:tblCaption w:val="Table 24.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No significant difference was found on any of the four characteristics.</w:t>
      </w:r>
      <w:r>
        <w:t xml:space="preserve"> </w:t>
      </w:r>
      <w:r>
        <w:t xml:space="preserve">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result bears directly on the Usability finding reported above.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the item content,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5"/>
    <w:bookmarkStart w:id="166" w:name="interpretation-of-the-results"/>
    <w:p>
      <w:pPr>
        <w:pStyle w:val="Heading3"/>
      </w:pPr>
      <w:r>
        <w:t xml:space="preserve">Interpretation of the Results</w:t>
      </w:r>
    </w:p>
    <w:p>
      <w:pPr>
        <w:pStyle w:val="FirstParagraph"/>
      </w:pPr>
      <w:r>
        <w:rPr>
          <w:bCs/>
          <w:b/>
        </w:rPr>
        <w:t xml:space="preserve">The system is acceptable to both user groups.</w:t>
      </w:r>
      <w:r>
        <w:t xml:space="preserve"> </w:t>
      </w:r>
      <w:r>
        <w:t xml:space="preserve">Passengers rated it 4.30 and drivers 4.29, both in the</w:t>
      </w:r>
      <w:r>
        <w:t xml:space="preserve"> </w:t>
      </w:r>
      <w:r>
        <w:rPr>
          <w:iCs/>
          <w:i/>
        </w:rPr>
        <w:t xml:space="preserve">Strongly Agree</w:t>
      </w:r>
      <w:r>
        <w:t xml:space="preserve"> </w:t>
      </w:r>
      <w:r>
        <w:t xml:space="preserve">band, and the administrator 4.67. The fourth specific objective is therefore met at the level of overall acceptability: the intended users, having used the system under real conditions, assessed it as acceptable.</w:t>
      </w:r>
    </w:p>
    <w:p>
      <w:pPr>
        <w:pStyle w:val="BodyText"/>
      </w:pPr>
      <w:r>
        <w:rPr>
          <w:bCs/>
          <w:b/>
        </w:rPr>
        <w:t xml:space="preserve">The two lowest passenger items are the same defect seen twice.</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are the joint lowest of the thirty-four passenger items, both at 4.05, and they are the only two passenger items to fall below 4.10. They sit in different characteristics — Functional Suitability and Efficiency — so the pattern is not an artefact of one section of the questionnaire. It corresponds to a known limitation of the implementation rather than to a perception: notifications are written to the database and rendered inside the application, and no server-side component exists to push them to a device on which the application is not running. A passenger whose phone is in a pocket learns of an acceptance when the application is next opened. The respondents rated exactly what the system does. Server-side push is recommended in Section 5.3 for this reason, and it is the single change most likely to move the passenger figures.</w:t>
      </w:r>
    </w:p>
    <w:p>
      <w:pPr>
        <w:pStyle w:val="BodyText"/>
      </w:pPr>
      <w:r>
        <w:rPr>
          <w:bCs/>
          <w:b/>
        </w:rPr>
        <w:t xml:space="preserve">Driver Usability is the weakest characteristic in the study, and it is explicable.</w:t>
      </w:r>
      <w:r>
        <w:t xml:space="preserve"> </w:t>
      </w:r>
      <w:r>
        <w:t xml:space="preserve">At 4.20 it is the only group-level category to fall in</w:t>
      </w:r>
      <w:r>
        <w:t xml:space="preserve"> </w:t>
      </w:r>
      <w:r>
        <w:rPr>
          <w:iCs/>
          <w:i/>
        </w:rPr>
        <w:t xml:space="preserve">Agree</w:t>
      </w:r>
      <w:r>
        <w:t xml:space="preserve">, and its two lowest items —</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both 4.10 — concern legibility and wording rather than function. The driver respondents averaged 53.25 years of age against 19.70 for the passengers, and the same interface was rated 4.38 for Usability by the younger group. The difference of 0.18 between the two groups’ Usability means is the largest gap between them on any shared characteristic. This is consistent with an interface designed and tested by developers in their twenties being harder to read for users in their fifties and sixties, and it points at type size, contrast, and plainer labelling rather than at features. Section 5.3 recommends a legibility pass on the driver screens for this reason.</w:t>
      </w:r>
    </w:p>
    <w:p>
      <w:pPr>
        <w:pStyle w:val="BodyText"/>
      </w:pPr>
      <w:r>
        <w:rPr>
          <w:bCs/>
          <w:b/>
        </w:rPr>
        <w:t xml:space="preserve">Drivers rate reliability highest, passengers rate it fourth of six.</w:t>
      </w:r>
      <w:r>
        <w:t xml:space="preserve"> </w:t>
      </w:r>
      <w:r>
        <w:t xml:space="preserve">Drivers gave Reliability 4.38, their highest characteristic, led by</w:t>
      </w:r>
      <w:r>
        <w:t xml:space="preserve"> </w:t>
      </w:r>
      <w:r>
        <w:rPr>
          <w:iCs/>
          <w:i/>
        </w:rPr>
        <w:t xml:space="preserve">“</w:t>
      </w:r>
      <w:r>
        <w:rPr>
          <w:iCs/>
          <w:i/>
        </w:rPr>
        <w:t xml:space="preserve">The system works consistently without errors or crashes.</w:t>
      </w:r>
      <w:r>
        <w:rPr>
          <w:iCs/>
          <w:i/>
        </w:rPr>
        <w:t xml:space="preserve">”</w:t>
      </w:r>
      <w:r>
        <w:t xml:space="preserve"> </w:t>
      </w:r>
      <w:r>
        <w:t xml:space="preserve">at 4.50, the highest single item in the entire study. Passengers gave the same characteristic 4.26, fourth of their six. The two groups experience reliability differently: a driver’s session is long and continuous, and its reliability is a matter of the application not failing during it, while a passenger’s contact is brief and its reliability is a matter of a driver arriving. The passenger item</w:t>
      </w:r>
      <w:r>
        <w:t xml:space="preserve"> </w:t>
      </w:r>
      <w:r>
        <w:rPr>
          <w:iCs/>
          <w:i/>
        </w:rPr>
        <w:t xml:space="preserve">“</w:t>
      </w:r>
      <w:r>
        <w:rPr>
          <w:iCs/>
          <w:i/>
        </w:rPr>
        <w:t xml:space="preserve">I can depend on the system to connect me with a driver when needed.</w:t>
      </w:r>
      <w:r>
        <w:rPr>
          <w:iCs/>
          <w:i/>
        </w:rPr>
        <w:t xml:space="preserve">”</w:t>
      </w:r>
      <w:r>
        <w:t xml:space="preserve">, at 4.20, is the lower of the two readings, and it depends on how many drivers happen to be online rather than on the software.</w:t>
      </w:r>
    </w:p>
    <w:p>
      <w:pPr>
        <w:pStyle w:val="BodyText"/>
      </w:pPr>
      <w:r>
        <w:rPr>
          <w:bCs/>
          <w:b/>
        </w:rPr>
        <w:t xml:space="preserve">Security and satisfaction were rated well without being tested.</w:t>
      </w:r>
      <w:r>
        <w:t xml:space="preserve"> </w:t>
      </w:r>
      <w:r>
        <w:t xml:space="preserve">Passengers gave Security 4.34, third of six, and Overall Satisfaction 4.35. These are perceptions of trust, not measurements of security; respondents are not in a position to assess authentication rules or database access control, and the figure should be read as confidence rather than as evidence. The security testing reported in Section 4.5 is the evidence, and it is separate from this.</w:t>
      </w:r>
    </w:p>
    <w:p>
      <w:pPr>
        <w:pStyle w:val="BodyText"/>
      </w:pPr>
      <w:r>
        <w:rPr>
          <w:bCs/>
          <w:b/>
        </w:rPr>
        <w:t xml:space="preserve">The administrator’s figures describe one person.</w:t>
      </w:r>
      <w:r>
        <w:t xml:space="preserve"> </w:t>
      </w:r>
      <w:r>
        <w:t xml:space="preserve">Five of the seven administrator items were rated 5.00 and two 4.00, giving 4.67 overall. Both 4.00 items are in Reliability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which is the only characteristic the administrator did not rate at ceiling and which is worth noting for that reason. But this is one questionnaire from one respondent, and the figure carries no more weight than that.</w:t>
      </w:r>
    </w:p>
    <w:p>
      <w:pPr>
        <w:pStyle w:val="BodyText"/>
      </w:pPr>
      <w:r>
        <w:rPr>
          <w:bCs/>
          <w:b/>
        </w:rPr>
        <w:t xml:space="preserve">Two qualifications on the returns as a whole.</w:t>
      </w:r>
      <w:r>
        <w:t xml:space="preserve"> </w:t>
      </w:r>
      <w:r>
        <w:t xml:space="preserve">No respondent selected 1 or 2 on any item, and the sixty-one item means span only 4.05 to 4.50. A distribution this narrow is consistent with genuine approval and equally with acquiescence bias, and the design cannot separate them. Separately, the passenger instrument repeats the item</w:t>
      </w:r>
      <w:r>
        <w:t xml:space="preserve"> </w:t>
      </w:r>
      <w:r>
        <w:rPr>
          <w:iCs/>
          <w:i/>
        </w:rPr>
        <w:t xml:space="preserve">“</w:t>
      </w:r>
      <w:r>
        <w:rPr>
          <w:iCs/>
          <w:i/>
        </w:rPr>
        <w:t xml:space="preserve">The system is easy to learn.</w:t>
      </w:r>
      <w:r>
        <w:rPr>
          <w:iCs/>
          <w:i/>
        </w:rPr>
        <w:t xml:space="preserve">”</w:t>
      </w:r>
      <w:r>
        <w:t xml:space="preserve"> </w:t>
      </w:r>
      <w:r>
        <w:t xml:space="preserve">as both item B1 and item B6; both were administered and both are reported, and Appendix G records that removing the duplicate changes the Usability mean from 4.3750 to 4.3800 and alters no interpretation. Both matters are carried into Section 5.4.</w:t>
      </w:r>
    </w:p>
    <w:bookmarkEnd w:id="166"/>
    <w:bookmarkStart w:id="167"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67"/>
    <w:bookmarkEnd w:id="168"/>
    <w:bookmarkEnd w:id="169"/>
    <w:bookmarkStart w:id="170" w:name="chapter-5"/>
    <w:p>
      <w:pPr>
        <w:pStyle w:val="Heading1"/>
      </w:pPr>
      <w:r>
        <w:t xml:space="preserve">Chapter 5</w:t>
      </w:r>
    </w:p>
    <w:bookmarkEnd w:id="170"/>
    <w:bookmarkStart w:id="176" w:name="summary-conclusions-and-recommendations"/>
    <w:p>
      <w:pPr>
        <w:pStyle w:val="Heading1"/>
      </w:pPr>
      <w:r>
        <w:t xml:space="preserve">SUMMARY, CONCLUSIONS AND RECOMMENDATIONS</w:t>
      </w:r>
    </w:p>
    <w:bookmarkStart w:id="171"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1"/>
    <w:bookmarkStart w:id="172"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2"/>
    <w:bookmarkStart w:id="173"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3"/>
    <w:bookmarkStart w:id="174"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24,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4"/>
    <w:bookmarkStart w:id="175"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5"/>
    <w:bookmarkEnd w:id="176"/>
    <w:bookmarkStart w:id="17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7"/>
    <w:bookmarkStart w:id="325" w:name="appendices"/>
    <w:p>
      <w:pPr>
        <w:pStyle w:val="Heading1"/>
      </w:pPr>
      <w:r>
        <w:t xml:space="preserve">APPENDICES</w:t>
      </w:r>
    </w:p>
    <w:bookmarkStart w:id="17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8"/>
    <w:bookmarkStart w:id="17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9"/>
    <w:bookmarkStart w:id="18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0"/>
    <w:bookmarkStart w:id="18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1"/>
    <w:bookmarkEnd w:id="182"/>
    <w:bookmarkStart w:id="183"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3"/>
    <w:bookmarkStart w:id="184"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4"/>
    <w:bookmarkStart w:id="190"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5"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5"/>
    <w:bookmarkStart w:id="186"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6"/>
    <w:bookmarkStart w:id="187"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87"/>
    <w:bookmarkStart w:id="188"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88"/>
    <w:bookmarkStart w:id="189"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89"/>
    <w:bookmarkEnd w:id="190"/>
    <w:bookmarkStart w:id="195"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Six verbal labels on the supplied sheets do not follow the interpretation legend</w:t>
      </w:r>
      <w:r>
        <w:t xml:space="preserve"> </w:t>
      </w:r>
      <w:r>
        <w:t xml:space="preserve">printed at the head of those same sheets, and are corrected here. No number is</w:t>
      </w:r>
      <w:r>
        <w:t xml:space="preserve"> </w:t>
      </w:r>
      <w:r>
        <w:t xml:space="preserve">altered. Two of the six change what is reported, and all six are set out in section</w:t>
      </w:r>
      <w:r>
        <w:t xml:space="preserve"> </w:t>
      </w:r>
      <w:r>
        <w:t xml:space="preserve">G.4. The workbooks as supplied and as corrected are both retained with the project</w:t>
      </w:r>
      <w:r>
        <w:t xml:space="preserve"> </w:t>
      </w:r>
      <w:r>
        <w:t xml:space="preserve">files, alongside the script that derives the second from the first.</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1"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1"/>
    <w:bookmarkStart w:id="192"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2"/>
    <w:bookmarkStart w:id="193"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3"/>
    <w:bookmarkStart w:id="194" w:name="g.4-notes-on-the-computation"/>
    <w:p>
      <w:pPr>
        <w:pStyle w:val="Heading3"/>
      </w:pPr>
      <w:r>
        <w:t xml:space="preserve">G.4 Notes on the computation</w:t>
      </w:r>
    </w:p>
    <w:p>
      <w:pPr>
        <w:pStyle w:val="FirstParagraph"/>
      </w:pPr>
      <w:r>
        <w:rPr>
          <w:bCs/>
          <w:b/>
        </w:rPr>
        <w:t xml:space="preserve">Two corrected verbal labels.</w:t>
      </w:r>
      <w:r>
        <w:t xml:space="preserve"> </w:t>
      </w:r>
      <w:r>
        <w:t xml:space="preserve">The scale printed at the head of each computation sheet places 4.21 to 5.00 in</w:t>
      </w:r>
      <w:r>
        <w:t xml:space="preserve"> </w:t>
      </w:r>
      <w:r>
        <w:rPr>
          <w:iCs/>
          <w:i/>
        </w:rPr>
        <w:t xml:space="preserve">Strongly Agree</w:t>
      </w:r>
      <w:r>
        <w:t xml:space="preserve"> </w:t>
      </w:r>
      <w:r>
        <w:t xml:space="preserve">and 3.41 to 4.20 in</w:t>
      </w:r>
      <w:r>
        <w:t xml:space="preserve"> </w:t>
      </w:r>
      <w:r>
        <w:rPr>
          <w:iCs/>
          <w:i/>
        </w:rPr>
        <w:t xml:space="preserve">Agree</w:t>
      </w:r>
      <w:r>
        <w:t xml:space="preserve">. Six labels on the supplied sheets do not follow it, and are corrected here. Four are at item level and change nothing else: the passenger items</w:t>
      </w:r>
      <w:r>
        <w:t xml:space="preserve"> </w:t>
      </w:r>
      <w:r>
        <w:rPr>
          <w:iCs/>
          <w:i/>
        </w:rPr>
        <w:t xml:space="preserve">“</w:t>
      </w:r>
      <w:r>
        <w:rPr>
          <w:iCs/>
          <w:i/>
        </w:rPr>
        <w:t xml:space="preserve">The system is easy to learn.</w:t>
      </w:r>
      <w:r>
        <w:rPr>
          <w:iCs/>
          <w:i/>
        </w:rPr>
        <w:t xml:space="preserve">”</w:t>
      </w:r>
      <w:r>
        <w:t xml:space="preserve"> </w:t>
      </w:r>
      <w:r>
        <w:t xml:space="preserve">(4.35),</w:t>
      </w:r>
      <w:r>
        <w:t xml:space="preserve"> </w:t>
      </w:r>
      <w:r>
        <w:rPr>
          <w:iCs/>
          <w:i/>
        </w:rPr>
        <w:t xml:space="preserve">“</w:t>
      </w:r>
      <w:r>
        <w:rPr>
          <w:iCs/>
          <w:i/>
        </w:rPr>
        <w:t xml:space="preserve">The menus are easy to understand.</w:t>
      </w:r>
      <w:r>
        <w:rPr>
          <w:iCs/>
          <w:i/>
        </w:rPr>
        <w:t xml:space="preserve">”</w:t>
      </w:r>
      <w:r>
        <w:t xml:space="preserve"> </w:t>
      </w:r>
      <w:r>
        <w:t xml:space="preserve">(4.40) and</w:t>
      </w:r>
      <w:r>
        <w:t xml:space="preserve"> </w:t>
      </w:r>
      <w:r>
        <w:rPr>
          <w:iCs/>
          <w:i/>
        </w:rPr>
        <w:t xml:space="preserve">“</w:t>
      </w:r>
      <w:r>
        <w:rPr>
          <w:iCs/>
          <w:i/>
        </w:rPr>
        <w:t xml:space="preserve">The interface is visually appealing.</w:t>
      </w:r>
      <w:r>
        <w:rPr>
          <w:iCs/>
          <w:i/>
        </w:rPr>
        <w:t xml:space="preserve">”</w:t>
      </w:r>
      <w:r>
        <w:t xml:space="preserve"> </w:t>
      </w:r>
      <w:r>
        <w:t xml:space="preserve">(4.30) were labelled</w:t>
      </w:r>
      <w:r>
        <w:t xml:space="preserve"> </w:t>
      </w:r>
      <w:r>
        <w:rPr>
          <w:iCs/>
          <w:i/>
        </w:rPr>
        <w:t xml:space="preserve">Agree</w:t>
      </w:r>
      <w:r>
        <w:t xml:space="preserve"> </w:t>
      </w:r>
      <w:r>
        <w:t xml:space="preserve">and are read here as</w:t>
      </w:r>
      <w:r>
        <w:t xml:space="preserve"> </w:t>
      </w:r>
      <w:r>
        <w:rPr>
          <w:iCs/>
          <w:i/>
        </w:rPr>
        <w:t xml:space="preserve">Strongly Agree</w:t>
      </w:r>
      <w:r>
        <w:t xml:space="preserve">, and the driver item</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(4.15) was labelled</w:t>
      </w:r>
      <w:r>
        <w:t xml:space="preserve"> </w:t>
      </w:r>
      <w:r>
        <w:rPr>
          <w:iCs/>
          <w:i/>
        </w:rPr>
        <w:t xml:space="preserve">Strongly Agree</w:t>
      </w:r>
      <w:r>
        <w:t xml:space="preserve"> </w:t>
      </w:r>
      <w:r>
        <w:t xml:space="preserve">and is read here as</w:t>
      </w:r>
      <w:r>
        <w:t xml:space="preserve"> </w:t>
      </w:r>
      <w:r>
        <w:rPr>
          <w:iCs/>
          <w:i/>
        </w:rPr>
        <w:t xml:space="preserve">Agree</w:t>
      </w:r>
      <w:r>
        <w:t xml:space="preserve">. Two are at category level and do change what is reported:</w:t>
      </w:r>
      <w:r>
        <w:t xml:space="preserve"> </w:t>
      </w:r>
      <w:r>
        <w:rPr>
          <w:bCs/>
          <w:b/>
        </w:rPr>
        <w:t xml:space="preserve">Usability among drivers, at 4.2000, falls in the</w:t>
      </w:r>
      <w:r>
        <w:rPr>
          <w:bCs/>
          <w:b/>
        </w:rPr>
        <w:t xml:space="preserve"> </w:t>
      </w:r>
      <w:r>
        <w:rPr>
          <w:iCs/>
          <w:i/>
          <w:bCs/>
          <w:b/>
        </w:rPr>
        <w:t xml:space="preserve">Agree</w:t>
      </w:r>
      <w:r>
        <w:rPr>
          <w:bCs/>
          <w:b/>
        </w:rPr>
        <w:t xml:space="preserve"> </w:t>
      </w:r>
      <w:r>
        <w:rPr>
          <w:bCs/>
          <w:b/>
        </w:rPr>
        <w:t xml:space="preserve">band, not</w:t>
      </w:r>
      <w:r>
        <w:rPr>
          <w:bCs/>
          <w:b/>
        </w:rPr>
        <w:t xml:space="preserve"> </w:t>
      </w:r>
      <w:r>
        <w:rPr>
          <w:iCs/>
          <w:i/>
          <w:bCs/>
          <w:b/>
        </w:rPr>
        <w:t xml:space="preserve">Strongly Agree</w:t>
      </w:r>
      <w:r>
        <w:t xml:space="preserve">, and</w:t>
      </w:r>
      <w:r>
        <w:t xml:space="preserve"> </w:t>
      </w:r>
      <w:r>
        <w:rPr>
          <w:bCs/>
          <w:b/>
        </w:rPr>
        <w:t xml:space="preserve">Reliability for the administrator, at 4.0000, likewise falls in</w:t>
      </w:r>
      <w:r>
        <w:rPr>
          <w:bCs/>
          <w:b/>
        </w:rPr>
        <w:t xml:space="preserve"> </w:t>
      </w:r>
      <w:r>
        <w:rPr>
          <w:iCs/>
          <w:i/>
          <w:bCs/>
          <w:b/>
        </w:rPr>
        <w:t xml:space="preserve">Agree</w:t>
      </w:r>
      <w:r>
        <w:t xml:space="preserve">. The administrator’s own sheet is self-contradictory on the second of these, labelling both underlying items</w:t>
      </w:r>
      <w:r>
        <w:t xml:space="preserve"> </w:t>
      </w:r>
      <w:r>
        <w:rPr>
          <w:iCs/>
          <w:i/>
        </w:rPr>
        <w:t xml:space="preserve">Agree</w:t>
      </w:r>
      <w:r>
        <w:t xml:space="preserve"> </w:t>
      </w:r>
      <w:r>
        <w:t xml:space="preserve">and their mean</w:t>
      </w:r>
      <w:r>
        <w:t xml:space="preserve"> </w:t>
      </w:r>
      <w:r>
        <w:rPr>
          <w:iCs/>
          <w:i/>
        </w:rPr>
        <w:t xml:space="preserve">Strongly Agree</w:t>
      </w:r>
      <w:r>
        <w:t xml:space="preserve">. No weighted mean, frequency, composite or rank has been altered; only the band each figure is read against.</w:t>
      </w:r>
    </w:p>
    <w:p>
      <w:pPr>
        <w:pStyle w:val="BodyText"/>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4"/>
    <w:bookmarkEnd w:id="195"/>
    <w:bookmarkStart w:id="196"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6"/>
    <w:bookmarkStart w:id="223"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97"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197"/>
    <w:bookmarkStart w:id="209" w:name="part-2-for-passengers"/>
    <w:p>
      <w:pPr>
        <w:pStyle w:val="Heading3"/>
      </w:pPr>
      <w:r>
        <w:t xml:space="preserve">Part 2 — For passengers</w:t>
      </w:r>
    </w:p>
    <w:bookmarkStart w:id="198"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98"/>
    <w:bookmarkStart w:id="199"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99"/>
    <w:bookmarkStart w:id="200"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0"/>
    <w:bookmarkStart w:id="201"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1"/>
    <w:bookmarkStart w:id="202"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2"/>
    <w:bookmarkStart w:id="203"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3"/>
    <w:bookmarkStart w:id="204"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4"/>
    <w:bookmarkStart w:id="205"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5"/>
    <w:bookmarkStart w:id="206"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6"/>
    <w:bookmarkStart w:id="207"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07"/>
    <w:bookmarkStart w:id="208"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08"/>
    <w:bookmarkEnd w:id="209"/>
    <w:bookmarkStart w:id="216" w:name="part-3-for-drivers"/>
    <w:p>
      <w:pPr>
        <w:pStyle w:val="Heading3"/>
      </w:pPr>
      <w:r>
        <w:t xml:space="preserve">Part 3 — For drivers</w:t>
      </w:r>
    </w:p>
    <w:bookmarkStart w:id="210"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0"/>
    <w:bookmarkStart w:id="211"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1"/>
    <w:bookmarkStart w:id="212"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2"/>
    <w:bookmarkStart w:id="213"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3"/>
    <w:bookmarkStart w:id="214"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4"/>
    <w:bookmarkStart w:id="215"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5"/>
    <w:bookmarkEnd w:id="216"/>
    <w:bookmarkStart w:id="221"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17"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17"/>
    <w:bookmarkStart w:id="218"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18"/>
    <w:bookmarkStart w:id="219"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19"/>
    <w:bookmarkStart w:id="220"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0"/>
    <w:bookmarkEnd w:id="221"/>
    <w:bookmarkStart w:id="222"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2"/>
    <w:bookmarkEnd w:id="223"/>
    <w:bookmarkStart w:id="306"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6" w:name="i.1-application-entry-point-and-manifest"/>
    <w:p>
      <w:pPr>
        <w:pStyle w:val="Heading3"/>
      </w:pPr>
      <w:r>
        <w:t xml:space="preserve">I.1 Application entry point and manifest</w:t>
      </w:r>
    </w:p>
    <w:bookmarkStart w:id="224"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4"/>
    <w:bookmarkStart w:id="225"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5"/>
    <w:bookmarkEnd w:id="226"/>
    <w:bookmarkStart w:id="232" w:name="i.2-data-models"/>
    <w:p>
      <w:pPr>
        <w:pStyle w:val="Heading3"/>
      </w:pPr>
      <w:r>
        <w:t xml:space="preserve">I.2 Data models</w:t>
      </w:r>
    </w:p>
    <w:bookmarkStart w:id="227"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27"/>
    <w:bookmarkStart w:id="228"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28"/>
    <w:bookmarkStart w:id="229"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29"/>
    <w:bookmarkStart w:id="230"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0"/>
    <w:bookmarkStart w:id="231"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1"/>
    <w:bookmarkEnd w:id="232"/>
    <w:bookmarkStart w:id="235" w:name="i.3-services"/>
    <w:p>
      <w:pPr>
        <w:pStyle w:val="Heading3"/>
      </w:pPr>
      <w:r>
        <w:t xml:space="preserve">I.3 Services</w:t>
      </w:r>
    </w:p>
    <w:bookmarkStart w:id="233"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3"/>
    <w:bookmarkStart w:id="234"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4"/>
    <w:bookmarkEnd w:id="235"/>
    <w:bookmarkStart w:id="242" w:name="i.4-repositories"/>
    <w:p>
      <w:pPr>
        <w:pStyle w:val="Heading3"/>
      </w:pPr>
      <w:r>
        <w:t xml:space="preserve">I.4 Repositories</w:t>
      </w:r>
    </w:p>
    <w:bookmarkStart w:id="236"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6"/>
    <w:bookmarkStart w:id="237"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7"/>
    <w:bookmarkStart w:id="238"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8"/>
    <w:bookmarkStart w:id="239"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9"/>
    <w:bookmarkStart w:id="240"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0"/>
    <w:bookmarkStart w:id="241"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1"/>
    <w:bookmarkEnd w:id="242"/>
    <w:bookmarkStart w:id="250" w:name="i.5-viewmodels"/>
    <w:p>
      <w:pPr>
        <w:pStyle w:val="Heading3"/>
      </w:pPr>
      <w:r>
        <w:t xml:space="preserve">I.5 ViewModels</w:t>
      </w:r>
    </w:p>
    <w:bookmarkStart w:id="243"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3"/>
    <w:bookmarkStart w:id="244"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4"/>
    <w:bookmarkStart w:id="245"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5"/>
    <w:bookmarkStart w:id="246"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6"/>
    <w:bookmarkStart w:id="247"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7"/>
    <w:bookmarkStart w:id="248"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49"/>
    <w:bookmarkEnd w:id="250"/>
    <w:bookmarkStart w:id="268" w:name="i.6-utilities"/>
    <w:p>
      <w:pPr>
        <w:pStyle w:val="Heading3"/>
      </w:pPr>
      <w:r>
        <w:t xml:space="preserve">I.6 Utilities</w:t>
      </w:r>
    </w:p>
    <w:bookmarkStart w:id="251"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2"/>
    <w:bookmarkStart w:id="253"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3"/>
    <w:bookmarkStart w:id="254"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4"/>
    <w:bookmarkStart w:id="255"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5"/>
    <w:bookmarkStart w:id="256"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6"/>
    <w:bookmarkStart w:id="257"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7"/>
    <w:bookmarkStart w:id="258"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8"/>
    <w:bookmarkStart w:id="259"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9"/>
    <w:bookmarkStart w:id="260"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0"/>
    <w:bookmarkStart w:id="261"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3"/>
    <w:bookmarkStart w:id="264"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5"/>
    <w:bookmarkStart w:id="266"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6"/>
    <w:bookmarkStart w:id="267"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67"/>
    <w:bookmarkEnd w:id="268"/>
    <w:bookmarkStart w:id="273" w:name="i.7-interface-theme"/>
    <w:p>
      <w:pPr>
        <w:pStyle w:val="Heading3"/>
      </w:pPr>
      <w:r>
        <w:t xml:space="preserve">I.7 Interface — theme</w:t>
      </w:r>
    </w:p>
    <w:bookmarkStart w:id="269"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69"/>
    <w:bookmarkStart w:id="270"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0"/>
    <w:bookmarkStart w:id="271"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1"/>
    <w:bookmarkStart w:id="272"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2"/>
    <w:bookmarkEnd w:id="273"/>
    <w:bookmarkStart w:id="281" w:name="i.8-interface-shared-components"/>
    <w:p>
      <w:pPr>
        <w:pStyle w:val="Heading3"/>
      </w:pPr>
      <w:r>
        <w:t xml:space="preserve">I.8 Interface — shared components</w:t>
      </w:r>
    </w:p>
    <w:bookmarkStart w:id="274"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4"/>
    <w:bookmarkStart w:id="275"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5"/>
    <w:bookmarkStart w:id="276"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6"/>
    <w:bookmarkStart w:id="277"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77"/>
    <w:bookmarkStart w:id="278"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78"/>
    <w:bookmarkStart w:id="279"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0"/>
    <w:bookmarkEnd w:id="281"/>
    <w:bookmarkStart w:id="292" w:name="i.9-interface-screens"/>
    <w:p>
      <w:pPr>
        <w:pStyle w:val="Heading3"/>
      </w:pPr>
      <w:r>
        <w:t xml:space="preserve">I.9 Interface — screens</w:t>
      </w:r>
    </w:p>
    <w:bookmarkStart w:id="282"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3"/>
    <w:bookmarkStart w:id="284"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4"/>
    <w:bookmarkStart w:id="285"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5"/>
    <w:bookmarkStart w:id="286"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6"/>
    <w:bookmarkStart w:id="287"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88"/>
    <w:bookmarkStart w:id="289"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0"/>
    <w:bookmarkStart w:id="291"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1"/>
    <w:bookmarkEnd w:id="292"/>
    <w:bookmarkStart w:id="300" w:name="i.10-unit-tests"/>
    <w:p>
      <w:pPr>
        <w:pStyle w:val="Heading3"/>
      </w:pPr>
      <w:r>
        <w:t xml:space="preserve">I.10 Unit tests</w:t>
      </w:r>
    </w:p>
    <w:bookmarkStart w:id="293"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3"/>
    <w:bookmarkStart w:id="294"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Start w:id="295"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5"/>
    <w:bookmarkStart w:id="296"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9"/>
    <w:bookmarkEnd w:id="300"/>
    <w:bookmarkStart w:id="305" w:name="X23a92f84e4e824015e1f9fde032a95f733acbf2"/>
    <w:p>
      <w:pPr>
        <w:pStyle w:val="Heading3"/>
      </w:pPr>
      <w:r>
        <w:t xml:space="preserve">I.11 Build configuration and security rules</w:t>
      </w:r>
    </w:p>
    <w:bookmarkStart w:id="301"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2"/>
    <w:bookmarkStart w:id="303"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3"/>
    <w:bookmarkStart w:id="304"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4"/>
    <w:bookmarkEnd w:id="305"/>
    <w:bookmarkEnd w:id="306"/>
    <w:bookmarkStart w:id="307"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07"/>
    <w:bookmarkStart w:id="308"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08"/>
    <w:bookmarkStart w:id="309"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four qualifications: two corrected verbal labels on the supplied computation sheets,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09"/>
    <w:bookmarkStart w:id="310"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0"/>
    <w:bookmarkStart w:id="311"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1"/>
    <w:bookmarkStart w:id="315"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313" name="Picture"/>
            <a:graphic>
              <a:graphicData uri="http://schemas.openxmlformats.org/drawingml/2006/picture">
                <pic:pic>
                  <pic:nvPicPr>
                    <pic:cNvPr descr="figures/fig14_gantt.png" id="314" name="Picture"/>
                    <pic:cNvPicPr>
                      <a:picLocks noChangeArrowheads="1" noChangeAspect="1"/>
                    </pic:cNvPicPr>
                  </pic:nvPicPr>
                  <pic:blipFill>
                    <a:blip r:embed="rId312"/>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5"/>
    <w:bookmarkStart w:id="319" w:name="appendix-q-researchers-biodata"/>
    <w:p>
      <w:pPr>
        <w:pStyle w:val="Heading2"/>
      </w:pPr>
      <w:r>
        <w:t xml:space="preserve">Appendix Q — Researchers’ Biodata</w:t>
      </w:r>
    </w:p>
    <w:bookmarkStart w:id="316"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6"/>
    <w:bookmarkStart w:id="317"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17"/>
    <w:bookmarkStart w:id="318"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18"/>
    <w:bookmarkEnd w:id="319"/>
    <w:bookmarkStart w:id="324"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0"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0"/>
    <w:bookmarkStart w:id="321"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1"/>
    <w:bookmarkStart w:id="322"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2"/>
    <w:bookmarkStart w:id="323"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3"/>
    <w:bookmarkEnd w:id="324"/>
    <w:bookmarkEnd w:id="325"/>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2" Target="media/rId3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2026-09-11T06:35:23Z</dcterms:created>
  <dcterms:modified xsi:type="dcterms:W3CDTF">2026-09-11T06:35:23Z</dcterms:modified>
</cp:coreProperties>
</file>

<file path=docProps/custom.xml><?xml version="1.0" encoding="utf-8"?>
<Properties xmlns="http://schemas.openxmlformats.org/officeDocument/2006/custom-properties" xmlns:vt="http://schemas.openxmlformats.org/officeDocument/2006/docPropsVTypes"/>
</file>