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4.png" ContentType="image/png"/>
  <Override PartName="/word/media/rId89.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126.png" ContentType="image/png"/>
  <Override PartName="/word/media/rId130.png" ContentType="image/png"/>
  <Override PartName="/word/media/rId139.png" ContentType="image/png"/>
  <Override PartName="/word/media/rId134.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was evaluated against the four ISO/IEC 25010 quality characteristics named in the research instrument: usability, functionality, efficiency, and reliability. Respondents were students of Talibon Polytechnic College and tricycle drivers serving the campus, and responses were treated using the weighted mean.</w:t>
      </w:r>
    </w:p>
    <w:p>
      <w:pPr>
        <w:pStyle w:val="BodyText"/>
      </w:pPr>
      <w:r>
        <w:rPr>
          <w:iCs/>
          <w:i/>
        </w:rPr>
        <w:t xml:space="preserve">[Evaluation results, the interpretation of those results, and the study’s conclusions are to be completed after data collection. Section 4.9 and Chapter 5 carry the tables and the interpretation scales that those numbers will populate.]</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Data Analysis</w:t>
            </w:r>
          </w:p>
        </w:tc>
        <w:tc>
          <w:tcPr/>
          <w:p>
            <w:pPr>
              <w:pStyle w:val="Compact"/>
              <w:jc w:val="right"/>
            </w:pPr>
            <w:r>
              <w:t xml:space="preserve">19</w:t>
            </w:r>
          </w:p>
        </w:tc>
      </w:tr>
      <w:tr>
        <w:tc>
          <w:tcPr/>
          <w:p>
            <w:pPr>
              <w:pStyle w:val="Compact"/>
              <w:jc w:val="left"/>
            </w:pPr>
            <w:r>
              <w:t xml:space="preserve">1.13 Definition of Terms</w:t>
            </w:r>
          </w:p>
        </w:tc>
        <w:tc>
          <w:tcPr/>
          <w:p>
            <w:pPr>
              <w:pStyle w:val="Compact"/>
              <w:jc w:val="right"/>
            </w:pPr>
            <w:r>
              <w:t xml:space="preserve">20</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83</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Summary of Findings</w:t>
            </w:r>
          </w:p>
        </w:tc>
        <w:tc>
          <w:tcPr/>
          <w:p>
            <w:pPr>
              <w:pStyle w:val="Compact"/>
              <w:jc w:val="right"/>
            </w:pPr>
            <w:r>
              <w:t xml:space="preserve">87</w:t>
            </w:r>
          </w:p>
        </w:tc>
      </w:tr>
      <w:tr>
        <w:tc>
          <w:tcPr/>
          <w:p>
            <w:pPr>
              <w:pStyle w:val="Compact"/>
              <w:jc w:val="left"/>
            </w:pPr>
            <w:r>
              <w:t xml:space="preserve">5.2 Conclusions</w:t>
            </w:r>
          </w:p>
        </w:tc>
        <w:tc>
          <w:tcPr/>
          <w:p>
            <w:pPr>
              <w:pStyle w:val="Compact"/>
              <w:jc w:val="right"/>
            </w:pPr>
            <w:r>
              <w:t xml:space="preserve">89</w:t>
            </w:r>
          </w:p>
        </w:tc>
      </w:tr>
      <w:tr>
        <w:tc>
          <w:tcPr/>
          <w:p>
            <w:pPr>
              <w:pStyle w:val="Compact"/>
              <w:jc w:val="left"/>
            </w:pPr>
            <w:r>
              <w:t xml:space="preserve">5.3 Recommendations</w:t>
            </w:r>
          </w:p>
        </w:tc>
        <w:tc>
          <w:tcPr/>
          <w:p>
            <w:pPr>
              <w:pStyle w:val="Compact"/>
              <w:jc w:val="right"/>
            </w:pPr>
            <w:r>
              <w:t xml:space="preserve">90</w:t>
            </w:r>
          </w:p>
        </w:tc>
      </w:tr>
      <w:tr>
        <w:tc>
          <w:tcPr/>
          <w:p>
            <w:pPr>
              <w:pStyle w:val="Compact"/>
              <w:jc w:val="left"/>
            </w:pPr>
            <w:r>
              <w:t xml:space="preserve">5.4 Future Enhancements</w:t>
            </w:r>
          </w:p>
        </w:tc>
        <w:tc>
          <w:tcPr/>
          <w:p>
            <w:pPr>
              <w:pStyle w:val="Compact"/>
              <w:jc w:val="right"/>
            </w:pPr>
            <w:r>
              <w:t xml:space="preserve">92</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Likert Scale and Interpretation</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Profile of Respondents</w:t>
            </w:r>
          </w:p>
        </w:tc>
        <w:tc>
          <w:tcPr/>
          <w:p>
            <w:pPr>
              <w:pStyle w:val="Compact"/>
              <w:jc w:val="right"/>
            </w:pPr>
            <w:r>
              <w:t xml:space="preserve">85</w:t>
            </w:r>
          </w:p>
        </w:tc>
      </w:tr>
      <w:tr>
        <w:tc>
          <w:tcPr/>
          <w:p>
            <w:pPr>
              <w:pStyle w:val="Compact"/>
              <w:jc w:val="center"/>
            </w:pPr>
            <w:r>
              <w:t xml:space="preserve">20</w:t>
            </w:r>
          </w:p>
        </w:tc>
        <w:tc>
          <w:tcPr/>
          <w:p>
            <w:pPr>
              <w:pStyle w:val="Compact"/>
              <w:jc w:val="left"/>
            </w:pPr>
            <w:r>
              <w:t xml:space="preserve">Evaluation Results: Passengers</w:t>
            </w:r>
          </w:p>
        </w:tc>
        <w:tc>
          <w:tcPr/>
          <w:p>
            <w:pPr>
              <w:pStyle w:val="Compact"/>
              <w:jc w:val="right"/>
            </w:pPr>
            <w:r>
              <w:t xml:space="preserve">86</w:t>
            </w:r>
          </w:p>
        </w:tc>
      </w:tr>
      <w:tr>
        <w:tc>
          <w:tcPr/>
          <w:p>
            <w:pPr>
              <w:pStyle w:val="Compact"/>
              <w:jc w:val="center"/>
            </w:pPr>
            <w:r>
              <w:t xml:space="preserve">21</w:t>
            </w:r>
          </w:p>
        </w:tc>
        <w:tc>
          <w:tcPr/>
          <w:p>
            <w:pPr>
              <w:pStyle w:val="Compact"/>
              <w:jc w:val="left"/>
            </w:pPr>
            <w:r>
              <w:t xml:space="preserve">Evaluation Results: Drivers</w:t>
            </w:r>
          </w:p>
        </w:tc>
        <w:tc>
          <w:tcPr/>
          <w:p>
            <w:pPr>
              <w:pStyle w:val="Compact"/>
              <w:jc w:val="right"/>
            </w:pPr>
            <w:r>
              <w:t xml:space="preserve">86</w:t>
            </w:r>
          </w:p>
        </w:tc>
      </w:tr>
      <w:tr>
        <w:tc>
          <w:tcPr/>
          <w:p>
            <w:pPr>
              <w:pStyle w:val="Compact"/>
              <w:jc w:val="center"/>
            </w:pPr>
            <w:r>
              <w:t xml:space="preserve">22</w:t>
            </w:r>
          </w:p>
        </w:tc>
        <w:tc>
          <w:tcPr/>
          <w:p>
            <w:pPr>
              <w:pStyle w:val="Compact"/>
              <w:jc w:val="left"/>
            </w:pPr>
            <w:r>
              <w:t xml:space="preserve">Summary of Evaluation Across Characteristics</w:t>
            </w:r>
          </w:p>
        </w:tc>
        <w:tc>
          <w:tcPr/>
          <w:p>
            <w:pPr>
              <w:pStyle w:val="Compact"/>
              <w:jc w:val="right"/>
            </w:pPr>
            <w:r>
              <w:t xml:space="preserve">87</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4"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included. The booking and tracking screens show an interactive map with the relevant positions on it, but the system does not compute or display a driving route, because route calculation is a billed web service and the study operates at no cost.</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sample size for student respondents was determined using</w:t>
      </w:r>
      <w:r>
        <w:t xml:space="preserve"> </w:t>
      </w:r>
      <w:r>
        <w:rPr>
          <w:bCs/>
          <w:b/>
        </w:rPr>
        <w:t xml:space="preserve">Slovin’s formula</w:t>
      </w:r>
      <w:r>
        <w:t xml:space="preserve">:</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t xml:space="preserve">where</w:t>
      </w:r>
      <w:r>
        <w:t xml:space="preserve"> </w:t>
      </w:r>
      <w:r>
        <w:rPr>
          <w:iCs/>
          <w:i/>
        </w:rPr>
        <w:t xml:space="preserve">n</w:t>
      </w:r>
      <w:r>
        <w:t xml:space="preserve"> </w:t>
      </w:r>
      <w:r>
        <w:t xml:space="preserve">is the sample size,</w:t>
      </w:r>
      <w:r>
        <w:t xml:space="preserve"> </w:t>
      </w:r>
      <w:r>
        <w:rPr>
          <w:iCs/>
          <w:i/>
        </w:rPr>
        <w:t xml:space="preserve">N</w:t>
      </w:r>
      <w:r>
        <w:t xml:space="preserve"> </w:t>
      </w:r>
      <w:r>
        <w:t xml:space="preserve">is the total enrolled student population of Talibon Polytechnic College, and</w:t>
      </w:r>
      <w:r>
        <w:t xml:space="preserve"> </w:t>
      </w:r>
      <w:r>
        <w:rPr>
          <w:iCs/>
          <w:i/>
        </w:rPr>
        <w:t xml:space="preserve">e</w:t>
      </w:r>
      <w:r>
        <w:t xml:space="preserve"> </w:t>
      </w:r>
      <w:r>
        <w:t xml:space="preserve">is the margin of error, set at 0.05.</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[The actual population figures, the computed sample size, and the number of respondents who participated are to be recorded in Table 19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analyzed using the statistical treatment described in Section 1.12, and the results formed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ata-analysis"/>
    <w:p>
      <w:pPr>
        <w:pStyle w:val="Heading2"/>
      </w:pPr>
      <w:r>
        <w:t xml:space="preserve">1.12 Data Analysis</w:t>
      </w:r>
    </w:p>
    <w:p>
      <w:pPr>
        <w:pStyle w:val="FirstParagraph"/>
      </w:pPr>
      <w:r>
        <w:t xml:space="preserve">The data gathered were analyzed using the following statistical treatments.</w:t>
      </w:r>
    </w:p>
    <w:p>
      <w:pPr>
        <w:pStyle w:val="BodyText"/>
      </w:pPr>
      <w:r>
        <w:rPr>
          <w:bCs/>
          <w:b/>
        </w:rPr>
        <w:t xml:space="preserve">Frequency and Percentage.</w:t>
      </w:r>
      <w:r>
        <w:t xml:space="preserve"> </w:t>
      </w:r>
      <w:r>
        <w:t xml:space="preserve">Used to describe the profile of respondents and the distribution of responses to the needs assessment.</w:t>
      </w:r>
    </w:p>
    <w:p>
      <w:pPr>
        <w:pStyle w:val="BodyText"/>
      </w:pPr>
      <m:oMathPara>
        <m:oMathParaPr>
          <m:jc m:val="center"/>
        </m:oMathParaPr>
        <m:oMath>
          <m:r>
            <m:t>P</m:t>
          </m:r>
          <m:r>
            <m:rPr>
              <m:sty m:val="p"/>
            </m:rPr>
            <m:t>=</m:t>
          </m:r>
          <m:f>
            <m:fPr>
              <m:type m:val="bar"/>
            </m:fPr>
            <m:num>
              <m:r>
                <m:t>f</m:t>
              </m:r>
            </m:num>
            <m:den>
              <m:r>
                <m:t>N</m:t>
              </m:r>
            </m:den>
          </m:f>
          <m:r>
            <m:rPr>
              <m:sty m:val="p"/>
            </m:rPr>
            <m:t>×</m:t>
          </m:r>
          <m:r>
            <m:t>100</m:t>
          </m:r>
        </m:oMath>
      </m:oMathPara>
    </w:p>
    <w:p>
      <w:pPr>
        <w:pStyle w:val="FirstParagraph"/>
      </w:pPr>
      <w:r>
        <w:t xml:space="preserve">where</w:t>
      </w:r>
      <w:r>
        <w:t xml:space="preserve"> </w:t>
      </w:r>
      <w:r>
        <w:rPr>
          <w:iCs/>
          <w:i/>
        </w:rPr>
        <w:t xml:space="preserve">P</w:t>
      </w:r>
      <w:r>
        <w:t xml:space="preserve"> </w:t>
      </w:r>
      <w:r>
        <w:t xml:space="preserve">is the percentage,</w:t>
      </w:r>
      <w:r>
        <w:t xml:space="preserve"> </w:t>
      </w:r>
      <w:r>
        <w:rPr>
          <w:iCs/>
          <w:i/>
        </w:rPr>
        <w:t xml:space="preserve">f</w:t>
      </w:r>
      <w:r>
        <w:t xml:space="preserve"> </w:t>
      </w:r>
      <w:r>
        <w:t xml:space="preserve">is the frequency of a response, and</w:t>
      </w:r>
      <w:r>
        <w:t xml:space="preserve"> </w:t>
      </w:r>
      <w:r>
        <w:rPr>
          <w:iCs/>
          <w:i/>
        </w:rPr>
        <w:t xml:space="preserve">N</w:t>
      </w:r>
      <w:r>
        <w:t xml:space="preserve"> </w:t>
      </w:r>
      <w:r>
        <w:t xml:space="preserve">is the total number of respondents.</w:t>
      </w:r>
    </w:p>
    <w:p>
      <w:pPr>
        <w:pStyle w:val="BodyText"/>
      </w:pPr>
      <w:r>
        <w:rPr>
          <w:bCs/>
          <w:b/>
        </w:rPr>
        <w:t xml:space="preserve">Weighted Mean.</w:t>
      </w:r>
      <w:r>
        <w:t xml:space="preserve"> </w:t>
      </w:r>
      <w:r>
        <w:t xml:space="preserve">Used to determine the level of agreement with each evaluation statement, and to determine the level of each quality characteristic.</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t xml:space="preserve">where</w:t>
      </w:r>
      <w:r>
        <w:t xml:space="preserve"> </w:t>
      </w:r>
      <m:oMath>
        <m:acc>
          <m:accPr>
            <m:chr m:val="‾"/>
          </m:accPr>
          <m:e>
            <m:r>
              <m:t>x</m:t>
            </m:r>
          </m:e>
        </m:acc>
      </m:oMath>
      <w:r>
        <w:t xml:space="preserve"> </w:t>
      </w:r>
      <w:r>
        <w:t xml:space="preserve">is the weighted mean,</w:t>
      </w:r>
      <w:r>
        <w:t xml:space="preserve"> </w:t>
      </w:r>
      <w:r>
        <w:rPr>
          <w:iCs/>
          <w:i/>
        </w:rPr>
        <w:t xml:space="preserve">f</w:t>
      </w:r>
      <w:r>
        <w:t xml:space="preserve"> </w:t>
      </w:r>
      <w:r>
        <w:t xml:space="preserve">is the frequency of a response to a scale point,</w:t>
      </w:r>
      <w:r>
        <w:t xml:space="preserve"> </w:t>
      </w:r>
      <w:r>
        <w:rPr>
          <w:iCs/>
          <w:i/>
        </w:rPr>
        <w:t xml:space="preserve">w</w:t>
      </w:r>
      <w:r>
        <w:t xml:space="preserve"> </w:t>
      </w:r>
      <w:r>
        <w:t xml:space="preserve">is the weight assigned to that scale point, and</w:t>
      </w:r>
      <w:r>
        <w:t xml:space="preserve"> </w:t>
      </w:r>
      <w:r>
        <w:rPr>
          <w:iCs/>
          <w:i/>
        </w:rPr>
        <w:t xml:space="preserve">N</w:t>
      </w:r>
      <w:r>
        <w:t xml:space="preserve"> </w:t>
      </w:r>
      <w:r>
        <w:t xml:space="preserve">is the total number of respondents.</w:t>
      </w:r>
    </w:p>
    <w:p>
      <w:pPr>
        <w:pStyle w:val="BodyText"/>
      </w:pPr>
      <w:r>
        <w:rPr>
          <w:bCs/>
          <w:b/>
        </w:rPr>
        <w:t xml:space="preserve">Interpretation.</w:t>
      </w:r>
      <w:r>
        <w:t xml:space="preserve"> </w:t>
      </w:r>
      <w:r>
        <w:t xml:space="preserve">Weighted means were interpreted using the scale in Table 18.</w:t>
      </w:r>
    </w:p>
    <w:p>
      <w:pPr>
        <w:pStyle w:val="BodyText"/>
      </w:pPr>
      <w:r>
        <w:rPr>
          <w:bCs/>
          <w:b/>
        </w:rPr>
        <w:t xml:space="preserve">Independent Samples t-test.</w:t>
      </w:r>
      <w:r>
        <w:t xml:space="preserve"> </w:t>
      </w:r>
      <w:r>
        <w:t xml:space="preserve">Used to determine whether the difference between passenger and driver evaluations of each characteristic is statistically significant, at a 0.05 level of significance. This addresses the fourth question in Section 1.4.</w:t>
      </w:r>
    </w:p>
    <w:bookmarkEnd w:id="52"/>
    <w:bookmarkStart w:id="53" w:name="definition-of-terms"/>
    <w:p>
      <w:pPr>
        <w:pStyle w:val="Heading2"/>
      </w:pPr>
      <w:r>
        <w:t xml:space="preserve">1.13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3"/>
    <w:bookmarkEnd w:id="54"/>
    <w:bookmarkStart w:id="55" w:name="chapter-2"/>
    <w:p>
      <w:pPr>
        <w:pStyle w:val="Heading1"/>
      </w:pPr>
      <w:r>
        <w:t xml:space="preserve">Chapter 2</w:t>
      </w:r>
    </w:p>
    <w:bookmarkEnd w:id="55"/>
    <w:bookmarkStart w:id="69" w:name="review-of-related-literature-and-systems"/>
    <w:p>
      <w:pPr>
        <w:pStyle w:val="Heading1"/>
      </w:pPr>
      <w:r>
        <w:t xml:space="preserve">REVIEW OF RELATED LITERATURE AND SYSTEMS</w:t>
      </w:r>
    </w:p>
    <w:bookmarkStart w:id="56"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6"/>
    <w:bookmarkStart w:id="57"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7"/>
    <w:bookmarkStart w:id="58"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live map in the evaluated build;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8"/>
    <w:bookmarkStart w:id="63"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9"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9"/>
    <w:bookmarkStart w:id="60"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w:t>
      </w:r>
    </w:p>
    <w:bookmarkEnd w:id="60"/>
    <w:bookmarkStart w:id="61"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objectives four and five.</w:t>
      </w:r>
    </w:p>
    <w:bookmarkEnd w:id="61"/>
    <w:bookmarkStart w:id="62" w:name="diffusion-of-innovations"/>
    <w:p>
      <w:pPr>
        <w:pStyle w:val="Heading3"/>
      </w:pPr>
      <w:r>
        <w:t xml:space="preserve">Diffusion of Innovations</w:t>
      </w:r>
    </w:p>
    <w:p>
      <w:pPr>
        <w:pStyle w:val="FirstParagraph"/>
      </w:pPr>
      <w:r>
        <w:t xml:space="preserve">Rogers (2003) identified five attributes that predict how quickly an innovation spreads: relative advantage, compatibility, complexity, trialability, and observability. The system is designed with these in mind. Relative advantage is the elimination of waiting and searching. Compatibility is served by pricing from the schedule the association already publishes rather than introducing a new pricing scheme. Complexity is kept low. Trialability is served by distribution to a defined group of testers before any wider release. Observability is served by the administrative monitor and the exported reports, which make the system’s effects visible to the college and the association.</w:t>
      </w:r>
    </w:p>
    <w:bookmarkEnd w:id="62"/>
    <w:bookmarkEnd w:id="63"/>
    <w:bookmarkStart w:id="67"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5" name="Picture"/>
            <a:graphic>
              <a:graphicData uri="http://schemas.openxmlformats.org/drawingml/2006/picture">
                <pic:pic>
                  <pic:nvPicPr>
                    <pic:cNvPr descr="figures/fig02_conceptual_framework.png" id="66" name="Picture"/>
                    <pic:cNvPicPr>
                      <a:picLocks noChangeArrowheads="1" noChangeAspect="1"/>
                    </pic:cNvPicPr>
                  </pic:nvPicPr>
                  <pic:blipFill>
                    <a:blip r:embed="rId64"/>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7"/>
    <w:bookmarkStart w:id="68"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8"/>
    <w:bookmarkEnd w:id="69"/>
    <w:bookmarkStart w:id="70" w:name="chapter-3"/>
    <w:p>
      <w:pPr>
        <w:pStyle w:val="Heading1"/>
      </w:pPr>
      <w:r>
        <w:t xml:space="preserve">Chapter 3</w:t>
      </w:r>
    </w:p>
    <w:bookmarkEnd w:id="70"/>
    <w:bookmarkStart w:id="93"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4" w:name="software-requirements"/>
    <w:p>
      <w:pPr>
        <w:pStyle w:val="Heading2"/>
      </w:pPr>
      <w:r>
        <w:t xml:space="preserve">3.1 Software Requirements</w:t>
      </w:r>
    </w:p>
    <w:bookmarkStart w:id="71"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71"/>
    <w:bookmarkStart w:id="72"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2"/>
    <w:bookmarkStart w:id="73"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3"/>
    <w:bookmarkEnd w:id="74"/>
    <w:bookmarkStart w:id="78" w:name="hardware-requirements"/>
    <w:p>
      <w:pPr>
        <w:pStyle w:val="Heading2"/>
      </w:pPr>
      <w:r>
        <w:t xml:space="preserve">3.2 Hardware Requirements</w:t>
      </w:r>
    </w:p>
    <w:bookmarkStart w:id="75"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5"/>
    <w:bookmarkStart w:id="76"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6"/>
    <w:bookmarkStart w:id="77"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7"/>
    <w:bookmarkEnd w:id="78"/>
    <w:bookmarkStart w:id="79"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9"/>
    <w:bookmarkStart w:id="80"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80"/>
    <w:bookmarkStart w:id="85" w:name="database-technologies"/>
    <w:p>
      <w:pPr>
        <w:pStyle w:val="Heading2"/>
      </w:pPr>
      <w:r>
        <w:t xml:space="preserve">3.5 Database Technologies</w:t>
      </w:r>
    </w:p>
    <w:bookmarkStart w:id="81"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81"/>
    <w:bookmarkStart w:id="82"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2"/>
    <w:bookmarkStart w:id="83"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3"/>
    <w:bookmarkStart w:id="84" w:name="data-organization"/>
    <w:p>
      <w:pPr>
        <w:pStyle w:val="Heading3"/>
      </w:pPr>
      <w:r>
        <w:t xml:space="preserve">Data Organization</w:t>
      </w:r>
    </w:p>
    <w:p>
      <w:pPr>
        <w:pStyle w:val="FirstParagraph"/>
      </w:pPr>
      <w:r>
        <w:t xml:space="preserve">The database is organized as nine top-level nodes, documented in Table 8 and Figure 11.</w:t>
      </w:r>
    </w:p>
    <w:bookmarkEnd w:id="84"/>
    <w:bookmarkEnd w:id="85"/>
    <w:bookmarkStart w:id="86"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6"/>
    <w:bookmarkStart w:id="87"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7"/>
    <w:bookmarkStart w:id="88"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8"/>
    <w:bookmarkStart w:id="92"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90" name="Picture"/>
            <a:graphic>
              <a:graphicData uri="http://schemas.openxmlformats.org/drawingml/2006/picture">
                <pic:pic>
                  <pic:nvPicPr>
                    <pic:cNvPr descr="figures/fig03_system_architecture.png" id="91" name="Picture"/>
                    <pic:cNvPicPr>
                      <a:picLocks noChangeArrowheads="1" noChangeAspect="1"/>
                    </pic:cNvPicPr>
                  </pic:nvPicPr>
                  <pic:blipFill>
                    <a:blip r:embed="rId89"/>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2"/>
    <w:bookmarkEnd w:id="93"/>
    <w:bookmarkStart w:id="94" w:name="chapter-4"/>
    <w:p>
      <w:pPr>
        <w:pStyle w:val="Heading1"/>
      </w:pPr>
      <w:r>
        <w:t xml:space="preserve">Chapter 4</w:t>
      </w:r>
    </w:p>
    <w:bookmarkEnd w:id="94"/>
    <w:bookmarkStart w:id="168" w:name="methodology-results-and-discussion"/>
    <w:p>
      <w:pPr>
        <w:pStyle w:val="Heading1"/>
      </w:pPr>
      <w:r>
        <w:t xml:space="preserve">METHODOLOGY, RESULTS, AND DISCUSSION</w:t>
      </w:r>
    </w:p>
    <w:bookmarkStart w:id="97"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5"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5"/>
    <w:bookmarkStart w:id="96"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6"/>
    <w:bookmarkEnd w:id="97"/>
    <w:bookmarkStart w:id="101" w:name="requirements-documentation"/>
    <w:p>
      <w:pPr>
        <w:pStyle w:val="Heading2"/>
      </w:pPr>
      <w:r>
        <w:t xml:space="preserve">4.2 Requirements Documentation</w:t>
      </w:r>
    </w:p>
    <w:bookmarkStart w:id="98"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8"/>
    <w:bookmarkStart w:id="99"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9"/>
    <w:bookmarkStart w:id="100"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100"/>
    <w:bookmarkEnd w:id="101"/>
    <w:bookmarkStart w:id="138" w:name="system-design"/>
    <w:p>
      <w:pPr>
        <w:pStyle w:val="Heading2"/>
      </w:pPr>
      <w:r>
        <w:t xml:space="preserve">4.3 System Design</w:t>
      </w:r>
    </w:p>
    <w:bookmarkStart w:id="105"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3" name="Picture"/>
            <a:graphic>
              <a:graphicData uri="http://schemas.openxmlformats.org/drawingml/2006/picture">
                <pic:pic>
                  <pic:nvPicPr>
                    <pic:cNvPr descr="figures/fig04_context_diagram.png" id="104" name="Picture"/>
                    <pic:cNvPicPr>
                      <a:picLocks noChangeArrowheads="1" noChangeAspect="1"/>
                    </pic:cNvPicPr>
                  </pic:nvPicPr>
                  <pic:blipFill>
                    <a:blip r:embed="rId102"/>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5"/>
    <w:bookmarkStart w:id="109"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7" name="Picture"/>
            <a:graphic>
              <a:graphicData uri="http://schemas.openxmlformats.org/drawingml/2006/picture">
                <pic:pic>
                  <pic:nvPicPr>
                    <pic:cNvPr descr="figures/fig05_dfd_level1.png" id="108" name="Picture"/>
                    <pic:cNvPicPr>
                      <a:picLocks noChangeArrowheads="1" noChangeAspect="1"/>
                    </pic:cNvPicPr>
                  </pic:nvPicPr>
                  <pic:blipFill>
                    <a:blip r:embed="rId106"/>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9"/>
    <w:bookmarkStart w:id="113"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11" name="Picture"/>
            <a:graphic>
              <a:graphicData uri="http://schemas.openxmlformats.org/drawingml/2006/picture">
                <pic:pic>
                  <pic:nvPicPr>
                    <pic:cNvPr descr="figures/fig06_erd.png" id="112" name="Picture"/>
                    <pic:cNvPicPr>
                      <a:picLocks noChangeArrowheads="1" noChangeAspect="1"/>
                    </pic:cNvPicPr>
                  </pic:nvPicPr>
                  <pic:blipFill>
                    <a:blip r:embed="rId110"/>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3"/>
    <w:bookmarkStart w:id="117" w:name="use-case-diagram"/>
    <w:p>
      <w:pPr>
        <w:pStyle w:val="Heading3"/>
      </w:pPr>
      <w:r>
        <w:t xml:space="preserve">Use Case Diagram</w:t>
      </w:r>
    </w:p>
    <w:p>
      <w:pPr>
        <w:pStyle w:val="CaptionedFigure"/>
      </w:pPr>
      <w:r>
        <w:drawing>
          <wp:inline>
            <wp:extent cx="5486400" cy="6246835"/>
            <wp:effectExtent b="0" l="0" r="0" t="0"/>
            <wp:docPr descr="Figure 7. Use Case Diagram" title="" id="115" name="Picture"/>
            <a:graphic>
              <a:graphicData uri="http://schemas.openxmlformats.org/drawingml/2006/picture">
                <pic:pic>
                  <pic:nvPicPr>
                    <pic:cNvPr descr="figures/fig07_use_case.png" id="116" name="Picture"/>
                    <pic:cNvPicPr>
                      <a:picLocks noChangeArrowheads="1" noChangeAspect="1"/>
                    </pic:cNvPicPr>
                  </pic:nvPicPr>
                  <pic:blipFill>
                    <a:blip r:embed="rId114"/>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7"/>
    <w:bookmarkStart w:id="121"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9" name="Picture"/>
            <a:graphic>
              <a:graphicData uri="http://schemas.openxmlformats.org/drawingml/2006/picture">
                <pic:pic>
                  <pic:nvPicPr>
                    <pic:cNvPr descr="figures/fig08_activity_booking.png" id="120" name="Picture"/>
                    <pic:cNvPicPr>
                      <a:picLocks noChangeArrowheads="1" noChangeAspect="1"/>
                    </pic:cNvPicPr>
                  </pic:nvPicPr>
                  <pic:blipFill>
                    <a:blip r:embed="rId118"/>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21"/>
    <w:bookmarkStart w:id="125"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3" name="Picture"/>
            <a:graphic>
              <a:graphicData uri="http://schemas.openxmlformats.org/drawingml/2006/picture">
                <pic:pic>
                  <pic:nvPicPr>
                    <pic:cNvPr descr="figures/fig09_sequence_booking.png" id="124" name="Picture"/>
                    <pic:cNvPicPr>
                      <a:picLocks noChangeArrowheads="1" noChangeAspect="1"/>
                    </pic:cNvPicPr>
                  </pic:nvPicPr>
                  <pic:blipFill>
                    <a:blip r:embed="rId122"/>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5"/>
    <w:bookmarkStart w:id="129" w:name="class-diagram"/>
    <w:p>
      <w:pPr>
        <w:pStyle w:val="Heading3"/>
      </w:pPr>
      <w:r>
        <w:t xml:space="preserve">Class Diagram</w:t>
      </w:r>
    </w:p>
    <w:p>
      <w:pPr>
        <w:pStyle w:val="CaptionedFigure"/>
      </w:pPr>
      <w:r>
        <w:drawing>
          <wp:inline>
            <wp:extent cx="4809744" cy="6765755"/>
            <wp:effectExtent b="0" l="0" r="0" t="0"/>
            <wp:docPr descr="Figure 10. Class Diagram" title="" id="127" name="Picture"/>
            <a:graphic>
              <a:graphicData uri="http://schemas.openxmlformats.org/drawingml/2006/picture">
                <pic:pic>
                  <pic:nvPicPr>
                    <pic:cNvPr descr="figures/fig10_class_diagram.png" id="128" name="Picture"/>
                    <pic:cNvPicPr>
                      <a:picLocks noChangeArrowheads="1" noChangeAspect="1"/>
                    </pic:cNvPicPr>
                  </pic:nvPicPr>
                  <pic:blipFill>
                    <a:blip r:embed="rId126"/>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9"/>
    <w:bookmarkStart w:id="133"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Licence number and expiry, 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Base64 JPEG of the driver’s licence, the time it was sent, and the time consent was given</w:t>
            </w:r>
          </w:p>
        </w:tc>
        <w:tc>
          <w:tcPr/>
          <w:p>
            <w:pPr>
              <w:pStyle w:val="Compact"/>
              <w:jc w:val="left"/>
            </w:pPr>
            <w:r>
              <w:t xml:space="preserve">The driver;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31" name="Picture"/>
            <a:graphic>
              <a:graphicData uri="http://schemas.openxmlformats.org/drawingml/2006/picture">
                <pic:pic>
                  <pic:nvPicPr>
                    <pic:cNvPr descr="figures/fig11_database_schema.png" id="132" name="Picture"/>
                    <pic:cNvPicPr>
                      <a:picLocks noChangeArrowheads="1" noChangeAspect="1"/>
                    </pic:cNvPicPr>
                  </pic:nvPicPr>
                  <pic:blipFill>
                    <a:blip r:embed="rId130"/>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3"/>
    <w:bookmarkStart w:id="137"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5" name="Picture"/>
            <a:graphic>
              <a:graphicData uri="http://schemas.openxmlformats.org/drawingml/2006/picture">
                <pic:pic>
                  <pic:nvPicPr>
                    <pic:cNvPr descr="figures/fig13_screen_flow.png" id="136" name="Picture"/>
                    <pic:cNvPicPr>
                      <a:picLocks noChangeArrowheads="1" noChangeAspect="1"/>
                    </pic:cNvPicPr>
                  </pic:nvPicPr>
                  <pic:blipFill>
                    <a:blip r:embed="rId134"/>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7"/>
    <w:bookmarkEnd w:id="138"/>
    <w:bookmarkStart w:id="146" w:name="software-development"/>
    <w:p>
      <w:pPr>
        <w:pStyle w:val="Heading2"/>
      </w:pPr>
      <w:r>
        <w:t xml:space="preserve">4.4 Software Development</w:t>
      </w:r>
    </w:p>
    <w:bookmarkStart w:id="142"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40" name="Picture"/>
            <a:graphic>
              <a:graphicData uri="http://schemas.openxmlformats.org/drawingml/2006/picture">
                <pic:pic>
                  <pic:nvPicPr>
                    <pic:cNvPr descr="figures/fig12_waterfall.png" id="141" name="Picture"/>
                    <pic:cNvPicPr>
                      <a:picLocks noChangeArrowheads="1" noChangeAspect="1"/>
                    </pic:cNvPicPr>
                  </pic:nvPicPr>
                  <pic:blipFill>
                    <a:blip r:embed="rId139"/>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2"/>
    <w:bookmarkStart w:id="143"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3"/>
    <w:bookmarkStart w:id="144"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4"/>
    <w:bookmarkStart w:id="145"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5"/>
    <w:bookmarkEnd w:id="146"/>
    <w:bookmarkStart w:id="153" w:name="testing"/>
    <w:p>
      <w:pPr>
        <w:pStyle w:val="Heading2"/>
      </w:pPr>
      <w:r>
        <w:t xml:space="preserve">4.5 Testing</w:t>
      </w:r>
    </w:p>
    <w:p>
      <w:pPr>
        <w:pStyle w:val="FirstParagraph"/>
      </w:pPr>
      <w:r>
        <w:t xml:space="preserve">Testing was conducted at four levels, followed by performance and security testing.</w:t>
      </w:r>
    </w:p>
    <w:bookmarkStart w:id="147"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7"/>
    <w:bookmarkStart w:id="148"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8"/>
    <w:bookmarkStart w:id="149"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9"/>
    <w:bookmarkStart w:id="150" w:name="user-acceptance-testing"/>
    <w:p>
      <w:pPr>
        <w:pStyle w:val="Heading3"/>
      </w:pPr>
      <w:r>
        <w:t xml:space="preserve">User Acceptance Testing</w:t>
      </w:r>
    </w:p>
    <w:p>
      <w:pPr>
        <w:pStyle w:val="FirstParagraph"/>
      </w:pPr>
      <w:r>
        <w:t xml:space="preserve">User acceptance testing was conducted with respondents drawn from the two user groups, using the application under real conditions for the evaluation period. Respondents were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50"/>
    <w:bookmarkStart w:id="151"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51"/>
    <w:bookmarkStart w:id="152"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bl>
    <w:bookmarkEnd w:id="152"/>
    <w:bookmarkEnd w:id="153"/>
    <w:bookmarkStart w:id="154"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4"/>
    <w:bookmarkStart w:id="158" w:name="implementation-plan"/>
    <w:p>
      <w:pPr>
        <w:pStyle w:val="Heading2"/>
      </w:pPr>
      <w:r>
        <w:t xml:space="preserve">4.7 Implementation Plan</w:t>
      </w:r>
    </w:p>
    <w:bookmarkStart w:id="155"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J.</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5"/>
    <w:bookmarkStart w:id="156"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6"/>
    <w:bookmarkStart w:id="157"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7"/>
    <w:bookmarkEnd w:id="158"/>
    <w:bookmarkStart w:id="162" w:name="implementation-results"/>
    <w:p>
      <w:pPr>
        <w:pStyle w:val="Heading2"/>
      </w:pPr>
      <w:r>
        <w:t xml:space="preserve">4.8 Implementation Results</w:t>
      </w:r>
    </w:p>
    <w:bookmarkStart w:id="159"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optional coordinates on fare stops</w:t>
            </w:r>
          </w:p>
        </w:tc>
        <w:tc>
          <w:tcPr/>
          <w:p>
            <w:pPr>
              <w:pStyle w:val="Compact"/>
              <w:jc w:val="left"/>
            </w:pPr>
            <w:r>
              <w:t xml:space="preserve">FR-09,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9"/>
    <w:bookmarkStart w:id="160"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60"/>
    <w:bookmarkStart w:id="161" w:name="screenshots"/>
    <w:p>
      <w:pPr>
        <w:pStyle w:val="Heading3"/>
      </w:pPr>
      <w:r>
        <w:t xml:space="preserve">Screenshots</w:t>
      </w:r>
    </w:p>
    <w:p>
      <w:pPr>
        <w:pStyle w:val="FirstParagraph"/>
      </w:pPr>
      <w:r>
        <w:t xml:space="preserve">System screenshots are presented in Appendix I.</w:t>
      </w:r>
    </w:p>
    <w:bookmarkEnd w:id="161"/>
    <w:bookmarkEnd w:id="162"/>
    <w:bookmarkStart w:id="167" w:name="system-evaluation"/>
    <w:p>
      <w:pPr>
        <w:pStyle w:val="Heading2"/>
      </w:pPr>
      <w:r>
        <w:t xml:space="preserve">4.9 System Evaluation</w:t>
      </w:r>
    </w:p>
    <w:bookmarkStart w:id="163" w:name="evaluation-method"/>
    <w:p>
      <w:pPr>
        <w:pStyle w:val="Heading3"/>
      </w:pPr>
      <w:r>
        <w:t xml:space="preserve">Evaluation Method</w:t>
      </w:r>
    </w:p>
    <w:p>
      <w:pPr>
        <w:pStyle w:val="FirstParagraph"/>
      </w:pPr>
      <w:r>
        <w:t xml:space="preserve">The developed system was evaluated using a researcher-made questionnaire adapted from the ISO/IEC 25010 software quality model, administered to passenger-respondents and driver-respondents after a period of actual use. Each of the four characteristics is measured by five statements rated on a five-point Likert scale.</w:t>
      </w:r>
    </w:p>
    <w:p>
      <w:pPr>
        <w:pStyle w:val="TableCaption"/>
      </w:pPr>
      <w:r>
        <w:t xml:space="preserve">Table 18. Likert Scale and Interpretation</w:t>
      </w:r>
    </w:p>
    <w:tbl>
      <w:tblPr>
        <w:tblStyle w:val="Table"/>
        <w:tblW w:type="pct" w:w="5000"/>
        <w:tblLook w:firstRow="1" w:lastRow="0" w:firstColumn="0" w:lastColumn="0" w:noHBand="0" w:noVBand="0" w:val="0020"/>
        <w:jc w:val="start"/>
        <w:tblCaption w:val="Table 18. Likert Scale and Interpretation"/>
      </w:tblPr>
      <w:tblGrid>
        <w:gridCol w:w="2329"/>
        <w:gridCol w:w="1863"/>
        <w:gridCol w:w="1863"/>
        <w:gridCol w:w="1863"/>
      </w:tblGrid>
      <w:tr>
        <w:trPr>
          <w:tblHeader w:val="true"/>
        </w:trPr>
        <w:tc>
          <w:tcPr/>
          <w:p>
            <w:pPr>
              <w:pStyle w:val="Compact"/>
              <w:jc w:val="center"/>
            </w:pPr>
            <w:r>
              <w:t xml:space="preserve">Weight</w:t>
            </w:r>
          </w:p>
        </w:tc>
        <w:tc>
          <w:tcPr/>
          <w:p>
            <w:pPr>
              <w:pStyle w:val="Compact"/>
              <w:jc w:val="left"/>
            </w:pPr>
            <w:r>
              <w:t xml:space="preserve">Range of weighted mean</w:t>
            </w:r>
          </w:p>
        </w:tc>
        <w:tc>
          <w:tcPr/>
          <w:p>
            <w:pPr>
              <w:pStyle w:val="Compact"/>
              <w:jc w:val="left"/>
            </w:pPr>
            <w:r>
              <w:t xml:space="preserve">Verbal interpretation</w:t>
            </w:r>
          </w:p>
        </w:tc>
        <w:tc>
          <w:tcPr/>
          <w:p>
            <w:pPr>
              <w:pStyle w:val="Compact"/>
              <w:jc w:val="left"/>
            </w:pPr>
            <w:r>
              <w:t xml:space="preserve">Qualitative description</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c>
          <w:tcPr/>
          <w:p>
            <w:pPr>
              <w:pStyle w:val="Compact"/>
              <w:jc w:val="left"/>
            </w:pPr>
            <w:r>
              <w:t xml:space="preserve">Excellent</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c>
          <w:tcPr/>
          <w:p>
            <w:pPr>
              <w:pStyle w:val="Compact"/>
              <w:jc w:val="left"/>
            </w:pPr>
            <w:r>
              <w:t xml:space="preserve">Very Good</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c>
          <w:tcPr/>
          <w:p>
            <w:pPr>
              <w:pStyle w:val="Compact"/>
              <w:jc w:val="left"/>
            </w:pPr>
            <w:r>
              <w:t xml:space="preserve">Good</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c>
          <w:tcPr/>
          <w:p>
            <w:pPr>
              <w:pStyle w:val="Compact"/>
              <w:jc w:val="left"/>
            </w:pPr>
            <w:r>
              <w:t xml:space="preserve">Fair</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c>
          <w:tcPr/>
          <w:p>
            <w:pPr>
              <w:pStyle w:val="Compact"/>
              <w:jc w:val="left"/>
            </w:pPr>
            <w:r>
              <w:t xml:space="preserve">Poor</w:t>
            </w:r>
          </w:p>
        </w:tc>
      </w:tr>
    </w:tbl>
    <w:bookmarkEnd w:id="163"/>
    <w:bookmarkStart w:id="164" w:name="respondents"/>
    <w:p>
      <w:pPr>
        <w:pStyle w:val="Heading3"/>
      </w:pPr>
      <w:r>
        <w:t xml:space="preserve">Respondents</w:t>
      </w:r>
    </w:p>
    <w:p>
      <w:pPr>
        <w:pStyle w:val="TableCaption"/>
      </w:pPr>
      <w:r>
        <w:t xml:space="preserve">Table 19. Profile of Respondents</w:t>
      </w:r>
    </w:p>
    <w:tbl>
      <w:tblPr>
        <w:tblStyle w:val="Table"/>
        <w:tblW w:type="auto" w:w="0"/>
        <w:tblLook w:firstRow="1" w:lastRow="0" w:firstColumn="0" w:lastColumn="0" w:noHBand="0" w:noVBand="0" w:val="0020"/>
        <w:jc w:val="start"/>
        <w:tblCaption w:val="Table 19. Profile of Respondents"/>
      </w:tblPr>
      <w:tblGrid>
        <w:gridCol w:w="2640"/>
        <w:gridCol w:w="2640"/>
        <w:gridCol w:w="2640"/>
      </w:tblGrid>
      <w:tr>
        <w:trPr>
          <w:tblHeader w:val="true"/>
        </w:trPr>
        <w:tc>
          <w:tcPr/>
          <w:p>
            <w:pPr>
              <w:pStyle w:val="Compact"/>
              <w:jc w:val="left"/>
            </w:pPr>
            <w:r>
              <w:t xml:space="preserve">Group</w:t>
            </w:r>
          </w:p>
        </w:tc>
        <w:tc>
          <w:tcPr/>
          <w:p>
            <w:pPr>
              <w:pStyle w:val="Compact"/>
              <w:jc w:val="right"/>
            </w:pPr>
            <w:r>
              <w:t xml:space="preserve">Frequency</w:t>
            </w:r>
          </w:p>
        </w:tc>
        <w:tc>
          <w:tcPr/>
          <w:p>
            <w:pPr>
              <w:pStyle w:val="Compact"/>
              <w:jc w:val="right"/>
            </w:pPr>
            <w:r>
              <w:t xml:space="preserve">Percentage</w:t>
            </w:r>
          </w:p>
        </w:tc>
      </w:tr>
      <w:tr>
        <w:tc>
          <w:tcPr/>
          <w:p>
            <w:pPr>
              <w:pStyle w:val="Compact"/>
              <w:jc w:val="left"/>
            </w:pPr>
            <w:r>
              <w:t xml:space="preserve">Passengers (students)</w:t>
            </w:r>
          </w:p>
        </w:tc>
        <w:tc>
          <w:tcPr/>
          <w:p>
            <w:pPr>
              <w:pStyle w:val="Compact"/>
            </w:pPr>
          </w:p>
        </w:tc>
        <w:tc>
          <w:tcPr/>
          <w:p>
            <w:pPr>
              <w:pStyle w:val="Compact"/>
            </w:pPr>
          </w:p>
        </w:tc>
      </w:tr>
      <w:tr>
        <w:tc>
          <w:tcPr/>
          <w:p>
            <w:pPr>
              <w:pStyle w:val="Compact"/>
              <w:jc w:val="left"/>
            </w:pPr>
            <w:r>
              <w:t xml:space="preserve">Drivers</w:t>
            </w:r>
          </w:p>
        </w:tc>
        <w:tc>
          <w:tcPr/>
          <w:p>
            <w:pPr>
              <w:pStyle w:val="Compact"/>
            </w:pPr>
          </w:p>
        </w:tc>
        <w:tc>
          <w:tcPr/>
          <w:p>
            <w:pPr>
              <w:pStyle w:val="Compact"/>
            </w:pPr>
          </w:p>
        </w:tc>
      </w:tr>
      <w:tr>
        <w:tc>
          <w:tcPr/>
          <w:p>
            <w:pPr>
              <w:pStyle w:val="Compact"/>
              <w:jc w:val="left"/>
            </w:pPr>
            <w:r>
              <w:rPr>
                <w:bCs/>
                <w:b/>
              </w:rPr>
              <w:t xml:space="preserve">Total</w:t>
            </w:r>
          </w:p>
        </w:tc>
        <w:tc>
          <w:tcPr/>
          <w:p>
            <w:pPr>
              <w:pStyle w:val="Compact"/>
            </w:pPr>
          </w:p>
        </w:tc>
        <w:tc>
          <w:tcPr/>
          <w:p>
            <w:pPr>
              <w:pStyle w:val="Compact"/>
            </w:pPr>
          </w:p>
        </w:tc>
      </w:tr>
    </w:tbl>
    <w:p>
      <w:pPr>
        <w:pStyle w:val="BodyText"/>
      </w:pPr>
      <w:r>
        <w:rPr>
          <w:iCs/>
          <w:i/>
        </w:rPr>
        <w:t xml:space="preserve">[To be completed following data collection. The passenger sample size is computed using Slovin’s formula against the enrolled population; drivers are enumerated in full.]</w:t>
      </w:r>
    </w:p>
    <w:bookmarkEnd w:id="164"/>
    <w:bookmarkStart w:id="165" w:name="results"/>
    <w:p>
      <w:pPr>
        <w:pStyle w:val="Heading3"/>
      </w:pPr>
      <w:r>
        <w:t xml:space="preserve">Results</w:t>
      </w:r>
    </w:p>
    <w:p>
      <w:pPr>
        <w:pStyle w:val="TableCaption"/>
      </w:pPr>
      <w:r>
        <w:t xml:space="preserve">Table 20. Evaluation Results: Passengers</w:t>
      </w:r>
    </w:p>
    <w:tbl>
      <w:tblPr>
        <w:tblStyle w:val="Table"/>
        <w:tblW w:type="auto" w:w="0"/>
        <w:tblLook w:firstRow="1" w:lastRow="0" w:firstColumn="0" w:lastColumn="0" w:noHBand="0" w:noVBand="0" w:val="0020"/>
        <w:jc w:val="start"/>
        <w:tblCaption w:val="Table 20. Evaluation Results: Passeng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21. Evaluation Results: Drivers</w:t>
      </w:r>
    </w:p>
    <w:tbl>
      <w:tblPr>
        <w:tblStyle w:val="Table"/>
        <w:tblW w:type="auto" w:w="0"/>
        <w:tblLook w:firstRow="1" w:lastRow="0" w:firstColumn="0" w:lastColumn="0" w:noHBand="0" w:noVBand="0" w:val="0020"/>
        <w:jc w:val="start"/>
        <w:tblCaption w:val="Table 21. Evaluation Results: Driv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22. Summary of Evaluation Across Characteristics</w:t>
      </w:r>
    </w:p>
    <w:tbl>
      <w:tblPr>
        <w:tblStyle w:val="Table"/>
        <w:tblW w:type="pct" w:w="5000"/>
        <w:tblLook w:firstRow="1" w:lastRow="0" w:firstColumn="0" w:lastColumn="0" w:noHBand="0" w:noVBand="0" w:val="0020"/>
        <w:jc w:val="start"/>
        <w:tblCaption w:val="Table 22. Summary of Evaluation Across Characteristics"/>
      </w:tblPr>
      <w:tblGrid>
        <w:gridCol w:w="990"/>
        <w:gridCol w:w="990"/>
        <w:gridCol w:w="990"/>
        <w:gridCol w:w="990"/>
        <w:gridCol w:w="990"/>
        <w:gridCol w:w="990"/>
        <w:gridCol w:w="990"/>
        <w:gridCol w:w="990"/>
      </w:tblGrid>
      <w:tr>
        <w:trPr>
          <w:tblHeader w:val="true"/>
        </w:trPr>
        <w:tc>
          <w:tcPr/>
          <w:p>
            <w:pPr>
              <w:pStyle w:val="Compact"/>
              <w:jc w:val="left"/>
            </w:pPr>
            <w:r>
              <w:t xml:space="preserve">Characteristic</w:t>
            </w:r>
          </w:p>
        </w:tc>
        <w:tc>
          <w:tcPr/>
          <w:p>
            <w:pPr>
              <w:pStyle w:val="Compact"/>
              <w:jc w:val="right"/>
            </w:pPr>
            <w:r>
              <w:t xml:space="preserve">Passengers</w:t>
            </w:r>
          </w:p>
        </w:tc>
        <w:tc>
          <w:tcPr/>
          <w:p>
            <w:pPr>
              <w:pStyle w:val="Compact"/>
              <w:jc w:val="right"/>
            </w:pPr>
            <w:r>
              <w:t xml:space="preserve">Drivers</w:t>
            </w:r>
          </w:p>
        </w:tc>
        <w:tc>
          <w:tcPr/>
          <w:p>
            <w:pPr>
              <w:pStyle w:val="Compact"/>
              <w:jc w:val="right"/>
            </w:pPr>
            <w:r>
              <w:t xml:space="preserve">Combined</w:t>
            </w:r>
          </w:p>
        </w:tc>
        <w:tc>
          <w:tcPr/>
          <w:p>
            <w:pPr>
              <w:pStyle w:val="Compact"/>
              <w:jc w:val="left"/>
            </w:pPr>
            <w:r>
              <w:t xml:space="preserve">Interpretation</w:t>
            </w:r>
          </w:p>
        </w:tc>
        <w:tc>
          <w:tcPr/>
          <w:p>
            <w:pPr>
              <w:pStyle w:val="Compact"/>
              <w:jc w:val="right"/>
            </w:pPr>
            <w:r>
              <w:t xml:space="preserve">t</w:t>
            </w:r>
          </w:p>
        </w:tc>
        <w:tc>
          <w:tcPr/>
          <w:p>
            <w:pPr>
              <w:pStyle w:val="Compact"/>
              <w:jc w:val="right"/>
            </w:pPr>
            <w:r>
              <w:t xml:space="preserve">p</w:t>
            </w:r>
          </w:p>
        </w:tc>
        <w:tc>
          <w:tcPr/>
          <w:p>
            <w:pPr>
              <w:pStyle w:val="Compact"/>
              <w:jc w:val="left"/>
            </w:pPr>
            <w:r>
              <w:t xml:space="preserve">Decision</w:t>
            </w:r>
          </w:p>
        </w:tc>
      </w:tr>
      <w:tr>
        <w:tc>
          <w:tcPr/>
          <w:p>
            <w:pPr>
              <w:pStyle w:val="Compact"/>
              <w:jc w:val="left"/>
            </w:pPr>
            <w:r>
              <w:t xml:space="preserve">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[Tables 19 to 21 are to be completed following data collection. Item-level responses are to be recorded in Appendix G, and the computations in Appendix H. The independent samples t-test is evaluated at a 0.05 level of significance; the decision column records whether the null hypothesis of no difference between passenger and driver evaluations is rejected.]</w:t>
      </w:r>
    </w:p>
    <w:bookmarkEnd w:id="165"/>
    <w:bookmarkStart w:id="166" w:name="interpretation"/>
    <w:p>
      <w:pPr>
        <w:pStyle w:val="Heading3"/>
      </w:pPr>
      <w:r>
        <w:t xml:space="preserve">Interpretation</w:t>
      </w:r>
    </w:p>
    <w:p>
      <w:pPr>
        <w:pStyle w:val="FirstParagraph"/>
      </w:pPr>
      <w:r>
        <w:rPr>
          <w:iCs/>
          <w:i/>
        </w:rPr>
        <w:t xml:space="preserve">[To be written once the results are available. The interpretation should address each characteristic in turn, relate the figures to the corresponding objective in Section 1.3, account for any characteristic that scores materially lower than the others, and consider whether passenger and driver evaluations diverge and why. The open-ended responses in Part III of the instrument should be summarized here and used to explain the numbers rather than repeat them.]</w:t>
      </w:r>
    </w:p>
    <w:p>
      <w:r>
        <w:br w:type="page"/>
      </w:r>
    </w:p>
    <w:bookmarkEnd w:id="166"/>
    <w:bookmarkEnd w:id="167"/>
    <w:bookmarkEnd w:id="168"/>
    <w:bookmarkStart w:id="169" w:name="chapter-5"/>
    <w:p>
      <w:pPr>
        <w:pStyle w:val="Heading1"/>
      </w:pPr>
      <w:r>
        <w:t xml:space="preserve">Chapter 5</w:t>
      </w:r>
    </w:p>
    <w:bookmarkEnd w:id="169"/>
    <w:bookmarkStart w:id="174" w:name="summary-conclusions-and-recommendations"/>
    <w:p>
      <w:pPr>
        <w:pStyle w:val="Heading1"/>
      </w:pPr>
      <w:r>
        <w:t xml:space="preserve">SUMMARY, CONCLUSIONS AND RECOMMENDATIONS</w:t>
      </w:r>
    </w:p>
    <w:bookmarkStart w:id="170" w:name="summary-of-findings"/>
    <w:p>
      <w:pPr>
        <w:pStyle w:val="Heading2"/>
      </w:pPr>
      <w:r>
        <w:t xml:space="preserve">5.1 Summary of Findings</w:t>
      </w:r>
    </w:p>
    <w:p>
      <w:pPr>
        <w:pStyle w:val="FirstParagraph"/>
      </w:pPr>
      <w:r>
        <w:t xml:space="preserve">This study set out to develop and evaluate a Smart Tricycle Ride and Driver Onboarding System for Talibon Polytechnic College. The findings are summarized against the four questions posed in Section 1.4.</w:t>
      </w:r>
    </w:p>
    <w:p>
      <w:pPr>
        <w:pStyle w:val="BodyText"/>
      </w:pPr>
      <w:r>
        <w:rPr>
          <w:bCs/>
          <w:b/>
        </w:rPr>
        <w:t xml:space="preserve">On the problems in the current arrangement.</w:t>
      </w:r>
      <w:r>
        <w:t xml:space="preserve"> </w:t>
      </w:r>
      <w:r>
        <w:t xml:space="preserve">The needs assessment identified four problems in tricycle service around the campus: waiting time that a passenger cannot predict because no information about nearby drivers is available; driver capacity left idle because a waiting driver and a waiting passenger cannot see each other; fare uncertainty arising from a schedule that is authoritative but posted only at terminals; and an absence of accountability, there being no registration, verification, or record of who carried whom.</w:t>
      </w:r>
    </w:p>
    <w:p>
      <w:pPr>
        <w:pStyle w:val="BodyText"/>
      </w:pPr>
      <w:r>
        <w:rPr>
          <w:iCs/>
          <w:i/>
        </w:rPr>
        <w:t xml:space="preserve">[The frequency and percentage distribution of needs assessment responses is to be inserted here following data collection.]</w:t>
      </w:r>
    </w:p>
    <w:p>
      <w:pPr>
        <w:pStyle w:val="BodyText"/>
      </w:pPr>
      <w:r>
        <w:rPr>
          <w:bCs/>
          <w:b/>
        </w:rPr>
        <w:t xml:space="preserve">On the features the system should include.</w:t>
      </w:r>
      <w:r>
        <w:t xml:space="preserve"> </w:t>
      </w:r>
      <w:r>
        <w:t xml:space="preserve">The requirements analysis produced forty-three functional requirements and seventeen non-functional requirements, all of which were implemented. The features fall into four groups: ride scheduling and booking; driver onboarding and verification; fare computation from the published FeTODAT schedule; and notification, monitoring, and reporting. One requirement emerged from the study environment rather than from the reviewed literature: because fares in Talibon are fixed per destination by municipal ordinance rather than computed from distance, the system prices rides by lookup against the published schedule, honours the minimum fares of ₱25.00 and ₱20.00, and provides a separate rate column for senior citizens, persons with disabilities, and students.</w:t>
      </w:r>
    </w:p>
    <w:p>
      <w:pPr>
        <w:pStyle w:val="BodyText"/>
      </w:pPr>
      <w:r>
        <w:rPr>
          <w:bCs/>
          <w:b/>
        </w:rPr>
        <w:t xml:space="preserve">On the effectiveness of the system.</w:t>
      </w:r>
    </w:p>
    <w:p>
      <w:pPr>
        <w:pStyle w:val="BodyText"/>
      </w:pPr>
      <w:r>
        <w:rPr>
          <w:iCs/>
          <w:i/>
        </w:rPr>
        <w:t xml:space="preserve">[To be completed following data collection, drawing on Tables 19 to 21.]</w:t>
      </w:r>
    </w:p>
    <w:p>
      <w:pPr>
        <w:pStyle w:val="BodyText"/>
      </w:pPr>
      <w:r>
        <w:rPr>
          <w:bCs/>
          <w:b/>
        </w:rPr>
        <w:t xml:space="preserve">On the difference between passenger and driver evaluations.</w:t>
      </w:r>
    </w:p>
    <w:p>
      <w:pPr>
        <w:pStyle w:val="BodyText"/>
      </w:pPr>
      <w:r>
        <w:rPr>
          <w:iCs/>
          <w:i/>
        </w:rPr>
        <w:t xml:space="preserve">[To be completed following the t-test computation recorded in Table 22 and Appendix H.]</w:t>
      </w:r>
    </w:p>
    <w:bookmarkEnd w:id="170"/>
    <w:bookmarkStart w:id="171" w:name="conclusions"/>
    <w:p>
      <w:pPr>
        <w:pStyle w:val="Heading2"/>
      </w:pPr>
      <w:r>
        <w:t xml:space="preserve">5.2 Conclusions</w:t>
      </w:r>
    </w:p>
    <w:p>
      <w:pPr>
        <w:pStyle w:val="FirstParagraph"/>
      </w:pPr>
      <w:r>
        <w:rPr>
          <w:iCs/>
          <w:i/>
        </w:rPr>
        <w:t xml:space="preserve">[To be written once the evaluation results are available. The conclusions should follow directly from the findings in Section 5.1 and should be stated against each of the six specific objectives in Section 1.3, rather than restating what the system does. Conclusions that the evidence does not support should not be drawn; where a characteristic scored lower, that should be stated plainly.]</w:t>
      </w:r>
    </w:p>
    <w:p>
      <w:pPr>
        <w:pStyle w:val="BodyText"/>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71"/>
    <w:bookmarkStart w:id="172"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2"/>
    <w:bookmarkStart w:id="173" w:name="future-enhancements"/>
    <w:p>
      <w:pPr>
        <w:pStyle w:val="Heading2"/>
      </w:pPr>
      <w:r>
        <w:t xml:space="preserve">5.4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Only stops an administrator has positioned appear on the map. Surveying the coordinates of all 240, which a group of students with phones could do in a few afternoons, would let a passenger pick a destination from the map and have the system snap to the nearest posted stop rather than search a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73"/>
    <w:bookmarkEnd w:id="174"/>
    <w:bookmarkStart w:id="175"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Rogers, E. M. (2003).</w:t>
      </w:r>
      <w:r>
        <w:t xml:space="preserve"> </w:t>
      </w:r>
      <w:r>
        <w:rPr>
          <w:iCs/>
          <w:i/>
        </w:rPr>
        <w:t xml:space="preserve">Diffusion of innovations</w:t>
      </w:r>
      <w:r>
        <w:t xml:space="preserve"> </w:t>
      </w:r>
      <w:r>
        <w:t xml:space="preserve">(5th ed.). Free Press.</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75"/>
    <w:bookmarkStart w:id="202" w:name="appendices"/>
    <w:p>
      <w:pPr>
        <w:pStyle w:val="Heading1"/>
      </w:pPr>
      <w:r>
        <w:t xml:space="preserve">APPENDICES</w:t>
      </w:r>
    </w:p>
    <w:bookmarkStart w:id="176"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76"/>
    <w:bookmarkStart w:id="177"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7"/>
    <w:bookmarkStart w:id="180"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8"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8"/>
    <w:bookmarkStart w:id="179"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9"/>
    <w:bookmarkEnd w:id="180"/>
    <w:bookmarkStart w:id="181" w:name="Xa0f1431884eca17d668bc46bc3532e12d11e1c0"/>
    <w:p>
      <w:pPr>
        <w:pStyle w:val="Heading2"/>
      </w:pPr>
      <w:r>
        <w:t xml:space="preserve">Appendix D — Legal Documents Presented In-App</w:t>
      </w:r>
    </w:p>
    <w:p>
      <w:pPr>
        <w:pStyle w:val="FirstParagraph"/>
      </w:pPr>
      <w:r>
        <w:t xml:space="preserve">The following documents are carried inside the application, are readable at any time from</w:t>
      </w:r>
      <w:r>
        <w:t xml:space="preserve"> </w:t>
      </w:r>
      <w:r>
        <w:t xml:space="preserve">the profile screen, and must be accepted before the service becomes available. They are</w:t>
      </w:r>
      <w:r>
        <w:t xml:space="preserve"> </w:t>
      </w:r>
      <w:r>
        <w:t xml:space="preserve">reproduced here as issued, effective 28 July 2026.</w:t>
      </w:r>
    </w:p>
    <w:p>
      <w:pPr>
        <w:pStyle w:val="BodyText"/>
      </w:pPr>
      <w:r>
        <w:rPr>
          <w:bCs/>
          <w:b/>
        </w:rPr>
        <w:t xml:space="preserve">D.1 Terms and Conditions.</w:t>
      </w:r>
      <w:r>
        <w:t xml:space="preserve"> </w:t>
      </w:r>
      <w:r>
        <w:t xml:space="preserve">Ten sections covering eligibility, account registration,</w:t>
      </w:r>
      <w:r>
        <w:t xml:space="preserve"> </w:t>
      </w:r>
      <w:r>
        <w:t xml:space="preserve">ride booking obligations for passengers and drivers, prohibited activities, limitation of</w:t>
      </w:r>
      <w:r>
        <w:t xml:space="preserve"> </w:t>
      </w:r>
      <w:r>
        <w:t xml:space="preserve">liability, account suspension, intellectual property, amendments, governing rules, and</w:t>
      </w:r>
      <w:r>
        <w:t xml:space="preserve"> </w:t>
      </w:r>
      <w:r>
        <w:t xml:space="preserve">acceptance.</w:t>
      </w:r>
    </w:p>
    <w:p>
      <w:pPr>
        <w:pStyle w:val="BodyText"/>
      </w:pPr>
      <w:r>
        <w:rPr>
          <w:bCs/>
          <w:b/>
        </w:rPr>
        <w:t xml:space="preserve">D.2 Privacy Policy.</w:t>
      </w:r>
      <w:r>
        <w:t xml:space="preserve"> </w:t>
      </w:r>
      <w:r>
        <w:t xml:space="preserve">Eight sections covering what is collected, how it is used,</w:t>
      </w:r>
      <w:r>
        <w:t xml:space="preserve"> </w:t>
      </w:r>
      <w:r>
        <w:t xml:space="preserve">location, storage, sharing, user choices, children, and contact.</w:t>
      </w:r>
    </w:p>
    <w:p>
      <w:pPr>
        <w:pStyle w:val="BodyText"/>
      </w:pPr>
      <w:r>
        <w:rPr>
          <w:bCs/>
          <w:b/>
        </w:rPr>
        <w:t xml:space="preserve">D.3 Safety and Community Guidelines.</w:t>
      </w:r>
      <w:r>
        <w:t xml:space="preserve"> </w:t>
      </w:r>
      <w:r>
        <w:t xml:space="preserve">Commitment, respect, safe riding, driver</w:t>
      </w:r>
      <w:r>
        <w:t xml:space="preserve"> </w:t>
      </w:r>
      <w:r>
        <w:t xml:space="preserve">responsibilities, passenger responsibilities, prohibited conduct, reporting safety</w:t>
      </w:r>
      <w:r>
        <w:t xml:space="preserve"> </w:t>
      </w:r>
      <w:r>
        <w:t xml:space="preserve">concerns, and account enforcement.</w:t>
      </w:r>
    </w:p>
    <w:p>
      <w:pPr>
        <w:pStyle w:val="BodyText"/>
      </w:pPr>
      <w:r>
        <w:rPr>
          <w:bCs/>
          <w:b/>
        </w:rPr>
        <w:t xml:space="preserve">D.4 Driver Agreement.</w:t>
      </w:r>
      <w:r>
        <w:t xml:space="preserve"> </w:t>
      </w:r>
      <w:r>
        <w:t xml:space="preserve">Driver eligibility, driver responsibilities, professional</w:t>
      </w:r>
      <w:r>
        <w:t xml:space="preserve"> </w:t>
      </w:r>
      <w:r>
        <w:t xml:space="preserve">conduct, safety requirements, suspension and termination, limitation of responsibility,</w:t>
      </w:r>
      <w:r>
        <w:t xml:space="preserve"> </w:t>
      </w:r>
      <w:r>
        <w:t xml:space="preserve">and agreement.</w:t>
      </w:r>
    </w:p>
    <w:p>
      <w:pPr>
        <w:pStyle w:val="BodyText"/>
      </w:pPr>
      <w:r>
        <w:rPr>
          <w:iCs/>
          <w:i/>
        </w:rPr>
        <w:t xml:space="preserve">[Insert the full text of each document here. The text held in the application is</w:t>
      </w:r>
      <w:r>
        <w:rPr>
          <w:iCs/>
          <w:i/>
        </w:rPr>
        <w:t xml:space="preserve"> </w:t>
      </w:r>
      <w:r>
        <w:rPr>
          <w:iCs/>
          <w:i/>
        </w:rPr>
        <w:t xml:space="preserve">reproduced verbatim from the issued documents; the source is</w:t>
      </w:r>
      <w:r>
        <w:rPr>
          <w:iCs/>
          <w:i/>
        </w:rPr>
        <w:t xml:space="preserve"> </w:t>
      </w:r>
      <w:r>
        <w:rPr>
          <w:rStyle w:val="VerbatimChar"/>
          <w:iCs/>
          <w:i/>
        </w:rPr>
        <w:t xml:space="preserve">app/src/main/java/com/tpc/trikride/ui/screens/LegalScreen.kt</w:t>
      </w:r>
      <w:r>
        <w:rPr>
          <w:iCs/>
          <w:i/>
        </w:rPr>
        <w:t xml:space="preserve">.]</w:t>
      </w:r>
    </w:p>
    <w:bookmarkEnd w:id="181"/>
    <w:bookmarkStart w:id="182" w:name="appendix-e-interview-guide"/>
    <w:p>
      <w:pPr>
        <w:pStyle w:val="Heading2"/>
      </w:pPr>
      <w:r>
        <w:t xml:space="preserve">Appendix E — Interview Guide</w:t>
      </w:r>
    </w:p>
    <w:p>
      <w:pPr>
        <w:pStyle w:val="FirstParagraph"/>
      </w:pPr>
      <w:r>
        <w:t xml:space="preserve">Semi-structured interviews were conducted with officers of the drivers’ association and with a subset of driver-respondents, to obtain context that a Likert instrument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2"/>
    <w:bookmarkStart w:id="183"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3"/>
    <w:bookmarkStart w:id="184" w:name="appendix-g-raw-data"/>
    <w:p>
      <w:pPr>
        <w:pStyle w:val="Heading2"/>
      </w:pPr>
      <w:r>
        <w:t xml:space="preserve">Appendix G — Raw Data</w:t>
      </w:r>
    </w:p>
    <w:p>
      <w:pPr>
        <w:pStyle w:val="FirstParagraph"/>
      </w:pPr>
      <w:r>
        <w:rPr>
          <w:iCs/>
          <w:i/>
        </w:rPr>
        <w:t xml:space="preserve">[Item-level responses are to be tabulated here following data collection, as one row per respondent and one column per questionnaire item, separately for passengers and for drivers, together with the transcribed open-ended responses.]</w:t>
      </w:r>
    </w:p>
    <w:bookmarkEnd w:id="184"/>
    <w:bookmarkStart w:id="185" w:name="appendix-h-statistical-computation"/>
    <w:p>
      <w:pPr>
        <w:pStyle w:val="Heading2"/>
      </w:pPr>
      <w:r>
        <w:t xml:space="preserve">Appendix H — Statistical Computation</w:t>
      </w:r>
    </w:p>
    <w:p>
      <w:pPr>
        <w:pStyle w:val="FirstParagraph"/>
      </w:pPr>
      <w:r>
        <w:rPr>
          <w:iCs/>
          <w:i/>
        </w:rPr>
        <w:t xml:space="preserve">[The computation of the sample size using Slovin’s formula, the weighted mean computation for each item and each characteristic, and the independent samples t-test comparing passenger and driver evaluations are to be shown here.]</w:t>
      </w:r>
    </w:p>
    <w:p>
      <w:pPr>
        <w:pStyle w:val="BodyText"/>
      </w:pPr>
      <w:r>
        <w:rPr>
          <w:bCs/>
          <w:b/>
        </w:rPr>
        <w:t xml:space="preserve">Slovin’s formula</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rPr>
          <w:bCs/>
          <w:b/>
        </w:rPr>
        <w:t xml:space="preserve">Weighted mean</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rPr>
          <w:bCs/>
          <w:b/>
        </w:rPr>
        <w:t xml:space="preserve">Independent samples t-test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t xml:space="preserve">evaluated at</w:t>
      </w:r>
      <w:r>
        <w:t xml:space="preserve"> </w:t>
      </w:r>
      <m:oMath>
        <m:r>
          <m:t>α</m:t>
        </m:r>
        <m:r>
          <m:rPr>
            <m:sty m:val="p"/>
          </m:rPr>
          <m:t>=</m:t>
        </m:r>
        <m:r>
          <m:t>0.05</m:t>
        </m:r>
      </m:oMath>
      <w:r>
        <w:t xml:space="preserve">.</w:t>
      </w:r>
    </w:p>
    <w:bookmarkEnd w:id="185"/>
    <w:bookmarkStart w:id="186" w:name="appendix-i-system-screenshots"/>
    <w:p>
      <w:pPr>
        <w:pStyle w:val="Heading2"/>
      </w:pPr>
      <w:r>
        <w:t xml:space="preserve">Appendix I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86"/>
    <w:bookmarkStart w:id="187" w:name="appendix-j-user-manual"/>
    <w:p>
      <w:pPr>
        <w:pStyle w:val="Heading2"/>
      </w:pPr>
      <w:r>
        <w:t xml:space="preserve">Appendix J — User Manual</w:t>
      </w:r>
    </w:p>
    <w:p>
      <w:pPr>
        <w:pStyle w:val="FirstParagraph"/>
      </w:pPr>
      <w:r>
        <w:rPr>
          <w:iCs/>
          <w:i/>
        </w:rPr>
        <w:t xml:space="preserve">[The complete illustrated manual is to accompany this appendix. Its structure is given below.]</w:t>
      </w:r>
    </w:p>
    <w:p>
      <w:pPr>
        <w:pStyle w:val="BodyText"/>
      </w:pPr>
      <w:r>
        <w:rPr>
          <w:bCs/>
          <w:b/>
        </w:rPr>
        <w:t xml:space="preserve">Part 1 — Installation.</w:t>
      </w:r>
      <w:r>
        <w:t xml:space="preserve"> </w:t>
      </w:r>
      <w:r>
        <w:t xml:space="preserve">Obtaining the installation package; permitting installation from outside the application store; installing; first launch.</w:t>
      </w:r>
    </w:p>
    <w:p>
      <w:pPr>
        <w:pStyle w:val="BodyText"/>
      </w:pPr>
      <w:r>
        <w:rPr>
          <w:bCs/>
          <w:b/>
        </w:rPr>
        <w:t xml:space="preserve">Part 2 — For Passengers.</w:t>
      </w:r>
      <w:r>
        <w:t xml:space="preserve"> </w:t>
      </w:r>
      <w:r>
        <w:t xml:space="preserve">Registering an account; the password rules; reading and accepting the Terms and Conditions, Privacy Policy and Safety and Community Guidelines; signing in and staying signed in; setting a profile photograph; booking a ride step by step; understanding the fare breakdown; choosing the discounted rate and what identification to bring; tracking a ride; rating a driver; viewing history; reporting a concern; reading notifications; switching to dark theme; signing out.</w:t>
      </w:r>
    </w:p>
    <w:p>
      <w:pPr>
        <w:pStyle w:val="BodyText"/>
      </w:pPr>
      <w:r>
        <w:rPr>
          <w:bCs/>
          <w:b/>
        </w:rPr>
        <w:t xml:space="preserve">Part 3 — For Drivers.</w:t>
      </w:r>
      <w:r>
        <w:t xml:space="preserve"> </w:t>
      </w:r>
      <w:r>
        <w:t xml:space="preserve">Registering; accepting the Driver Agreement; submitting licence and tricycle details; what happens while verification is pending; going online and offline; reading a request card; accepting before the countdown expires; advancing a ride through its stages; viewing earnings and history; reporting a concern.</w:t>
      </w:r>
    </w:p>
    <w:p>
      <w:pPr>
        <w:pStyle w:val="BodyText"/>
      </w:pPr>
      <w:r>
        <w:rPr>
          <w:bCs/>
          <w:b/>
        </w:rPr>
        <w:t xml:space="preserve">Part 4 — For Administrators.</w:t>
      </w:r>
      <w:r>
        <w:t xml:space="preserve"> </w:t>
      </w:r>
      <w:r>
        <w:t xml:space="preserve">Signing in as an administrator; verifying and rejecting driver applications, including review of the submitted licence photograph; loading the official fare table for the first time; searching and filtering the fare table; correcting an entry and clearing its review flag; adding and deactivating entries; editing the minimum fares and flat rates; reviewing and resolving concerns; reading the live monitor; selecting a report period, including a range between two dates; exporting and sharing a report in either format.</w:t>
      </w:r>
    </w:p>
    <w:p>
      <w:pPr>
        <w:pStyle w:val="BodyText"/>
      </w:pPr>
      <w:r>
        <w:rPr>
          <w:bCs/>
          <w:b/>
        </w:rPr>
        <w:t xml:space="preserve">Part 5 — Troubleshooting.</w:t>
      </w:r>
      <w:r>
        <w:t xml:space="preserve"> </w:t>
      </w:r>
      <w:r>
        <w:t xml:space="preserve">The application says it cannot reach the database; a booking will not submit; no drivers appear to be online; a fare looks wrong; a photograph will not upload; how to report a problem.</w:t>
      </w:r>
    </w:p>
    <w:bookmarkEnd w:id="187"/>
    <w:bookmarkStart w:id="188" w:name="appendix-k-source-code"/>
    <w:p>
      <w:pPr>
        <w:pStyle w:val="Heading2"/>
      </w:pPr>
      <w:r>
        <w:t xml:space="preserve">Appendix K — Source Code</w:t>
      </w:r>
    </w:p>
    <w:p>
      <w:pPr>
        <w:pStyle w:val="FirstParagraph"/>
      </w:pPr>
      <w:r>
        <w:t xml:space="preserve">The complete source code of the system is maintained in a Git repository and is available on request. 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188"/>
    <w:bookmarkStart w:id="189" w:name="appendix-l-database-schema"/>
    <w:p>
      <w:pPr>
        <w:pStyle w:val="Heading2"/>
      </w:pPr>
      <w:r>
        <w:t xml:space="preserve">Appendix L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189"/>
    <w:bookmarkStart w:id="190" w:name="appendix-m-test-cases"/>
    <w:p>
      <w:pPr>
        <w:pStyle w:val="Heading2"/>
      </w:pPr>
      <w:r>
        <w:t xml:space="preserve">Appendix M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190"/>
    <w:bookmarkStart w:id="191" w:name="appendix-n-test-results"/>
    <w:p>
      <w:pPr>
        <w:pStyle w:val="Heading2"/>
      </w:pPr>
      <w:r>
        <w:t xml:space="preserve">Appendix N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191"/>
    <w:bookmarkStart w:id="192" w:name="appendix-o-sample-reports"/>
    <w:p>
      <w:pPr>
        <w:pStyle w:val="Heading2"/>
      </w:pPr>
      <w:r>
        <w:t xml:space="preserve">Appendix O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192"/>
    <w:bookmarkStart w:id="193" w:name="X83f387f02dc84d4b5cd83e28dcea5394680be49"/>
    <w:p>
      <w:pPr>
        <w:pStyle w:val="Heading2"/>
      </w:pPr>
      <w:r>
        <w:t xml:space="preserve">Appendix P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193"/>
    <w:bookmarkStart w:id="197" w:name="appendix-q-gantt-chart"/>
    <w:p>
      <w:pPr>
        <w:pStyle w:val="Heading2"/>
      </w:pPr>
      <w:r>
        <w:t xml:space="preserve">Appendix Q — Gantt Chart</w:t>
      </w:r>
    </w:p>
    <w:p>
      <w:pPr>
        <w:pStyle w:val="CaptionedFigure"/>
      </w:pPr>
      <w:r>
        <w:drawing>
          <wp:inline>
            <wp:extent cx="5486400" cy="2674620"/>
            <wp:effectExtent b="0" l="0" r="0" t="0"/>
            <wp:docPr descr="Figure 14. Gantt Chart of Project Activities" title="" id="195" name="Picture"/>
            <a:graphic>
              <a:graphicData uri="http://schemas.openxmlformats.org/drawingml/2006/picture">
                <pic:pic>
                  <pic:nvPicPr>
                    <pic:cNvPr descr="figures/fig14_gantt.png" id="196" name="Picture"/>
                    <pic:cNvPicPr>
                      <a:picLocks noChangeArrowheads="1" noChangeAspect="1"/>
                    </pic:cNvPicPr>
                  </pic:nvPicPr>
                  <pic:blipFill>
                    <a:blip r:embed="rId19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197"/>
    <w:bookmarkStart w:id="201" w:name="appendix-r-researchers-biodata"/>
    <w:p>
      <w:pPr>
        <w:pStyle w:val="Heading2"/>
      </w:pPr>
      <w:r>
        <w:t xml:space="preserve">Appendix R — Researchers’ Biodata</w:t>
      </w:r>
    </w:p>
    <w:bookmarkStart w:id="19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198"/>
    <w:bookmarkStart w:id="19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199"/>
    <w:bookmarkStart w:id="20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00"/>
    <w:bookmarkEnd w:id="201"/>
    <w:bookmarkEnd w:id="20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34" Target="media/rId134.png" /><Relationship Type="http://schemas.openxmlformats.org/officeDocument/2006/relationships/image" Id="rId194" Target="media/rId19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2026-08-22T08:22:15Z</dcterms:created>
  <dcterms:modified xsi:type="dcterms:W3CDTF">2026-08-22T08:22:15Z</dcterms:modified>
</cp:coreProperties>
</file>

<file path=docProps/custom.xml><?xml version="1.0" encoding="utf-8"?>
<Properties xmlns="http://schemas.openxmlformats.org/officeDocument/2006/custom-properties" xmlns:vt="http://schemas.openxmlformats.org/officeDocument/2006/docPropsVTypes"/>
</file>