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D708A" w14:textId="77777777" w:rsidR="00C4272E" w:rsidRDefault="00441DE2">
      <w:pPr>
        <w:pStyle w:val="Heading1"/>
        <w:spacing w:before="64"/>
      </w:pPr>
      <w:r>
        <w:t>SELLING RESTRICTIONS</w:t>
      </w:r>
    </w:p>
    <w:p w14:paraId="09E35C8A" w14:textId="77777777" w:rsidR="00C4272E" w:rsidRDefault="00C4272E">
      <w:pPr>
        <w:pStyle w:val="BodyText"/>
        <w:rPr>
          <w:b/>
          <w:sz w:val="25"/>
        </w:rPr>
      </w:pPr>
    </w:p>
    <w:p w14:paraId="7261DE04" w14:textId="77777777" w:rsidR="00C4272E" w:rsidRDefault="00441DE2">
      <w:pPr>
        <w:pStyle w:val="BodyText"/>
        <w:spacing w:line="256" w:lineRule="auto"/>
        <w:ind w:left="100" w:right="99" w:firstLine="720"/>
        <w:jc w:val="both"/>
      </w:pPr>
      <w:r>
        <w:t>No action may be taken in any jurisdiction that would permit a public offering of the Securities or the possession, circulation or distribution of an Offering Memorandum relating to the Securities in any jurisdiction where action for that purpose is required. Accordingly, the Tokens may not be offered or sold, directly or indirectly, and neither such Offering Memorandum nor any other offering material or advertisements in connection with the Tokens may be distributed or published in or from any country or jurisdiction except under circumstances that will result in compliance with any applicable rules and regulations of any such country or jurisdiction.</w:t>
      </w:r>
    </w:p>
    <w:p w14:paraId="2F8F2F06" w14:textId="77777777" w:rsidR="00C4272E" w:rsidRDefault="00C4272E">
      <w:pPr>
        <w:pStyle w:val="BodyText"/>
        <w:rPr>
          <w:sz w:val="23"/>
        </w:rPr>
      </w:pPr>
    </w:p>
    <w:p w14:paraId="230BBE7E" w14:textId="77777777" w:rsidR="00C4272E" w:rsidRDefault="00441DE2">
      <w:pPr>
        <w:pStyle w:val="Heading1"/>
        <w:spacing w:before="1"/>
      </w:pPr>
      <w:r>
        <w:t>Notice to Prospective Purchasers in Australia</w:t>
      </w:r>
    </w:p>
    <w:p w14:paraId="14979BED" w14:textId="77777777" w:rsidR="00C4272E" w:rsidRDefault="00C4272E">
      <w:pPr>
        <w:pStyle w:val="BodyText"/>
        <w:spacing w:before="10"/>
        <w:rPr>
          <w:b/>
          <w:sz w:val="24"/>
        </w:rPr>
      </w:pPr>
    </w:p>
    <w:p w14:paraId="174596C3" w14:textId="77777777" w:rsidR="00C4272E" w:rsidRDefault="00441DE2">
      <w:pPr>
        <w:pStyle w:val="BodyText"/>
        <w:spacing w:before="1" w:line="256" w:lineRule="auto"/>
        <w:ind w:left="100" w:right="99" w:firstLine="720"/>
        <w:jc w:val="both"/>
      </w:pPr>
      <w:r>
        <w:t>No information on this website or in any advertisement or o</w:t>
      </w:r>
      <w:r w:rsidR="00EC3886">
        <w:t>ther materials provided by ANS</w:t>
      </w:r>
      <w:r>
        <w:t xml:space="preserve"> or otherwise relating to the Securities, has been, will be, or needs to be, lodged with the Australian Securities &amp; Investments Commission. The website and any such material is not a product disclosure statement under Division 2 of Part 7.9 of the Corporations Act 2001 (CTH) (the “Australia Act”) nor is it a prospectus under Chapter 6D of the Australia Act, and the Securities have not been, and will not be, registered as a managed investment scheme under the Australia Act.</w:t>
      </w:r>
    </w:p>
    <w:p w14:paraId="63B56B23" w14:textId="77777777" w:rsidR="00C4272E" w:rsidRDefault="00C4272E">
      <w:pPr>
        <w:pStyle w:val="BodyText"/>
        <w:spacing w:before="1"/>
        <w:rPr>
          <w:sz w:val="23"/>
        </w:rPr>
      </w:pPr>
    </w:p>
    <w:p w14:paraId="41DC15AD" w14:textId="77777777" w:rsidR="00C4272E" w:rsidRDefault="00441DE2">
      <w:pPr>
        <w:pStyle w:val="BodyText"/>
        <w:spacing w:line="256" w:lineRule="auto"/>
        <w:ind w:left="100" w:right="102" w:firstLine="720"/>
        <w:jc w:val="both"/>
      </w:pPr>
      <w:r>
        <w:t xml:space="preserve">An offer of the Securities is made in Australia only to “wholesale clients” as defined by the Australia Act (“Wholesale Clients”), and can only be accepted by a recipient if </w:t>
      </w:r>
      <w:proofErr w:type="gramStart"/>
      <w:r>
        <w:t>they</w:t>
      </w:r>
      <w:proofErr w:type="gramEnd"/>
      <w:r>
        <w:t xml:space="preserve"> are </w:t>
      </w:r>
      <w:proofErr w:type="gramStart"/>
      <w:r>
        <w:t>a Wholesale Client</w:t>
      </w:r>
      <w:proofErr w:type="gramEnd"/>
      <w:r>
        <w:t>. No Securities will be issued or arranged to be issued, and no recommendations to acquire Securities will be made, which would require the provision of a product disclosure statement under Division 2 of Part 7.9 of the Australia Act or the provision of a financial services guide or a statement of advice under Division 2 or 3 of Part 7.7 of the Australia Act.</w:t>
      </w:r>
    </w:p>
    <w:p w14:paraId="33386045" w14:textId="77777777" w:rsidR="00C4272E" w:rsidRDefault="00C4272E">
      <w:pPr>
        <w:pStyle w:val="BodyText"/>
        <w:spacing w:before="1"/>
        <w:rPr>
          <w:sz w:val="23"/>
        </w:rPr>
      </w:pPr>
    </w:p>
    <w:p w14:paraId="14D2096A" w14:textId="77777777" w:rsidR="00C4272E" w:rsidRDefault="00441DE2">
      <w:pPr>
        <w:pStyle w:val="BodyText"/>
        <w:spacing w:line="256" w:lineRule="auto"/>
        <w:ind w:left="100" w:right="103" w:firstLine="720"/>
        <w:jc w:val="both"/>
      </w:pPr>
      <w:r>
        <w:t>Neither such material relating to the Securities nor any other disclosure document in relation to the Securities can be partially or wholly distributed, published, reproduced, transmitted or otherwise made available or disclosed by recipients to any other person in Australia.</w:t>
      </w:r>
    </w:p>
    <w:p w14:paraId="58BFF2E2" w14:textId="77777777" w:rsidR="00C4272E" w:rsidRDefault="00C4272E">
      <w:pPr>
        <w:pStyle w:val="BodyText"/>
        <w:spacing w:before="4"/>
        <w:rPr>
          <w:sz w:val="23"/>
        </w:rPr>
      </w:pPr>
    </w:p>
    <w:p w14:paraId="56D5BDF6" w14:textId="77777777" w:rsidR="00C4272E" w:rsidRDefault="00441DE2">
      <w:pPr>
        <w:pStyle w:val="Heading1"/>
        <w:ind w:left="820"/>
      </w:pPr>
      <w:r>
        <w:t>Notice to Prospective Purchasers in the European Economic Area</w:t>
      </w:r>
    </w:p>
    <w:p w14:paraId="60E57BDA" w14:textId="77777777" w:rsidR="00C4272E" w:rsidRDefault="00C4272E">
      <w:pPr>
        <w:pStyle w:val="BodyText"/>
        <w:spacing w:before="11"/>
        <w:rPr>
          <w:b/>
          <w:sz w:val="24"/>
        </w:rPr>
      </w:pPr>
    </w:p>
    <w:p w14:paraId="5ECD5334" w14:textId="77777777" w:rsidR="00C4272E" w:rsidRDefault="00441DE2">
      <w:pPr>
        <w:pStyle w:val="BodyText"/>
        <w:spacing w:line="256" w:lineRule="auto"/>
        <w:ind w:left="100" w:right="104" w:firstLine="720"/>
        <w:jc w:val="both"/>
      </w:pPr>
      <w:r>
        <w:t>In relation to each Member State of the European Economic Area (each a “Member State”), which has implemented the Prospectus Directive, the Company has represented and agreed that with effect from and including the date on which the Prospectus Directive is implemented in that Member State it has not made and will not make an offer of the Securities to the public in a Member State, except that it may, with effect from and including such date, make an offer of Securities in a Member State at any time under the following exemptions as provided by the Prospectus</w:t>
      </w:r>
      <w:r>
        <w:rPr>
          <w:spacing w:val="-24"/>
        </w:rPr>
        <w:t xml:space="preserve"> </w:t>
      </w:r>
      <w:r>
        <w:t>Directive:</w:t>
      </w:r>
    </w:p>
    <w:p w14:paraId="05FDD925" w14:textId="77777777" w:rsidR="00C4272E" w:rsidRDefault="00C4272E">
      <w:pPr>
        <w:pStyle w:val="BodyText"/>
        <w:spacing w:before="1"/>
        <w:rPr>
          <w:sz w:val="23"/>
        </w:rPr>
      </w:pPr>
    </w:p>
    <w:p w14:paraId="76801F74" w14:textId="77777777" w:rsidR="00C4272E" w:rsidRDefault="00441DE2">
      <w:pPr>
        <w:pStyle w:val="ListParagraph"/>
        <w:numPr>
          <w:ilvl w:val="0"/>
          <w:numId w:val="2"/>
        </w:numPr>
        <w:tabs>
          <w:tab w:val="left" w:pos="1119"/>
        </w:tabs>
        <w:ind w:firstLine="0"/>
      </w:pPr>
      <w:proofErr w:type="gramStart"/>
      <w:r>
        <w:t>to</w:t>
      </w:r>
      <w:proofErr w:type="gramEnd"/>
      <w:r>
        <w:t xml:space="preserve"> legal entities which are qualified investors, as defined in the Prospectus</w:t>
      </w:r>
      <w:r>
        <w:rPr>
          <w:spacing w:val="-36"/>
        </w:rPr>
        <w:t xml:space="preserve"> </w:t>
      </w:r>
      <w:r>
        <w:t>Directive;</w:t>
      </w:r>
    </w:p>
    <w:p w14:paraId="2C439C21" w14:textId="77777777" w:rsidR="00C4272E" w:rsidRDefault="00C4272E">
      <w:pPr>
        <w:pStyle w:val="BodyText"/>
        <w:rPr>
          <w:sz w:val="25"/>
        </w:rPr>
      </w:pPr>
    </w:p>
    <w:p w14:paraId="38C9628C" w14:textId="77777777" w:rsidR="00C4272E" w:rsidRDefault="00441DE2">
      <w:pPr>
        <w:pStyle w:val="ListParagraph"/>
        <w:numPr>
          <w:ilvl w:val="0"/>
          <w:numId w:val="2"/>
        </w:numPr>
        <w:tabs>
          <w:tab w:val="left" w:pos="1132"/>
        </w:tabs>
        <w:spacing w:line="256" w:lineRule="auto"/>
        <w:ind w:right="893" w:firstLine="0"/>
      </w:pPr>
      <w:proofErr w:type="gramStart"/>
      <w:r>
        <w:t>to</w:t>
      </w:r>
      <w:proofErr w:type="gramEnd"/>
      <w:r>
        <w:rPr>
          <w:spacing w:val="-5"/>
        </w:rPr>
        <w:t xml:space="preserve"> </w:t>
      </w:r>
      <w:r>
        <w:t>fewer</w:t>
      </w:r>
      <w:r>
        <w:rPr>
          <w:spacing w:val="-5"/>
        </w:rPr>
        <w:t xml:space="preserve"> </w:t>
      </w:r>
      <w:r>
        <w:t>than</w:t>
      </w:r>
      <w:r>
        <w:rPr>
          <w:spacing w:val="-5"/>
        </w:rPr>
        <w:t xml:space="preserve"> </w:t>
      </w:r>
      <w:r>
        <w:t>150</w:t>
      </w:r>
      <w:r>
        <w:rPr>
          <w:spacing w:val="-5"/>
        </w:rPr>
        <w:t xml:space="preserve"> </w:t>
      </w:r>
      <w:r>
        <w:t>natural</w:t>
      </w:r>
      <w:r>
        <w:rPr>
          <w:spacing w:val="-5"/>
        </w:rPr>
        <w:t xml:space="preserve"> </w:t>
      </w:r>
      <w:r>
        <w:t>or</w:t>
      </w:r>
      <w:r>
        <w:rPr>
          <w:spacing w:val="-5"/>
        </w:rPr>
        <w:t xml:space="preserve"> </w:t>
      </w:r>
      <w:r>
        <w:t>legal</w:t>
      </w:r>
      <w:r>
        <w:rPr>
          <w:spacing w:val="-5"/>
        </w:rPr>
        <w:t xml:space="preserve"> </w:t>
      </w:r>
      <w:r>
        <w:t>persons</w:t>
      </w:r>
      <w:r>
        <w:rPr>
          <w:spacing w:val="-5"/>
        </w:rPr>
        <w:t xml:space="preserve"> </w:t>
      </w:r>
      <w:r>
        <w:t>(other</w:t>
      </w:r>
      <w:r>
        <w:rPr>
          <w:spacing w:val="-5"/>
        </w:rPr>
        <w:t xml:space="preserve"> </w:t>
      </w:r>
      <w:r>
        <w:t>than</w:t>
      </w:r>
      <w:r>
        <w:rPr>
          <w:spacing w:val="-5"/>
        </w:rPr>
        <w:t xml:space="preserve"> </w:t>
      </w:r>
      <w:r>
        <w:t>qualified</w:t>
      </w:r>
      <w:r>
        <w:rPr>
          <w:spacing w:val="-5"/>
        </w:rPr>
        <w:t xml:space="preserve"> </w:t>
      </w:r>
      <w:r>
        <w:t>investors</w:t>
      </w:r>
      <w:r>
        <w:rPr>
          <w:spacing w:val="-5"/>
        </w:rPr>
        <w:t xml:space="preserve"> </w:t>
      </w:r>
      <w:r>
        <w:t>as</w:t>
      </w:r>
      <w:r>
        <w:rPr>
          <w:spacing w:val="-5"/>
        </w:rPr>
        <w:t xml:space="preserve"> </w:t>
      </w:r>
      <w:r>
        <w:t>defined</w:t>
      </w:r>
      <w:r>
        <w:rPr>
          <w:spacing w:val="-5"/>
        </w:rPr>
        <w:t xml:space="preserve"> </w:t>
      </w:r>
      <w:r>
        <w:t>in the Prospectus Directive), as permitted under the Prospective</w:t>
      </w:r>
      <w:r>
        <w:rPr>
          <w:spacing w:val="-20"/>
        </w:rPr>
        <w:t xml:space="preserve"> </w:t>
      </w:r>
      <w:r>
        <w:t>Directive;</w:t>
      </w:r>
    </w:p>
    <w:p w14:paraId="20D6766B" w14:textId="77777777" w:rsidR="00C4272E" w:rsidRDefault="00C4272E">
      <w:pPr>
        <w:pStyle w:val="BodyText"/>
        <w:spacing w:before="4"/>
        <w:rPr>
          <w:sz w:val="23"/>
        </w:rPr>
      </w:pPr>
    </w:p>
    <w:p w14:paraId="5E89AD61" w14:textId="77777777" w:rsidR="00C4272E" w:rsidRDefault="00441DE2">
      <w:pPr>
        <w:pStyle w:val="ListParagraph"/>
        <w:numPr>
          <w:ilvl w:val="0"/>
          <w:numId w:val="2"/>
        </w:numPr>
        <w:tabs>
          <w:tab w:val="left" w:pos="1119"/>
        </w:tabs>
        <w:spacing w:line="256" w:lineRule="auto"/>
        <w:ind w:right="1070" w:firstLine="0"/>
      </w:pPr>
      <w:proofErr w:type="gramStart"/>
      <w:r>
        <w:t>in</w:t>
      </w:r>
      <w:proofErr w:type="gramEnd"/>
      <w:r>
        <w:rPr>
          <w:spacing w:val="-6"/>
        </w:rPr>
        <w:t xml:space="preserve"> </w:t>
      </w:r>
      <w:r>
        <w:t>any</w:t>
      </w:r>
      <w:r>
        <w:rPr>
          <w:spacing w:val="-6"/>
        </w:rPr>
        <w:t xml:space="preserve"> </w:t>
      </w:r>
      <w:r>
        <w:t>other</w:t>
      </w:r>
      <w:r>
        <w:rPr>
          <w:spacing w:val="-6"/>
        </w:rPr>
        <w:t xml:space="preserve"> </w:t>
      </w:r>
      <w:r>
        <w:t>circumstances</w:t>
      </w:r>
      <w:r>
        <w:rPr>
          <w:spacing w:val="-6"/>
        </w:rPr>
        <w:t xml:space="preserve"> </w:t>
      </w:r>
      <w:r>
        <w:t>falling</w:t>
      </w:r>
      <w:r>
        <w:rPr>
          <w:spacing w:val="-6"/>
        </w:rPr>
        <w:t xml:space="preserve"> </w:t>
      </w:r>
      <w:r>
        <w:t>within</w:t>
      </w:r>
      <w:r>
        <w:rPr>
          <w:spacing w:val="-6"/>
        </w:rPr>
        <w:t xml:space="preserve"> </w:t>
      </w:r>
      <w:r>
        <w:t>the</w:t>
      </w:r>
      <w:r>
        <w:rPr>
          <w:spacing w:val="-6"/>
        </w:rPr>
        <w:t xml:space="preserve"> </w:t>
      </w:r>
      <w:r>
        <w:t>scope</w:t>
      </w:r>
      <w:r>
        <w:rPr>
          <w:spacing w:val="-6"/>
        </w:rPr>
        <w:t xml:space="preserve"> </w:t>
      </w:r>
      <w:r>
        <w:t>of</w:t>
      </w:r>
      <w:r>
        <w:rPr>
          <w:spacing w:val="-6"/>
        </w:rPr>
        <w:t xml:space="preserve"> </w:t>
      </w:r>
      <w:r>
        <w:t>Article</w:t>
      </w:r>
      <w:r>
        <w:rPr>
          <w:spacing w:val="-6"/>
        </w:rPr>
        <w:t xml:space="preserve"> </w:t>
      </w:r>
      <w:r>
        <w:t>3(2)</w:t>
      </w:r>
      <w:r>
        <w:rPr>
          <w:spacing w:val="-6"/>
        </w:rPr>
        <w:t xml:space="preserve"> </w:t>
      </w:r>
      <w:r>
        <w:t>of</w:t>
      </w:r>
      <w:r>
        <w:rPr>
          <w:spacing w:val="-6"/>
        </w:rPr>
        <w:t xml:space="preserve"> </w:t>
      </w:r>
      <w:r>
        <w:t>the</w:t>
      </w:r>
      <w:r>
        <w:rPr>
          <w:spacing w:val="-6"/>
        </w:rPr>
        <w:t xml:space="preserve"> </w:t>
      </w:r>
      <w:r>
        <w:t>Prospectus Directive.</w:t>
      </w:r>
    </w:p>
    <w:p w14:paraId="62CD3927" w14:textId="77777777" w:rsidR="00C4272E" w:rsidRDefault="00C4272E">
      <w:pPr>
        <w:spacing w:line="256" w:lineRule="auto"/>
        <w:sectPr w:rsidR="00C4272E">
          <w:footerReference w:type="even" r:id="rId8"/>
          <w:footerReference w:type="default" r:id="rId9"/>
          <w:type w:val="continuous"/>
          <w:pgSz w:w="12240" w:h="15840"/>
          <w:pgMar w:top="1380" w:right="1340" w:bottom="1160" w:left="1340" w:header="720" w:footer="971" w:gutter="0"/>
          <w:cols w:space="720"/>
        </w:sectPr>
      </w:pPr>
    </w:p>
    <w:p w14:paraId="761681FA" w14:textId="77777777" w:rsidR="00C4272E" w:rsidRDefault="00441DE2">
      <w:pPr>
        <w:pStyle w:val="BodyText"/>
        <w:spacing w:before="64" w:line="256" w:lineRule="auto"/>
        <w:ind w:left="100" w:right="101" w:firstLine="720"/>
        <w:jc w:val="both"/>
      </w:pPr>
      <w:r>
        <w:lastRenderedPageBreak/>
        <w:t>For the purposes of the above, (</w:t>
      </w:r>
      <w:proofErr w:type="spellStart"/>
      <w:r>
        <w:t>i</w:t>
      </w:r>
      <w:proofErr w:type="spellEnd"/>
      <w:r>
        <w:t>) the expression an “offer of the Securities to the public” in relation to any Securities in any Member State means the communication in any form and by any means of sufficient information on the terms of the Offering and the Securities to be offered so as to enable an investor to decide to purchase or subscribe the Securities, as the same may be varied in that Member State by any measure implementing the Prospectus Directive in that Member State and (ii) the expression “Prospectus Directive” means Directive 2003/71/EC (and amendments thereto, including Directive 2010/73/EU), and includes any relevant implementing measure in each Member</w:t>
      </w:r>
      <w:r>
        <w:rPr>
          <w:spacing w:val="-24"/>
        </w:rPr>
        <w:t xml:space="preserve"> </w:t>
      </w:r>
      <w:r>
        <w:t>State.</w:t>
      </w:r>
    </w:p>
    <w:p w14:paraId="58855AD7" w14:textId="77777777" w:rsidR="00C4272E" w:rsidRDefault="00C4272E">
      <w:pPr>
        <w:pStyle w:val="BodyText"/>
        <w:spacing w:before="1"/>
        <w:rPr>
          <w:sz w:val="23"/>
        </w:rPr>
      </w:pPr>
    </w:p>
    <w:p w14:paraId="0EFAD03C" w14:textId="77777777" w:rsidR="00C4272E" w:rsidRDefault="00441DE2">
      <w:pPr>
        <w:pStyle w:val="Heading1"/>
      </w:pPr>
      <w:r>
        <w:t>Notice to Purchasers in France</w:t>
      </w:r>
    </w:p>
    <w:p w14:paraId="47135760" w14:textId="77777777" w:rsidR="00C4272E" w:rsidRDefault="00C4272E">
      <w:pPr>
        <w:pStyle w:val="BodyText"/>
        <w:spacing w:before="11"/>
        <w:rPr>
          <w:b/>
          <w:sz w:val="24"/>
        </w:rPr>
      </w:pPr>
    </w:p>
    <w:p w14:paraId="4C0BE5F3" w14:textId="3C42B832" w:rsidR="00C4272E" w:rsidRDefault="00441DE2">
      <w:pPr>
        <w:pStyle w:val="BodyText"/>
        <w:spacing w:line="256" w:lineRule="auto"/>
        <w:ind w:left="100" w:right="100" w:firstLine="720"/>
        <w:jc w:val="both"/>
      </w:pPr>
      <w:r>
        <w:t>The Offering is not being made, directly or indirectly, to the public in the Republic of France ("France"). No information on this website or in any advertisement or other materials provided by</w:t>
      </w:r>
      <w:r w:rsidR="004E7DE4">
        <w:t xml:space="preserve"> </w:t>
      </w:r>
      <w:proofErr w:type="spellStart"/>
      <w:r w:rsidR="004E7DE4">
        <w:t>SaveCoin</w:t>
      </w:r>
      <w:proofErr w:type="spellEnd"/>
      <w:r>
        <w:t xml:space="preserve"> or otherwise relating to the Offering have been or will be distributed to the public in France and only (</w:t>
      </w:r>
      <w:proofErr w:type="spellStart"/>
      <w:r>
        <w:t>i</w:t>
      </w:r>
      <w:proofErr w:type="spellEnd"/>
      <w:r>
        <w:t>) providers of investment services relating to portfolio management for the account of third parties (</w:t>
      </w:r>
      <w:proofErr w:type="spellStart"/>
      <w:r>
        <w:rPr>
          <w:i/>
        </w:rPr>
        <w:t>personnes</w:t>
      </w:r>
      <w:proofErr w:type="spellEnd"/>
      <w:r>
        <w:rPr>
          <w:i/>
        </w:rPr>
        <w:t xml:space="preserve"> </w:t>
      </w:r>
      <w:proofErr w:type="spellStart"/>
      <w:r>
        <w:rPr>
          <w:i/>
        </w:rPr>
        <w:t>fournissant</w:t>
      </w:r>
      <w:proofErr w:type="spellEnd"/>
      <w:r>
        <w:rPr>
          <w:i/>
        </w:rPr>
        <w:t xml:space="preserve"> le service </w:t>
      </w:r>
      <w:proofErr w:type="spellStart"/>
      <w:r>
        <w:rPr>
          <w:i/>
        </w:rPr>
        <w:t>d'investissement</w:t>
      </w:r>
      <w:proofErr w:type="spellEnd"/>
      <w:r>
        <w:rPr>
          <w:i/>
        </w:rPr>
        <w:t xml:space="preserve"> de </w:t>
      </w:r>
      <w:proofErr w:type="spellStart"/>
      <w:r>
        <w:rPr>
          <w:i/>
        </w:rPr>
        <w:t>gestion</w:t>
      </w:r>
      <w:proofErr w:type="spellEnd"/>
      <w:r>
        <w:rPr>
          <w:i/>
        </w:rPr>
        <w:t xml:space="preserve"> de </w:t>
      </w:r>
      <w:proofErr w:type="spellStart"/>
      <w:r>
        <w:rPr>
          <w:i/>
        </w:rPr>
        <w:t>portefeuille</w:t>
      </w:r>
      <w:proofErr w:type="spellEnd"/>
      <w:r>
        <w:rPr>
          <w:i/>
        </w:rPr>
        <w:t xml:space="preserve"> pour </w:t>
      </w:r>
      <w:proofErr w:type="spellStart"/>
      <w:r>
        <w:rPr>
          <w:i/>
        </w:rPr>
        <w:t>compte</w:t>
      </w:r>
      <w:proofErr w:type="spellEnd"/>
      <w:r>
        <w:rPr>
          <w:i/>
        </w:rPr>
        <w:t xml:space="preserve"> de tiers</w:t>
      </w:r>
      <w:r>
        <w:t>) and/or</w:t>
      </w:r>
    </w:p>
    <w:p w14:paraId="7F818094" w14:textId="5139E258" w:rsidR="00C4272E" w:rsidRDefault="00441DE2">
      <w:pPr>
        <w:pStyle w:val="BodyText"/>
        <w:spacing w:line="256" w:lineRule="auto"/>
        <w:ind w:left="100" w:right="101"/>
        <w:jc w:val="both"/>
      </w:pPr>
      <w:r>
        <w:t xml:space="preserve">(ii) </w:t>
      </w:r>
      <w:proofErr w:type="gramStart"/>
      <w:r>
        <w:t>qualified</w:t>
      </w:r>
      <w:proofErr w:type="gramEnd"/>
      <w:r>
        <w:t xml:space="preserve"> investors (</w:t>
      </w:r>
      <w:proofErr w:type="spellStart"/>
      <w:r>
        <w:rPr>
          <w:i/>
        </w:rPr>
        <w:t>investisseurs</w:t>
      </w:r>
      <w:proofErr w:type="spellEnd"/>
      <w:r>
        <w:rPr>
          <w:i/>
        </w:rPr>
        <w:t xml:space="preserve"> </w:t>
      </w:r>
      <w:proofErr w:type="spellStart"/>
      <w:r>
        <w:rPr>
          <w:i/>
        </w:rPr>
        <w:t>qualifiés</w:t>
      </w:r>
      <w:proofErr w:type="spellEnd"/>
      <w:r>
        <w:t xml:space="preserve">) acting for their own account (other than individuals), and all as defined in, and in accordance with, Articles L.411-1, L.411-2, D.411-1 and D.411-4, D.734-1, D.744-1, D.754-1 and D.764-1 of the French </w:t>
      </w:r>
      <w:r>
        <w:rPr>
          <w:i/>
        </w:rPr>
        <w:t xml:space="preserve">Code </w:t>
      </w:r>
      <w:proofErr w:type="spellStart"/>
      <w:r>
        <w:rPr>
          <w:i/>
        </w:rPr>
        <w:t>Monétaire</w:t>
      </w:r>
      <w:proofErr w:type="spellEnd"/>
      <w:r>
        <w:rPr>
          <w:i/>
        </w:rPr>
        <w:t xml:space="preserve"> et Financier</w:t>
      </w:r>
      <w:r>
        <w:t xml:space="preserve">, are eligible to participate in the Offering. No information on this website or in any advertisement or other materials provided by </w:t>
      </w:r>
      <w:proofErr w:type="spellStart"/>
      <w:r w:rsidR="004E7DE4">
        <w:t>SaveCoin</w:t>
      </w:r>
      <w:proofErr w:type="spellEnd"/>
      <w:r>
        <w:t xml:space="preserve"> or otherwise relating to the Offering have been or will be submitted for clearance to or approved by the </w:t>
      </w:r>
      <w:proofErr w:type="spellStart"/>
      <w:r>
        <w:rPr>
          <w:i/>
        </w:rPr>
        <w:t>Autorité</w:t>
      </w:r>
      <w:proofErr w:type="spellEnd"/>
      <w:r>
        <w:rPr>
          <w:i/>
        </w:rPr>
        <w:t xml:space="preserve"> des </w:t>
      </w:r>
      <w:proofErr w:type="spellStart"/>
      <w:r>
        <w:rPr>
          <w:i/>
        </w:rPr>
        <w:t>marchés</w:t>
      </w:r>
      <w:proofErr w:type="spellEnd"/>
      <w:r>
        <w:rPr>
          <w:i/>
        </w:rPr>
        <w:t xml:space="preserve"> financiers</w:t>
      </w:r>
      <w:r>
        <w:t xml:space="preserve">. The direct or indirect distribution to the public in France of any so acquired Securities may be made only as provided by Articles L.411-1, L.411-2, L. 412-1 and L.621-8 to L.621-8-3 of the French </w:t>
      </w:r>
      <w:r>
        <w:rPr>
          <w:i/>
        </w:rPr>
        <w:t xml:space="preserve">Code </w:t>
      </w:r>
      <w:proofErr w:type="spellStart"/>
      <w:r>
        <w:rPr>
          <w:i/>
        </w:rPr>
        <w:t>Monétaire</w:t>
      </w:r>
      <w:proofErr w:type="spellEnd"/>
      <w:r>
        <w:rPr>
          <w:i/>
        </w:rPr>
        <w:t xml:space="preserve"> et financier </w:t>
      </w:r>
      <w:r>
        <w:t>and applicable regulations thereunder.</w:t>
      </w:r>
    </w:p>
    <w:p w14:paraId="262E9DC9" w14:textId="77777777" w:rsidR="00C4272E" w:rsidRDefault="00C4272E">
      <w:pPr>
        <w:pStyle w:val="BodyText"/>
        <w:spacing w:before="8"/>
      </w:pPr>
    </w:p>
    <w:p w14:paraId="6567F0C6" w14:textId="77777777" w:rsidR="00C4272E" w:rsidRDefault="00441DE2">
      <w:pPr>
        <w:pStyle w:val="BodyText"/>
        <w:spacing w:line="256" w:lineRule="auto"/>
        <w:ind w:left="100" w:firstLine="720"/>
      </w:pPr>
      <w:r>
        <w:t>Any such advertisement, and any related document or material, shall not be considered, nor construed, as any form of financial investment advice, solicitation or advertisement.</w:t>
      </w:r>
    </w:p>
    <w:p w14:paraId="5F8CC414" w14:textId="77777777" w:rsidR="00C4272E" w:rsidRDefault="00C4272E">
      <w:pPr>
        <w:pStyle w:val="BodyText"/>
        <w:spacing w:before="4"/>
        <w:rPr>
          <w:sz w:val="23"/>
        </w:rPr>
      </w:pPr>
    </w:p>
    <w:p w14:paraId="364B1F8A" w14:textId="77777777" w:rsidR="00C4272E" w:rsidRDefault="00441DE2">
      <w:pPr>
        <w:pStyle w:val="Heading1"/>
      </w:pPr>
      <w:r>
        <w:t>Notice to Prospective Purchasers in Hong Kong</w:t>
      </w:r>
    </w:p>
    <w:p w14:paraId="7B05B6AA" w14:textId="77777777" w:rsidR="00C4272E" w:rsidRDefault="00C4272E">
      <w:pPr>
        <w:pStyle w:val="BodyText"/>
        <w:rPr>
          <w:b/>
          <w:sz w:val="25"/>
        </w:rPr>
      </w:pPr>
    </w:p>
    <w:p w14:paraId="253D872E" w14:textId="77777777" w:rsidR="00C4272E" w:rsidRDefault="00441DE2" w:rsidP="00EC3886">
      <w:pPr>
        <w:pStyle w:val="BodyText"/>
        <w:spacing w:line="256" w:lineRule="auto"/>
        <w:ind w:left="100" w:right="100" w:firstLine="720"/>
        <w:jc w:val="both"/>
      </w:pPr>
      <w:r>
        <w:t>The Securities have not been offered or sold and will not be offered or sold in Hong Kong, by means of any document, other than to “professional investors” as defined in the Securities and Futures Ordinance (Cap. 571) of Hong Kong (the “SFO”) and any rules made thereunder, or in circumstances which do not result in the document being a “prospectus” as defined in the Companies (Winding up and Miscellaneous Provisions) Ordinance (Cap. 32) of Hong Kong or which do not constitute an offer to the public within the meaning of the Companies Ordinance (Cap. 622) of Hong Kong.</w:t>
      </w:r>
    </w:p>
    <w:p w14:paraId="4477A715" w14:textId="77777777" w:rsidR="00C4272E" w:rsidRDefault="00C4272E" w:rsidP="00EC3886">
      <w:pPr>
        <w:pStyle w:val="BodyText"/>
        <w:spacing w:before="1"/>
        <w:jc w:val="both"/>
        <w:rPr>
          <w:sz w:val="23"/>
        </w:rPr>
      </w:pPr>
    </w:p>
    <w:p w14:paraId="3D51B363" w14:textId="77777777" w:rsidR="00C4272E" w:rsidRDefault="00441DE2" w:rsidP="00EC3886">
      <w:pPr>
        <w:pStyle w:val="BodyText"/>
        <w:spacing w:line="256" w:lineRule="auto"/>
        <w:ind w:left="100" w:right="100" w:firstLine="720"/>
        <w:jc w:val="both"/>
      </w:pPr>
      <w:r>
        <w:t>No person has issued or had in its possession for the purposes of issue, or will issue or have in its possession of the purposes of issue, whether in Hong Kong or elsewhere, any advertisement, invitation or document relating to the Securities, which is directed at, or the contents of which are likely to be accessed or read by, the public in Hong Kong (except if permitted to do so under the securities laws of Hong Kong) other than with respect to the Securities which are or are intended to be disposed of only to persons outside Hong Kong or only to “professional investors” within the meaning of the SFO and any rules made thereunder.</w:t>
      </w:r>
    </w:p>
    <w:p w14:paraId="025B9FE1" w14:textId="77777777" w:rsidR="00C4272E" w:rsidRDefault="00C4272E" w:rsidP="00EC3886">
      <w:pPr>
        <w:pStyle w:val="BodyText"/>
        <w:spacing w:before="1"/>
        <w:jc w:val="both"/>
        <w:rPr>
          <w:sz w:val="23"/>
        </w:rPr>
      </w:pPr>
    </w:p>
    <w:p w14:paraId="10113616" w14:textId="77777777" w:rsidR="00C4272E" w:rsidRDefault="00441DE2" w:rsidP="00EC3886">
      <w:pPr>
        <w:pStyle w:val="Heading1"/>
        <w:jc w:val="both"/>
      </w:pPr>
      <w:r>
        <w:t>Notice to Prospect Investors in Israel</w:t>
      </w:r>
    </w:p>
    <w:p w14:paraId="7F549812" w14:textId="77777777" w:rsidR="00C4272E" w:rsidRDefault="00C4272E" w:rsidP="00EC3886">
      <w:pPr>
        <w:pStyle w:val="BodyText"/>
        <w:spacing w:before="11"/>
        <w:jc w:val="both"/>
        <w:rPr>
          <w:b/>
          <w:sz w:val="24"/>
        </w:rPr>
      </w:pPr>
    </w:p>
    <w:p w14:paraId="6B5AF694" w14:textId="18BED7AC" w:rsidR="00C4272E" w:rsidRDefault="00441DE2" w:rsidP="00EC3886">
      <w:pPr>
        <w:pStyle w:val="BodyText"/>
        <w:spacing w:line="256" w:lineRule="auto"/>
        <w:ind w:left="100" w:right="100" w:firstLine="720"/>
        <w:jc w:val="both"/>
      </w:pPr>
      <w:r>
        <w:t xml:space="preserve">Any information contained on the website, in any advertisement or any other materials provided by </w:t>
      </w:r>
      <w:proofErr w:type="spellStart"/>
      <w:r w:rsidR="004E7DE4">
        <w:t>SaveCoin</w:t>
      </w:r>
      <w:proofErr w:type="spellEnd"/>
      <w:r>
        <w:t xml:space="preserve"> relating to the Securities does not constitute a prospectus under the Israeli Securities Law,</w:t>
      </w:r>
    </w:p>
    <w:p w14:paraId="1BB27857" w14:textId="77777777" w:rsidR="00C4272E" w:rsidRDefault="00C4272E" w:rsidP="00EC3886">
      <w:pPr>
        <w:spacing w:line="256" w:lineRule="auto"/>
        <w:jc w:val="both"/>
        <w:sectPr w:rsidR="00C4272E">
          <w:pgSz w:w="12240" w:h="15840"/>
          <w:pgMar w:top="1380" w:right="1340" w:bottom="1160" w:left="1340" w:header="0" w:footer="971" w:gutter="0"/>
          <w:cols w:space="720"/>
        </w:sectPr>
      </w:pPr>
    </w:p>
    <w:p w14:paraId="28BF5CBA" w14:textId="77777777" w:rsidR="00C4272E" w:rsidRDefault="00441DE2" w:rsidP="00EC3886">
      <w:pPr>
        <w:pStyle w:val="BodyText"/>
        <w:spacing w:before="64" w:line="256" w:lineRule="auto"/>
        <w:ind w:left="100" w:right="236"/>
        <w:jc w:val="both"/>
      </w:pPr>
      <w:r>
        <w:lastRenderedPageBreak/>
        <w:t>5728-1968, and have not been filed with or approved by the Israel Securities Authority. In Israel, such advertisements and other materials shall be distributed only to, and is directed only at, investors listed in the first addendum, or the Addendum, to the Israeli Securities Law, consisting primarily of joint investment in trust funds, provident funds, insurance companies, banks, portfolio managers, investment advisors, members of the Tel Aviv Stock Exchange, underwriters purchasing for their own account, venture capital funds, and entities with shareholders’ equity in excess of NIS 250 million, each as defined in the Addendum (as it may be amended from time to time, collectively referred to as institutional investors). Institutional investors may be required to submit written confirmation that they fall within the scope of the Addendum. In addition, the Company may distribute and direct such advertisements or other materials in Israel, at its sole discretion, to certain other exempt investors or to investors who do not qualify as institutional or exempt investors, provided that the number of such</w:t>
      </w:r>
    </w:p>
    <w:p w14:paraId="50550B1C" w14:textId="77777777" w:rsidR="00C4272E" w:rsidRDefault="00441DE2" w:rsidP="00EC3886">
      <w:pPr>
        <w:pStyle w:val="BodyText"/>
        <w:spacing w:line="245" w:lineRule="exact"/>
        <w:ind w:left="100"/>
        <w:jc w:val="both"/>
      </w:pPr>
      <w:proofErr w:type="gramStart"/>
      <w:r>
        <w:t>non</w:t>
      </w:r>
      <w:proofErr w:type="gramEnd"/>
      <w:r>
        <w:t>-qualified investors in Israel shall be no greater than 35 in any 12-month period.</w:t>
      </w:r>
    </w:p>
    <w:p w14:paraId="69980C35" w14:textId="77777777" w:rsidR="00C4272E" w:rsidRDefault="00C4272E" w:rsidP="00EC3886">
      <w:pPr>
        <w:pStyle w:val="BodyText"/>
        <w:jc w:val="both"/>
        <w:rPr>
          <w:sz w:val="25"/>
        </w:rPr>
      </w:pPr>
    </w:p>
    <w:p w14:paraId="091941B2" w14:textId="77777777" w:rsidR="00C4272E" w:rsidRDefault="00441DE2" w:rsidP="00EC3886">
      <w:pPr>
        <w:pStyle w:val="Heading1"/>
        <w:jc w:val="both"/>
      </w:pPr>
      <w:r>
        <w:t>Notice to Prospective Purchasers in Singapore</w:t>
      </w:r>
    </w:p>
    <w:p w14:paraId="28FA077B" w14:textId="77777777" w:rsidR="00C4272E" w:rsidRDefault="00C4272E" w:rsidP="00EC3886">
      <w:pPr>
        <w:pStyle w:val="BodyText"/>
        <w:spacing w:before="11"/>
        <w:jc w:val="both"/>
        <w:rPr>
          <w:b/>
          <w:sz w:val="24"/>
        </w:rPr>
      </w:pPr>
    </w:p>
    <w:p w14:paraId="1AFDCDE8" w14:textId="72C4BC8A" w:rsidR="00C4272E" w:rsidRDefault="00441DE2" w:rsidP="00EC3886">
      <w:pPr>
        <w:pStyle w:val="BodyText"/>
        <w:spacing w:line="256" w:lineRule="auto"/>
        <w:ind w:left="100" w:firstLine="720"/>
        <w:jc w:val="both"/>
      </w:pPr>
      <w:r>
        <w:t xml:space="preserve">Each investor has acknowledged that any information contained on the website, in any advertisement or in any other materials provided by </w:t>
      </w:r>
      <w:proofErr w:type="spellStart"/>
      <w:r w:rsidR="004E7DE4">
        <w:t>SaveCoin</w:t>
      </w:r>
      <w:proofErr w:type="spellEnd"/>
      <w:r>
        <w:t xml:space="preserve"> relating to the Securities has not been and will not be registered as a prospectus with the Monetary Authority of Singapore (the “</w:t>
      </w:r>
      <w:r>
        <w:rPr>
          <w:b/>
        </w:rPr>
        <w:t>MAS</w:t>
      </w:r>
      <w:r>
        <w:t>”). Accordingly, such advertisements or other materials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w:t>
      </w:r>
      <w:proofErr w:type="spellStart"/>
      <w:r>
        <w:t>i</w:t>
      </w:r>
      <w:proofErr w:type="spellEnd"/>
      <w:r>
        <w:t>) to an institutional investor (as defined in Section 4A of the Securities and Futures Act (Chapter 289 of Singapore) (the “SFA”)) pursuant to Section 274 of the SFA, (ii) to a relevant person (as defined in Section 275(2) of the SFA) pursuant to Section 275(1) of the SFA, or any person pursuant to Section 275(1A) of the SFA, and in accordance with the conditions, specified in Section 275 of the SFA, or (iii) otherwise pursuant to, and in accordance with the conditions of, any other applicable provisions of the SFA.</w:t>
      </w:r>
    </w:p>
    <w:p w14:paraId="15D0F70E" w14:textId="77777777" w:rsidR="00C4272E" w:rsidRDefault="00C4272E" w:rsidP="00EC3886">
      <w:pPr>
        <w:pStyle w:val="BodyText"/>
        <w:spacing w:before="8"/>
        <w:jc w:val="both"/>
      </w:pPr>
    </w:p>
    <w:p w14:paraId="0CA2894A" w14:textId="77777777" w:rsidR="00C4272E" w:rsidRDefault="00441DE2" w:rsidP="00EC3886">
      <w:pPr>
        <w:pStyle w:val="BodyText"/>
        <w:spacing w:before="1" w:line="256" w:lineRule="auto"/>
        <w:ind w:left="100" w:firstLine="720"/>
        <w:jc w:val="both"/>
      </w:pPr>
      <w:r>
        <w:t>Where the Securities are subscribed or purchased under Section 275 of the SFA by a relevant person which is:</w:t>
      </w:r>
    </w:p>
    <w:p w14:paraId="52798E02" w14:textId="77777777" w:rsidR="00C4272E" w:rsidRDefault="00C4272E" w:rsidP="00EC3886">
      <w:pPr>
        <w:pStyle w:val="BodyText"/>
        <w:spacing w:before="4"/>
        <w:jc w:val="both"/>
        <w:rPr>
          <w:sz w:val="23"/>
        </w:rPr>
      </w:pPr>
    </w:p>
    <w:p w14:paraId="1C49D06D" w14:textId="77777777" w:rsidR="00C4272E" w:rsidRDefault="00441DE2" w:rsidP="00EC3886">
      <w:pPr>
        <w:pStyle w:val="ListParagraph"/>
        <w:numPr>
          <w:ilvl w:val="0"/>
          <w:numId w:val="1"/>
        </w:numPr>
        <w:tabs>
          <w:tab w:val="left" w:pos="819"/>
          <w:tab w:val="left" w:pos="820"/>
        </w:tabs>
        <w:spacing w:line="256" w:lineRule="auto"/>
        <w:ind w:right="197" w:firstLine="0"/>
        <w:jc w:val="both"/>
      </w:pPr>
      <w:proofErr w:type="gramStart"/>
      <w:r>
        <w:t>a</w:t>
      </w:r>
      <w:proofErr w:type="gramEnd"/>
      <w:r>
        <w:rPr>
          <w:spacing w:val="-5"/>
        </w:rPr>
        <w:t xml:space="preserve"> </w:t>
      </w:r>
      <w:r>
        <w:t>corporation</w:t>
      </w:r>
      <w:r>
        <w:rPr>
          <w:spacing w:val="-5"/>
        </w:rPr>
        <w:t xml:space="preserve"> </w:t>
      </w:r>
      <w:r>
        <w:t>(which</w:t>
      </w:r>
      <w:r>
        <w:rPr>
          <w:spacing w:val="-5"/>
        </w:rPr>
        <w:t xml:space="preserve"> </w:t>
      </w:r>
      <w:r>
        <w:t>is</w:t>
      </w:r>
      <w:r>
        <w:rPr>
          <w:spacing w:val="-5"/>
        </w:rPr>
        <w:t xml:space="preserve"> </w:t>
      </w:r>
      <w:r>
        <w:t>not</w:t>
      </w:r>
      <w:r>
        <w:rPr>
          <w:spacing w:val="-5"/>
        </w:rPr>
        <w:t xml:space="preserve"> </w:t>
      </w:r>
      <w:r>
        <w:t>an</w:t>
      </w:r>
      <w:r>
        <w:rPr>
          <w:spacing w:val="-5"/>
        </w:rPr>
        <w:t xml:space="preserve"> </w:t>
      </w:r>
      <w:r>
        <w:t>accredited</w:t>
      </w:r>
      <w:r>
        <w:rPr>
          <w:spacing w:val="-5"/>
        </w:rPr>
        <w:t xml:space="preserve"> </w:t>
      </w:r>
      <w:r>
        <w:t>investor</w:t>
      </w:r>
      <w:r>
        <w:rPr>
          <w:spacing w:val="-5"/>
        </w:rPr>
        <w:t xml:space="preserve"> </w:t>
      </w:r>
      <w:r>
        <w:t>(as</w:t>
      </w:r>
      <w:r>
        <w:rPr>
          <w:spacing w:val="-5"/>
        </w:rPr>
        <w:t xml:space="preserve"> </w:t>
      </w:r>
      <w:r>
        <w:t>defined</w:t>
      </w:r>
      <w:r>
        <w:rPr>
          <w:spacing w:val="-5"/>
        </w:rPr>
        <w:t xml:space="preserve"> </w:t>
      </w:r>
      <w:r>
        <w:t>in</w:t>
      </w:r>
      <w:r>
        <w:rPr>
          <w:spacing w:val="-5"/>
        </w:rPr>
        <w:t xml:space="preserve"> </w:t>
      </w:r>
      <w:r>
        <w:t>Section</w:t>
      </w:r>
      <w:r>
        <w:rPr>
          <w:spacing w:val="-5"/>
        </w:rPr>
        <w:t xml:space="preserve"> </w:t>
      </w:r>
      <w:r>
        <w:t>4A</w:t>
      </w:r>
      <w:r>
        <w:rPr>
          <w:spacing w:val="-5"/>
        </w:rPr>
        <w:t xml:space="preserve"> </w:t>
      </w:r>
      <w:r>
        <w:t>of</w:t>
      </w:r>
      <w:r>
        <w:rPr>
          <w:spacing w:val="-5"/>
        </w:rPr>
        <w:t xml:space="preserve"> </w:t>
      </w:r>
      <w:r>
        <w:t>the</w:t>
      </w:r>
      <w:r>
        <w:rPr>
          <w:spacing w:val="-5"/>
        </w:rPr>
        <w:t xml:space="preserve"> </w:t>
      </w:r>
      <w:r>
        <w:t>SFA))</w:t>
      </w:r>
      <w:r>
        <w:rPr>
          <w:spacing w:val="-5"/>
        </w:rPr>
        <w:t xml:space="preserve"> </w:t>
      </w:r>
      <w:r>
        <w:t>the</w:t>
      </w:r>
      <w:r>
        <w:rPr>
          <w:spacing w:val="-5"/>
        </w:rPr>
        <w:t xml:space="preserve"> </w:t>
      </w:r>
      <w:r>
        <w:t>sole business of which is to hold investments and the entire share capital of which is owned by one or more individuals, each of whom is an accredited investor;</w:t>
      </w:r>
      <w:r>
        <w:rPr>
          <w:spacing w:val="-12"/>
        </w:rPr>
        <w:t xml:space="preserve"> </w:t>
      </w:r>
      <w:r>
        <w:t>or</w:t>
      </w:r>
    </w:p>
    <w:p w14:paraId="56CD9613" w14:textId="77777777" w:rsidR="00C4272E" w:rsidRDefault="00C4272E" w:rsidP="00EC3886">
      <w:pPr>
        <w:pStyle w:val="BodyText"/>
        <w:spacing w:before="3"/>
        <w:jc w:val="both"/>
        <w:rPr>
          <w:sz w:val="23"/>
        </w:rPr>
      </w:pPr>
    </w:p>
    <w:p w14:paraId="280344C0" w14:textId="77777777" w:rsidR="00C4272E" w:rsidRDefault="00441DE2" w:rsidP="00EC3886">
      <w:pPr>
        <w:pStyle w:val="ListParagraph"/>
        <w:numPr>
          <w:ilvl w:val="0"/>
          <w:numId w:val="1"/>
        </w:numPr>
        <w:tabs>
          <w:tab w:val="left" w:pos="819"/>
          <w:tab w:val="left" w:pos="820"/>
        </w:tabs>
        <w:spacing w:line="256" w:lineRule="auto"/>
        <w:ind w:right="215" w:firstLine="0"/>
        <w:jc w:val="both"/>
      </w:pPr>
      <w:proofErr w:type="gramStart"/>
      <w:r>
        <w:t>a</w:t>
      </w:r>
      <w:proofErr w:type="gramEnd"/>
      <w:r>
        <w:rPr>
          <w:spacing w:val="-5"/>
        </w:rPr>
        <w:t xml:space="preserve"> </w:t>
      </w:r>
      <w:r>
        <w:t>trust</w:t>
      </w:r>
      <w:r>
        <w:rPr>
          <w:spacing w:val="-5"/>
        </w:rPr>
        <w:t xml:space="preserve"> </w:t>
      </w:r>
      <w:r>
        <w:t>(where</w:t>
      </w:r>
      <w:r>
        <w:rPr>
          <w:spacing w:val="-5"/>
        </w:rPr>
        <w:t xml:space="preserve"> </w:t>
      </w:r>
      <w:r>
        <w:t>the</w:t>
      </w:r>
      <w:r>
        <w:rPr>
          <w:spacing w:val="-5"/>
        </w:rPr>
        <w:t xml:space="preserve"> </w:t>
      </w:r>
      <w:r>
        <w:t>trustee</w:t>
      </w:r>
      <w:r>
        <w:rPr>
          <w:spacing w:val="-5"/>
        </w:rPr>
        <w:t xml:space="preserve"> </w:t>
      </w:r>
      <w:r>
        <w:t>is</w:t>
      </w:r>
      <w:r>
        <w:rPr>
          <w:spacing w:val="-5"/>
        </w:rPr>
        <w:t xml:space="preserve"> </w:t>
      </w:r>
      <w:r>
        <w:t>not</w:t>
      </w:r>
      <w:r>
        <w:rPr>
          <w:spacing w:val="-5"/>
        </w:rPr>
        <w:t xml:space="preserve"> </w:t>
      </w:r>
      <w:r>
        <w:t>an</w:t>
      </w:r>
      <w:r>
        <w:rPr>
          <w:spacing w:val="-5"/>
        </w:rPr>
        <w:t xml:space="preserve"> </w:t>
      </w:r>
      <w:r>
        <w:t>accredited</w:t>
      </w:r>
      <w:r>
        <w:rPr>
          <w:spacing w:val="-5"/>
        </w:rPr>
        <w:t xml:space="preserve"> </w:t>
      </w:r>
      <w:r>
        <w:t>investor)</w:t>
      </w:r>
      <w:r>
        <w:rPr>
          <w:spacing w:val="-5"/>
        </w:rPr>
        <w:t xml:space="preserve"> </w:t>
      </w:r>
      <w:r>
        <w:t>whose</w:t>
      </w:r>
      <w:r>
        <w:rPr>
          <w:spacing w:val="-5"/>
        </w:rPr>
        <w:t xml:space="preserve"> </w:t>
      </w:r>
      <w:r>
        <w:t>sole</w:t>
      </w:r>
      <w:r>
        <w:rPr>
          <w:spacing w:val="-5"/>
        </w:rPr>
        <w:t xml:space="preserve"> </w:t>
      </w:r>
      <w:r>
        <w:t>purpose</w:t>
      </w:r>
      <w:r>
        <w:rPr>
          <w:spacing w:val="-5"/>
        </w:rPr>
        <w:t xml:space="preserve"> </w:t>
      </w:r>
      <w:r>
        <w:t>is</w:t>
      </w:r>
      <w:r>
        <w:rPr>
          <w:spacing w:val="-5"/>
        </w:rPr>
        <w:t xml:space="preserve"> </w:t>
      </w:r>
      <w:r>
        <w:t>to</w:t>
      </w:r>
      <w:r>
        <w:rPr>
          <w:spacing w:val="-5"/>
        </w:rPr>
        <w:t xml:space="preserve"> </w:t>
      </w:r>
      <w:r>
        <w:t>hold</w:t>
      </w:r>
      <w:r>
        <w:rPr>
          <w:spacing w:val="-5"/>
        </w:rPr>
        <w:t xml:space="preserve"> </w:t>
      </w:r>
      <w:r>
        <w:t>investments and each beneficiary of the trust is an individual who is an accredited</w:t>
      </w:r>
      <w:r>
        <w:rPr>
          <w:spacing w:val="-26"/>
        </w:rPr>
        <w:t xml:space="preserve"> </w:t>
      </w:r>
      <w:r>
        <w:t>investor,</w:t>
      </w:r>
    </w:p>
    <w:p w14:paraId="2071382B" w14:textId="77777777" w:rsidR="00C4272E" w:rsidRDefault="00C4272E" w:rsidP="00EC3886">
      <w:pPr>
        <w:pStyle w:val="BodyText"/>
        <w:spacing w:before="4"/>
        <w:jc w:val="both"/>
        <w:rPr>
          <w:sz w:val="23"/>
        </w:rPr>
      </w:pPr>
    </w:p>
    <w:p w14:paraId="328488DD" w14:textId="77777777" w:rsidR="00C4272E" w:rsidRDefault="00441DE2" w:rsidP="00EC3886">
      <w:pPr>
        <w:pStyle w:val="BodyText"/>
        <w:spacing w:line="256" w:lineRule="auto"/>
        <w:ind w:left="100" w:right="236"/>
        <w:jc w:val="both"/>
      </w:pPr>
      <w:proofErr w:type="gramStart"/>
      <w:r>
        <w:t>securities</w:t>
      </w:r>
      <w:proofErr w:type="gramEnd"/>
      <w:r>
        <w:t xml:space="preserve"> (as defined in Section 239(1) of the SFA) of that corporation or the beneficiaries’ rights and interest (howsoever described) in that trust shall not be transferred within six months after that corporation or that trust has acquired the units, as the case may be, pursuant to an offer made under Section 275 of the SFA except:</w:t>
      </w:r>
    </w:p>
    <w:p w14:paraId="21834574" w14:textId="77777777" w:rsidR="00C4272E" w:rsidRDefault="00C4272E" w:rsidP="00EC3886">
      <w:pPr>
        <w:pStyle w:val="BodyText"/>
        <w:spacing w:before="3"/>
        <w:jc w:val="both"/>
        <w:rPr>
          <w:sz w:val="23"/>
        </w:rPr>
      </w:pPr>
    </w:p>
    <w:p w14:paraId="440C2B56" w14:textId="77777777" w:rsidR="00C4272E" w:rsidRDefault="00441DE2" w:rsidP="00EC3886">
      <w:pPr>
        <w:pStyle w:val="ListParagraph"/>
        <w:numPr>
          <w:ilvl w:val="1"/>
          <w:numId w:val="1"/>
        </w:numPr>
        <w:tabs>
          <w:tab w:val="left" w:pos="820"/>
        </w:tabs>
        <w:spacing w:line="256" w:lineRule="auto"/>
        <w:ind w:right="196" w:firstLine="0"/>
        <w:jc w:val="both"/>
      </w:pPr>
      <w:proofErr w:type="gramStart"/>
      <w:r>
        <w:t>to</w:t>
      </w:r>
      <w:proofErr w:type="gramEnd"/>
      <w:r>
        <w:t xml:space="preserve"> an institutional investor pursuant to Section 274 of the SFA or to a relevant person pursuant to Section</w:t>
      </w:r>
      <w:r>
        <w:rPr>
          <w:spacing w:val="-5"/>
        </w:rPr>
        <w:t xml:space="preserve"> </w:t>
      </w:r>
      <w:r>
        <w:t>275(1)</w:t>
      </w:r>
      <w:r>
        <w:rPr>
          <w:spacing w:val="-5"/>
        </w:rPr>
        <w:t xml:space="preserve"> </w:t>
      </w:r>
      <w:r>
        <w:t>of</w:t>
      </w:r>
      <w:r>
        <w:rPr>
          <w:spacing w:val="-5"/>
        </w:rPr>
        <w:t xml:space="preserve"> </w:t>
      </w:r>
      <w:r>
        <w:t>the</w:t>
      </w:r>
      <w:r>
        <w:rPr>
          <w:spacing w:val="-5"/>
        </w:rPr>
        <w:t xml:space="preserve"> </w:t>
      </w:r>
      <w:r>
        <w:t>SFA,</w:t>
      </w:r>
      <w:r>
        <w:rPr>
          <w:spacing w:val="-5"/>
        </w:rPr>
        <w:t xml:space="preserve"> </w:t>
      </w:r>
      <w:r>
        <w:t>or</w:t>
      </w:r>
      <w:r>
        <w:rPr>
          <w:spacing w:val="-5"/>
        </w:rPr>
        <w:t xml:space="preserve"> </w:t>
      </w:r>
      <w:r>
        <w:t>to</w:t>
      </w:r>
      <w:r>
        <w:rPr>
          <w:spacing w:val="-5"/>
        </w:rPr>
        <w:t xml:space="preserve"> </w:t>
      </w:r>
      <w:r>
        <w:t>any</w:t>
      </w:r>
      <w:r>
        <w:rPr>
          <w:spacing w:val="-5"/>
        </w:rPr>
        <w:t xml:space="preserve"> </w:t>
      </w:r>
      <w:r>
        <w:t>person</w:t>
      </w:r>
      <w:r>
        <w:rPr>
          <w:spacing w:val="-5"/>
        </w:rPr>
        <w:t xml:space="preserve"> </w:t>
      </w:r>
      <w:r>
        <w:t>pursuant</w:t>
      </w:r>
      <w:r>
        <w:rPr>
          <w:spacing w:val="-5"/>
        </w:rPr>
        <w:t xml:space="preserve"> </w:t>
      </w:r>
      <w:r>
        <w:t>arising</w:t>
      </w:r>
      <w:r>
        <w:rPr>
          <w:spacing w:val="-5"/>
        </w:rPr>
        <w:t xml:space="preserve"> </w:t>
      </w:r>
      <w:r>
        <w:t>from</w:t>
      </w:r>
      <w:r>
        <w:rPr>
          <w:spacing w:val="-5"/>
        </w:rPr>
        <w:t xml:space="preserve"> </w:t>
      </w:r>
      <w:r>
        <w:t>an</w:t>
      </w:r>
      <w:r>
        <w:rPr>
          <w:spacing w:val="-5"/>
        </w:rPr>
        <w:t xml:space="preserve"> </w:t>
      </w:r>
      <w:r>
        <w:t>offer</w:t>
      </w:r>
      <w:r>
        <w:rPr>
          <w:spacing w:val="-5"/>
        </w:rPr>
        <w:t xml:space="preserve"> </w:t>
      </w:r>
      <w:r>
        <w:t>referred</w:t>
      </w:r>
      <w:r>
        <w:rPr>
          <w:spacing w:val="-5"/>
        </w:rPr>
        <w:t xml:space="preserve"> </w:t>
      </w:r>
      <w:r>
        <w:t>to</w:t>
      </w:r>
      <w:r>
        <w:rPr>
          <w:spacing w:val="-5"/>
        </w:rPr>
        <w:t xml:space="preserve"> </w:t>
      </w:r>
      <w:r>
        <w:t>in</w:t>
      </w:r>
      <w:r>
        <w:rPr>
          <w:spacing w:val="-5"/>
        </w:rPr>
        <w:t xml:space="preserve"> </w:t>
      </w:r>
      <w:r>
        <w:t>Section</w:t>
      </w:r>
      <w:r>
        <w:rPr>
          <w:spacing w:val="-5"/>
        </w:rPr>
        <w:t xml:space="preserve"> </w:t>
      </w:r>
      <w:r>
        <w:t>275(1A) or Section 276(4)(</w:t>
      </w:r>
      <w:proofErr w:type="spellStart"/>
      <w:r>
        <w:t>i</w:t>
      </w:r>
      <w:proofErr w:type="spellEnd"/>
      <w:r>
        <w:t>)(B) of the</w:t>
      </w:r>
      <w:r>
        <w:rPr>
          <w:spacing w:val="-6"/>
        </w:rPr>
        <w:t xml:space="preserve"> </w:t>
      </w:r>
      <w:r>
        <w:t>SFA;</w:t>
      </w:r>
    </w:p>
    <w:p w14:paraId="21E764ED" w14:textId="77777777" w:rsidR="00C4272E" w:rsidRDefault="00C4272E" w:rsidP="00EC3886">
      <w:pPr>
        <w:pStyle w:val="BodyText"/>
        <w:spacing w:before="3"/>
        <w:jc w:val="both"/>
        <w:rPr>
          <w:sz w:val="23"/>
        </w:rPr>
      </w:pPr>
    </w:p>
    <w:p w14:paraId="4517940A" w14:textId="77777777" w:rsidR="00C4272E" w:rsidRDefault="00441DE2" w:rsidP="00EC3886">
      <w:pPr>
        <w:pStyle w:val="ListParagraph"/>
        <w:numPr>
          <w:ilvl w:val="1"/>
          <w:numId w:val="1"/>
        </w:numPr>
        <w:tabs>
          <w:tab w:val="left" w:pos="819"/>
          <w:tab w:val="left" w:pos="820"/>
        </w:tabs>
        <w:spacing w:before="1"/>
        <w:ind w:firstLine="0"/>
        <w:jc w:val="both"/>
      </w:pPr>
      <w:proofErr w:type="gramStart"/>
      <w:r>
        <w:t>where</w:t>
      </w:r>
      <w:proofErr w:type="gramEnd"/>
      <w:r>
        <w:t xml:space="preserve"> no consideration is or will be given for the</w:t>
      </w:r>
      <w:r>
        <w:rPr>
          <w:spacing w:val="-15"/>
        </w:rPr>
        <w:t xml:space="preserve"> </w:t>
      </w:r>
      <w:r>
        <w:t>transfer;</w:t>
      </w:r>
    </w:p>
    <w:p w14:paraId="34972976" w14:textId="77777777" w:rsidR="00C4272E" w:rsidRDefault="00C4272E" w:rsidP="00EC3886">
      <w:pPr>
        <w:jc w:val="both"/>
        <w:sectPr w:rsidR="00C4272E">
          <w:pgSz w:w="12240" w:h="15840"/>
          <w:pgMar w:top="1380" w:right="1340" w:bottom="1160" w:left="1340" w:header="0" w:footer="971" w:gutter="0"/>
          <w:cols w:space="720"/>
        </w:sectPr>
      </w:pPr>
    </w:p>
    <w:p w14:paraId="261E67F0" w14:textId="77777777" w:rsidR="00C4272E" w:rsidRDefault="00C4272E" w:rsidP="00EC3886">
      <w:pPr>
        <w:pStyle w:val="BodyText"/>
        <w:spacing w:before="9"/>
        <w:jc w:val="both"/>
        <w:rPr>
          <w:sz w:val="10"/>
        </w:rPr>
      </w:pPr>
    </w:p>
    <w:p w14:paraId="77863461" w14:textId="77777777" w:rsidR="00C4272E" w:rsidRDefault="00441DE2" w:rsidP="00EC3886">
      <w:pPr>
        <w:pStyle w:val="ListParagraph"/>
        <w:numPr>
          <w:ilvl w:val="1"/>
          <w:numId w:val="1"/>
        </w:numPr>
        <w:tabs>
          <w:tab w:val="left" w:pos="819"/>
          <w:tab w:val="left" w:pos="820"/>
        </w:tabs>
        <w:spacing w:before="90"/>
        <w:ind w:firstLine="0"/>
        <w:jc w:val="both"/>
      </w:pPr>
      <w:proofErr w:type="gramStart"/>
      <w:r>
        <w:t>where</w:t>
      </w:r>
      <w:proofErr w:type="gramEnd"/>
      <w:r>
        <w:t xml:space="preserve"> the transfer is by operation of</w:t>
      </w:r>
      <w:r>
        <w:rPr>
          <w:spacing w:val="-9"/>
        </w:rPr>
        <w:t xml:space="preserve"> </w:t>
      </w:r>
      <w:r>
        <w:t>law;</w:t>
      </w:r>
    </w:p>
    <w:p w14:paraId="72947767" w14:textId="77777777" w:rsidR="00C4272E" w:rsidRDefault="00C4272E" w:rsidP="00EC3886">
      <w:pPr>
        <w:pStyle w:val="BodyText"/>
        <w:jc w:val="both"/>
        <w:rPr>
          <w:sz w:val="25"/>
        </w:rPr>
      </w:pPr>
    </w:p>
    <w:p w14:paraId="44B5A886" w14:textId="77777777" w:rsidR="00C4272E" w:rsidRDefault="00441DE2" w:rsidP="00EC3886">
      <w:pPr>
        <w:pStyle w:val="ListParagraph"/>
        <w:numPr>
          <w:ilvl w:val="1"/>
          <w:numId w:val="1"/>
        </w:numPr>
        <w:tabs>
          <w:tab w:val="left" w:pos="819"/>
          <w:tab w:val="left" w:pos="820"/>
        </w:tabs>
        <w:ind w:firstLine="0"/>
        <w:jc w:val="both"/>
      </w:pPr>
      <w:proofErr w:type="gramStart"/>
      <w:r>
        <w:t>as</w:t>
      </w:r>
      <w:proofErr w:type="gramEnd"/>
      <w:r>
        <w:t xml:space="preserve"> specified in Section 276(7) of the SFA;</w:t>
      </w:r>
      <w:r>
        <w:rPr>
          <w:spacing w:val="-11"/>
        </w:rPr>
        <w:t xml:space="preserve"> </w:t>
      </w:r>
      <w:r>
        <w:t>and/or</w:t>
      </w:r>
    </w:p>
    <w:p w14:paraId="080EEB22" w14:textId="77777777" w:rsidR="00C4272E" w:rsidRDefault="00C4272E" w:rsidP="00EC3886">
      <w:pPr>
        <w:pStyle w:val="BodyText"/>
        <w:spacing w:before="11"/>
        <w:jc w:val="both"/>
        <w:rPr>
          <w:sz w:val="24"/>
        </w:rPr>
      </w:pPr>
    </w:p>
    <w:p w14:paraId="3F5F31A5" w14:textId="77777777" w:rsidR="00C4272E" w:rsidRDefault="00441DE2" w:rsidP="00EC3886">
      <w:pPr>
        <w:pStyle w:val="ListParagraph"/>
        <w:numPr>
          <w:ilvl w:val="1"/>
          <w:numId w:val="1"/>
        </w:numPr>
        <w:tabs>
          <w:tab w:val="left" w:pos="819"/>
          <w:tab w:val="left" w:pos="820"/>
        </w:tabs>
        <w:spacing w:line="256" w:lineRule="auto"/>
        <w:ind w:right="410" w:firstLine="0"/>
        <w:jc w:val="both"/>
      </w:pPr>
      <w:proofErr w:type="gramStart"/>
      <w:r>
        <w:t>as</w:t>
      </w:r>
      <w:proofErr w:type="gramEnd"/>
      <w:r>
        <w:rPr>
          <w:spacing w:val="-6"/>
        </w:rPr>
        <w:t xml:space="preserve"> </w:t>
      </w:r>
      <w:r>
        <w:t>specified</w:t>
      </w:r>
      <w:r>
        <w:rPr>
          <w:spacing w:val="-6"/>
        </w:rPr>
        <w:t xml:space="preserve"> </w:t>
      </w:r>
      <w:r>
        <w:t>in</w:t>
      </w:r>
      <w:r>
        <w:rPr>
          <w:spacing w:val="-6"/>
        </w:rPr>
        <w:t xml:space="preserve"> </w:t>
      </w:r>
      <w:r>
        <w:t>Regulation</w:t>
      </w:r>
      <w:r>
        <w:rPr>
          <w:spacing w:val="-6"/>
        </w:rPr>
        <w:t xml:space="preserve"> </w:t>
      </w:r>
      <w:r>
        <w:t>32</w:t>
      </w:r>
      <w:r>
        <w:rPr>
          <w:spacing w:val="-6"/>
        </w:rPr>
        <w:t xml:space="preserve"> </w:t>
      </w:r>
      <w:r>
        <w:t>of</w:t>
      </w:r>
      <w:r>
        <w:rPr>
          <w:spacing w:val="-6"/>
        </w:rPr>
        <w:t xml:space="preserve"> </w:t>
      </w:r>
      <w:r>
        <w:t>the</w:t>
      </w:r>
      <w:r>
        <w:rPr>
          <w:spacing w:val="-6"/>
        </w:rPr>
        <w:t xml:space="preserve"> </w:t>
      </w:r>
      <w:r>
        <w:t>Securities</w:t>
      </w:r>
      <w:r>
        <w:rPr>
          <w:spacing w:val="-6"/>
        </w:rPr>
        <w:t xml:space="preserve"> </w:t>
      </w:r>
      <w:r>
        <w:t>and</w:t>
      </w:r>
      <w:r>
        <w:rPr>
          <w:spacing w:val="-6"/>
        </w:rPr>
        <w:t xml:space="preserve"> </w:t>
      </w:r>
      <w:r>
        <w:t>Futures</w:t>
      </w:r>
      <w:r>
        <w:rPr>
          <w:spacing w:val="-6"/>
        </w:rPr>
        <w:t xml:space="preserve"> </w:t>
      </w:r>
      <w:r>
        <w:t>(Offers</w:t>
      </w:r>
      <w:r>
        <w:rPr>
          <w:spacing w:val="-6"/>
        </w:rPr>
        <w:t xml:space="preserve"> </w:t>
      </w:r>
      <w:r>
        <w:t>of</w:t>
      </w:r>
      <w:r>
        <w:rPr>
          <w:spacing w:val="-6"/>
        </w:rPr>
        <w:t xml:space="preserve"> </w:t>
      </w:r>
      <w:r>
        <w:t>Investments)</w:t>
      </w:r>
      <w:r>
        <w:rPr>
          <w:spacing w:val="-6"/>
        </w:rPr>
        <w:t xml:space="preserve"> </w:t>
      </w:r>
      <w:r>
        <w:t>(Shares</w:t>
      </w:r>
      <w:r>
        <w:rPr>
          <w:spacing w:val="-6"/>
        </w:rPr>
        <w:t xml:space="preserve"> </w:t>
      </w:r>
      <w:r>
        <w:t>and Debentures) Regulations 2005 of</w:t>
      </w:r>
      <w:r>
        <w:rPr>
          <w:spacing w:val="-6"/>
        </w:rPr>
        <w:t xml:space="preserve"> </w:t>
      </w:r>
      <w:r>
        <w:t>Singapore.</w:t>
      </w:r>
    </w:p>
    <w:p w14:paraId="42006CEB" w14:textId="77777777" w:rsidR="00C4272E" w:rsidRDefault="00C4272E" w:rsidP="00EC3886">
      <w:pPr>
        <w:pStyle w:val="BodyText"/>
        <w:spacing w:before="4"/>
        <w:jc w:val="both"/>
        <w:rPr>
          <w:sz w:val="23"/>
        </w:rPr>
      </w:pPr>
    </w:p>
    <w:p w14:paraId="255F5561" w14:textId="77777777" w:rsidR="00C4272E" w:rsidRDefault="00441DE2" w:rsidP="00EC3886">
      <w:pPr>
        <w:pStyle w:val="BodyText"/>
        <w:spacing w:line="256" w:lineRule="auto"/>
        <w:ind w:left="100"/>
        <w:jc w:val="both"/>
      </w:pPr>
      <w:r>
        <w:t xml:space="preserve">By accepting receipt of an Offering Memorandum with respect to the Securities after subscribing to the </w:t>
      </w:r>
      <w:proofErr w:type="spellStart"/>
      <w:r>
        <w:t>wesbite</w:t>
      </w:r>
      <w:proofErr w:type="spellEnd"/>
      <w:r>
        <w:t xml:space="preserve">, any person in Singapore represents and warrants that he is entitled to receive such an Offering Memorandum in accordance with the restrictions </w:t>
      </w:r>
      <w:bookmarkStart w:id="0" w:name="_GoBack"/>
      <w:r>
        <w:t>set</w:t>
      </w:r>
      <w:bookmarkEnd w:id="0"/>
      <w:r>
        <w:t xml:space="preserve"> forth above and agrees to be bound by the limitations contained herein.</w:t>
      </w:r>
    </w:p>
    <w:p w14:paraId="555B3431" w14:textId="77777777" w:rsidR="00C4272E" w:rsidRDefault="00C4272E" w:rsidP="00EC3886">
      <w:pPr>
        <w:pStyle w:val="BodyText"/>
        <w:spacing w:before="3"/>
        <w:jc w:val="both"/>
        <w:rPr>
          <w:sz w:val="23"/>
        </w:rPr>
      </w:pPr>
    </w:p>
    <w:p w14:paraId="26EE205B" w14:textId="77777777" w:rsidR="00C4272E" w:rsidRDefault="00441DE2" w:rsidP="00EC3886">
      <w:pPr>
        <w:pStyle w:val="Heading1"/>
        <w:jc w:val="both"/>
      </w:pPr>
      <w:r>
        <w:t>Notice to Prospective Purchasers in The Netherlands</w:t>
      </w:r>
    </w:p>
    <w:p w14:paraId="185C13C2" w14:textId="77777777" w:rsidR="00C4272E" w:rsidRDefault="00C4272E" w:rsidP="00EC3886">
      <w:pPr>
        <w:pStyle w:val="BodyText"/>
        <w:spacing w:before="11"/>
        <w:jc w:val="both"/>
        <w:rPr>
          <w:b/>
          <w:sz w:val="24"/>
        </w:rPr>
      </w:pPr>
    </w:p>
    <w:p w14:paraId="1F6EC502" w14:textId="1317A1E4" w:rsidR="00C4272E" w:rsidRDefault="00441DE2" w:rsidP="00EC3886">
      <w:pPr>
        <w:pStyle w:val="BodyText"/>
        <w:spacing w:line="256" w:lineRule="auto"/>
        <w:ind w:left="100" w:right="102" w:firstLine="720"/>
        <w:jc w:val="both"/>
      </w:pPr>
      <w:r>
        <w:t xml:space="preserve">The Securities may not be offered or sold in The Netherlands to any persons other than qualified investors within the meaning of the Prospectus Directive. For purposes of the above, the expression “Prospectus Directive” shall have the meaning given to it in the paragraph “Notice to Prospective Purchasers in the European Economic Area” above and shall be deemed to include any information contained on the website or in other materials provided by </w:t>
      </w:r>
      <w:proofErr w:type="spellStart"/>
      <w:r w:rsidR="004E7DE4">
        <w:t>SaveCoin</w:t>
      </w:r>
      <w:proofErr w:type="spellEnd"/>
      <w:r>
        <w:t>.</w:t>
      </w:r>
    </w:p>
    <w:p w14:paraId="778894CC" w14:textId="77777777" w:rsidR="00C4272E" w:rsidRDefault="00C4272E" w:rsidP="00EC3886">
      <w:pPr>
        <w:pStyle w:val="BodyText"/>
        <w:spacing w:before="2"/>
        <w:jc w:val="both"/>
        <w:rPr>
          <w:sz w:val="23"/>
        </w:rPr>
      </w:pPr>
    </w:p>
    <w:p w14:paraId="4DC1435B" w14:textId="77777777" w:rsidR="00C4272E" w:rsidRDefault="00441DE2" w:rsidP="00EC3886">
      <w:pPr>
        <w:pStyle w:val="Heading1"/>
        <w:jc w:val="both"/>
      </w:pPr>
      <w:r>
        <w:t>Notice to Prospective Purchasers in the United Kingdom</w:t>
      </w:r>
    </w:p>
    <w:p w14:paraId="0A41CD9B" w14:textId="77777777" w:rsidR="00C4272E" w:rsidRDefault="00C4272E" w:rsidP="00EC3886">
      <w:pPr>
        <w:pStyle w:val="BodyText"/>
        <w:spacing w:before="11"/>
        <w:jc w:val="both"/>
        <w:rPr>
          <w:b/>
          <w:sz w:val="24"/>
        </w:rPr>
      </w:pPr>
    </w:p>
    <w:p w14:paraId="19797B18" w14:textId="01719A80" w:rsidR="00C4272E" w:rsidRDefault="00441DE2" w:rsidP="00EC3886">
      <w:pPr>
        <w:pStyle w:val="BodyText"/>
        <w:spacing w:line="256" w:lineRule="auto"/>
        <w:ind w:left="100" w:right="101" w:firstLine="720"/>
        <w:jc w:val="both"/>
      </w:pPr>
      <w:r>
        <w:t xml:space="preserve">With respect to offers and sales of the Securities that are the subject of any information contained on the website, any advertisement </w:t>
      </w:r>
      <w:r w:rsidR="00210FB2">
        <w:t>or</w:t>
      </w:r>
      <w:r w:rsidR="004E7DE4">
        <w:t xml:space="preserve"> other materials provided by </w:t>
      </w:r>
      <w:proofErr w:type="spellStart"/>
      <w:r w:rsidR="004E7DE4">
        <w:t>SaveCoin</w:t>
      </w:r>
      <w:proofErr w:type="spellEnd"/>
      <w:r>
        <w:t xml:space="preserve"> with respect thereto, offers or sales of any of such Securities to persons in the United Kingdom are prohibited in circumstances which have resulted in or will result in such Securities being or becoming the subject of an offer of transferable securities to the public as defined in Section 102B of the Financial Services and Markets Act 2000 (as amended) (the “FSMA”) and all applicable provisions of the FSMA must be complied with, with respect to anything done in relation to such Securities in, from or otherwise involving the United Kingdom.</w:t>
      </w:r>
    </w:p>
    <w:p w14:paraId="6473FBA4" w14:textId="77777777" w:rsidR="00C4272E" w:rsidRDefault="00C4272E" w:rsidP="00EC3886">
      <w:pPr>
        <w:pStyle w:val="BodyText"/>
        <w:spacing w:before="1"/>
        <w:jc w:val="both"/>
        <w:rPr>
          <w:sz w:val="23"/>
        </w:rPr>
      </w:pPr>
    </w:p>
    <w:p w14:paraId="5089BE0F" w14:textId="77777777" w:rsidR="00C4272E" w:rsidRDefault="00441DE2" w:rsidP="00EC3886">
      <w:pPr>
        <w:pStyle w:val="BodyText"/>
        <w:spacing w:line="256" w:lineRule="auto"/>
        <w:ind w:left="100" w:right="100" w:firstLine="720"/>
        <w:jc w:val="both"/>
      </w:pPr>
      <w:r>
        <w:t>To the extent such advertisements or other materials are distributed in the United Kingdom, it will only be distributed to and directed at: (</w:t>
      </w:r>
      <w:proofErr w:type="spellStart"/>
      <w:r>
        <w:t>i</w:t>
      </w:r>
      <w:proofErr w:type="spellEnd"/>
      <w:r>
        <w:t>) persons who have professional experience in matters relating to investments falling within Article 19 of the Financial Services and Markets Act 2000 (Financial Promotion) Order 2005 (as amended) (the "FPO"); (ii) high net worth entities and other persons to whom it may otherwise lawfully be communicated falling within Article 49 of the FPO; (iii) certified sophisticated investors falling within Article 50 of the FPO; or (iv) other persons to whom it may lawfully be directed under an exemption contained in the FPO (the persons specified in (</w:t>
      </w:r>
      <w:proofErr w:type="spellStart"/>
      <w:r>
        <w:t>i</w:t>
      </w:r>
      <w:proofErr w:type="spellEnd"/>
      <w:r>
        <w:t>), (ii), (iii) and (iv) above are, together, referred to as “relevant persons”). Persons who are not relevant persons must not act on or rely on any such advertisements or other materials or any of its or their contents. Any investment or investment activity to which such advertisements or other materials relate is available only to relevant persons and will be engaged in only with relevant persons. Relevant persons in receipt of such advertisements or other materials must not distribute, publish, reproduce, or disclose such advertisements or other materials (in whole or in part) to any person who is not a relevant person.</w:t>
      </w:r>
    </w:p>
    <w:p w14:paraId="4F4D2C7A" w14:textId="77777777" w:rsidR="00C4272E" w:rsidRDefault="00C4272E" w:rsidP="00EC3886">
      <w:pPr>
        <w:pStyle w:val="BodyText"/>
        <w:spacing w:before="8"/>
        <w:jc w:val="both"/>
      </w:pPr>
    </w:p>
    <w:p w14:paraId="5EB014CB" w14:textId="77777777" w:rsidR="00C4272E" w:rsidRDefault="00441DE2" w:rsidP="00EC3886">
      <w:pPr>
        <w:pStyle w:val="BodyText"/>
        <w:spacing w:line="256" w:lineRule="auto"/>
        <w:ind w:left="100" w:right="105" w:firstLine="720"/>
        <w:jc w:val="both"/>
      </w:pPr>
      <w:r>
        <w:t>In addition, any invitation or inducement to engage in investment activity (within the meaning of Section 21 of the FSMA) received in connection with the issue or sale of such Securities will only be</w:t>
      </w:r>
    </w:p>
    <w:p w14:paraId="241A8CBC" w14:textId="77777777" w:rsidR="00C4272E" w:rsidRDefault="00C4272E" w:rsidP="00EC3886">
      <w:pPr>
        <w:spacing w:line="256" w:lineRule="auto"/>
        <w:jc w:val="both"/>
        <w:sectPr w:rsidR="00C4272E">
          <w:pgSz w:w="12240" w:h="15840"/>
          <w:pgMar w:top="1500" w:right="1340" w:bottom="1160" w:left="1340" w:header="0" w:footer="971" w:gutter="0"/>
          <w:cols w:space="720"/>
        </w:sectPr>
      </w:pPr>
    </w:p>
    <w:p w14:paraId="2995CBBC" w14:textId="77777777" w:rsidR="00C4272E" w:rsidRDefault="00441DE2" w:rsidP="00EC3886">
      <w:pPr>
        <w:pStyle w:val="BodyText"/>
        <w:spacing w:before="64" w:line="256" w:lineRule="auto"/>
        <w:ind w:left="100"/>
        <w:jc w:val="both"/>
      </w:pPr>
      <w:proofErr w:type="gramStart"/>
      <w:r>
        <w:lastRenderedPageBreak/>
        <w:t>communicated</w:t>
      </w:r>
      <w:proofErr w:type="gramEnd"/>
      <w:r>
        <w:t>, or be caused to be communicated, in circumstances in which Section 21(1) of the FSMA does not apply to the Company.</w:t>
      </w:r>
    </w:p>
    <w:sectPr w:rsidR="00C4272E">
      <w:pgSz w:w="12240" w:h="15840"/>
      <w:pgMar w:top="1380" w:right="1340" w:bottom="1160" w:left="1340" w:header="0" w:footer="97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6B250" w14:textId="77777777" w:rsidR="00114985" w:rsidRDefault="00441DE2">
      <w:r>
        <w:separator/>
      </w:r>
    </w:p>
  </w:endnote>
  <w:endnote w:type="continuationSeparator" w:id="0">
    <w:p w14:paraId="6F0411C9" w14:textId="77777777" w:rsidR="00114985" w:rsidRDefault="0044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6E4AA" w14:textId="77777777" w:rsidR="00EC3886" w:rsidRDefault="00EC3886" w:rsidP="00942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F2F03" w14:textId="77777777" w:rsidR="00EC3886" w:rsidRDefault="00EC3886" w:rsidP="00EC38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88C2D" w14:textId="77777777" w:rsidR="00EC3886" w:rsidRDefault="00EC3886" w:rsidP="00942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7DE4">
      <w:rPr>
        <w:rStyle w:val="PageNumber"/>
        <w:noProof/>
      </w:rPr>
      <w:t>4</w:t>
    </w:r>
    <w:r>
      <w:rPr>
        <w:rStyle w:val="PageNumber"/>
      </w:rPr>
      <w:fldChar w:fldCharType="end"/>
    </w:r>
  </w:p>
  <w:p w14:paraId="7D368DA9" w14:textId="13B0B401" w:rsidR="00C4272E" w:rsidRDefault="00525195" w:rsidP="00EC3886">
    <w:pPr>
      <w:pStyle w:val="BodyText"/>
      <w:spacing w:line="14" w:lineRule="auto"/>
      <w:ind w:right="360"/>
      <w:rPr>
        <w:sz w:val="20"/>
      </w:rPr>
    </w:pPr>
    <w:r>
      <w:rPr>
        <w:noProof/>
      </w:rPr>
      <mc:AlternateContent>
        <mc:Choice Requires="wps">
          <w:drawing>
            <wp:anchor distT="0" distB="0" distL="114300" distR="114300" simplePos="0" relativeHeight="251657728" behindDoc="1" locked="0" layoutInCell="1" allowOverlap="1" wp14:anchorId="37F34538" wp14:editId="373BFEF4">
              <wp:simplePos x="0" y="0"/>
              <wp:positionH relativeFrom="page">
                <wp:posOffset>901700</wp:posOffset>
              </wp:positionH>
              <wp:positionV relativeFrom="page">
                <wp:posOffset>9291320</wp:posOffset>
              </wp:positionV>
              <wp:extent cx="793750" cy="305435"/>
              <wp:effectExtent l="0" t="0" r="635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35747" w14:textId="77777777" w:rsidR="00C4272E" w:rsidRPr="00EC3886" w:rsidRDefault="00C4272E" w:rsidP="00EC3886">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pt;margin-top:731.6pt;width:62.5pt;height:2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" filled="f" stroked="f">
              <v:textbox inset="0,0,0,0">
                <w:txbxContent>
                  <w:p w14:paraId="0AB35747" w14:textId="77777777" w:rsidR="00C4272E" w:rsidRPr="00EC3886" w:rsidRDefault="00C4272E" w:rsidP="00EC3886">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5B10D" w14:textId="77777777" w:rsidR="00114985" w:rsidRDefault="00441DE2">
      <w:r>
        <w:separator/>
      </w:r>
    </w:p>
  </w:footnote>
  <w:footnote w:type="continuationSeparator" w:id="0">
    <w:p w14:paraId="6B7D51CE" w14:textId="77777777" w:rsidR="00114985" w:rsidRDefault="00441D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759C2"/>
    <w:multiLevelType w:val="hybridMultilevel"/>
    <w:tmpl w:val="72E056F0"/>
    <w:lvl w:ilvl="0" w:tplc="D13C7ACE">
      <w:start w:val="1"/>
      <w:numFmt w:val="lowerLetter"/>
      <w:lvlText w:val="(%1)"/>
      <w:lvlJc w:val="left"/>
      <w:pPr>
        <w:ind w:left="100" w:hanging="720"/>
        <w:jc w:val="left"/>
      </w:pPr>
      <w:rPr>
        <w:rFonts w:ascii="Times New Roman" w:eastAsia="Times New Roman" w:hAnsi="Times New Roman" w:cs="Times New Roman" w:hint="default"/>
        <w:spacing w:val="-1"/>
        <w:w w:val="100"/>
        <w:sz w:val="22"/>
        <w:szCs w:val="22"/>
      </w:rPr>
    </w:lvl>
    <w:lvl w:ilvl="1" w:tplc="9CD2C586">
      <w:start w:val="1"/>
      <w:numFmt w:val="decimal"/>
      <w:lvlText w:val="(%2)"/>
      <w:lvlJc w:val="left"/>
      <w:pPr>
        <w:ind w:left="100" w:hanging="720"/>
        <w:jc w:val="left"/>
      </w:pPr>
      <w:rPr>
        <w:rFonts w:ascii="Times New Roman" w:eastAsia="Times New Roman" w:hAnsi="Times New Roman" w:cs="Times New Roman" w:hint="default"/>
        <w:spacing w:val="-1"/>
        <w:w w:val="100"/>
        <w:sz w:val="22"/>
        <w:szCs w:val="22"/>
      </w:rPr>
    </w:lvl>
    <w:lvl w:ilvl="2" w:tplc="46442C8A">
      <w:numFmt w:val="bullet"/>
      <w:lvlText w:val="•"/>
      <w:lvlJc w:val="left"/>
      <w:pPr>
        <w:ind w:left="1992" w:hanging="720"/>
      </w:pPr>
      <w:rPr>
        <w:rFonts w:hint="default"/>
      </w:rPr>
    </w:lvl>
    <w:lvl w:ilvl="3" w:tplc="029C5D36">
      <w:numFmt w:val="bullet"/>
      <w:lvlText w:val="•"/>
      <w:lvlJc w:val="left"/>
      <w:pPr>
        <w:ind w:left="2938" w:hanging="720"/>
      </w:pPr>
      <w:rPr>
        <w:rFonts w:hint="default"/>
      </w:rPr>
    </w:lvl>
    <w:lvl w:ilvl="4" w:tplc="564AA988">
      <w:numFmt w:val="bullet"/>
      <w:lvlText w:val="•"/>
      <w:lvlJc w:val="left"/>
      <w:pPr>
        <w:ind w:left="3884" w:hanging="720"/>
      </w:pPr>
      <w:rPr>
        <w:rFonts w:hint="default"/>
      </w:rPr>
    </w:lvl>
    <w:lvl w:ilvl="5" w:tplc="5664BE08">
      <w:numFmt w:val="bullet"/>
      <w:lvlText w:val="•"/>
      <w:lvlJc w:val="left"/>
      <w:pPr>
        <w:ind w:left="4830" w:hanging="720"/>
      </w:pPr>
      <w:rPr>
        <w:rFonts w:hint="default"/>
      </w:rPr>
    </w:lvl>
    <w:lvl w:ilvl="6" w:tplc="F3989FE6">
      <w:numFmt w:val="bullet"/>
      <w:lvlText w:val="•"/>
      <w:lvlJc w:val="left"/>
      <w:pPr>
        <w:ind w:left="5776" w:hanging="720"/>
      </w:pPr>
      <w:rPr>
        <w:rFonts w:hint="default"/>
      </w:rPr>
    </w:lvl>
    <w:lvl w:ilvl="7" w:tplc="A54CD298">
      <w:numFmt w:val="bullet"/>
      <w:lvlText w:val="•"/>
      <w:lvlJc w:val="left"/>
      <w:pPr>
        <w:ind w:left="6722" w:hanging="720"/>
      </w:pPr>
      <w:rPr>
        <w:rFonts w:hint="default"/>
      </w:rPr>
    </w:lvl>
    <w:lvl w:ilvl="8" w:tplc="CCC05950">
      <w:numFmt w:val="bullet"/>
      <w:lvlText w:val="•"/>
      <w:lvlJc w:val="left"/>
      <w:pPr>
        <w:ind w:left="7668" w:hanging="720"/>
      </w:pPr>
      <w:rPr>
        <w:rFonts w:hint="default"/>
      </w:rPr>
    </w:lvl>
  </w:abstractNum>
  <w:abstractNum w:abstractNumId="1">
    <w:nsid w:val="6EE519BE"/>
    <w:multiLevelType w:val="hybridMultilevel"/>
    <w:tmpl w:val="620A97CE"/>
    <w:lvl w:ilvl="0" w:tplc="2E9EE7D2">
      <w:start w:val="1"/>
      <w:numFmt w:val="lowerLetter"/>
      <w:lvlText w:val="(%1)"/>
      <w:lvlJc w:val="left"/>
      <w:pPr>
        <w:ind w:left="820" w:hanging="299"/>
        <w:jc w:val="left"/>
      </w:pPr>
      <w:rPr>
        <w:rFonts w:ascii="Times New Roman" w:eastAsia="Times New Roman" w:hAnsi="Times New Roman" w:cs="Times New Roman" w:hint="default"/>
        <w:spacing w:val="-1"/>
        <w:w w:val="100"/>
        <w:sz w:val="22"/>
        <w:szCs w:val="22"/>
      </w:rPr>
    </w:lvl>
    <w:lvl w:ilvl="1" w:tplc="07E67D9C">
      <w:numFmt w:val="bullet"/>
      <w:lvlText w:val="•"/>
      <w:lvlJc w:val="left"/>
      <w:pPr>
        <w:ind w:left="1694" w:hanging="299"/>
      </w:pPr>
      <w:rPr>
        <w:rFonts w:hint="default"/>
      </w:rPr>
    </w:lvl>
    <w:lvl w:ilvl="2" w:tplc="419C8044">
      <w:numFmt w:val="bullet"/>
      <w:lvlText w:val="•"/>
      <w:lvlJc w:val="left"/>
      <w:pPr>
        <w:ind w:left="2568" w:hanging="299"/>
      </w:pPr>
      <w:rPr>
        <w:rFonts w:hint="default"/>
      </w:rPr>
    </w:lvl>
    <w:lvl w:ilvl="3" w:tplc="37B4699C">
      <w:numFmt w:val="bullet"/>
      <w:lvlText w:val="•"/>
      <w:lvlJc w:val="left"/>
      <w:pPr>
        <w:ind w:left="3442" w:hanging="299"/>
      </w:pPr>
      <w:rPr>
        <w:rFonts w:hint="default"/>
      </w:rPr>
    </w:lvl>
    <w:lvl w:ilvl="4" w:tplc="262261CE">
      <w:numFmt w:val="bullet"/>
      <w:lvlText w:val="•"/>
      <w:lvlJc w:val="left"/>
      <w:pPr>
        <w:ind w:left="4316" w:hanging="299"/>
      </w:pPr>
      <w:rPr>
        <w:rFonts w:hint="default"/>
      </w:rPr>
    </w:lvl>
    <w:lvl w:ilvl="5" w:tplc="9CEC8DBE">
      <w:numFmt w:val="bullet"/>
      <w:lvlText w:val="•"/>
      <w:lvlJc w:val="left"/>
      <w:pPr>
        <w:ind w:left="5190" w:hanging="299"/>
      </w:pPr>
      <w:rPr>
        <w:rFonts w:hint="default"/>
      </w:rPr>
    </w:lvl>
    <w:lvl w:ilvl="6" w:tplc="3EFCA894">
      <w:numFmt w:val="bullet"/>
      <w:lvlText w:val="•"/>
      <w:lvlJc w:val="left"/>
      <w:pPr>
        <w:ind w:left="6064" w:hanging="299"/>
      </w:pPr>
      <w:rPr>
        <w:rFonts w:hint="default"/>
      </w:rPr>
    </w:lvl>
    <w:lvl w:ilvl="7" w:tplc="C8028E9A">
      <w:numFmt w:val="bullet"/>
      <w:lvlText w:val="•"/>
      <w:lvlJc w:val="left"/>
      <w:pPr>
        <w:ind w:left="6938" w:hanging="299"/>
      </w:pPr>
      <w:rPr>
        <w:rFonts w:hint="default"/>
      </w:rPr>
    </w:lvl>
    <w:lvl w:ilvl="8" w:tplc="219CB66E">
      <w:numFmt w:val="bullet"/>
      <w:lvlText w:val="•"/>
      <w:lvlJc w:val="left"/>
      <w:pPr>
        <w:ind w:left="7812" w:hanging="29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2E"/>
    <w:rsid w:val="00114985"/>
    <w:rsid w:val="00210FB2"/>
    <w:rsid w:val="00441DE2"/>
    <w:rsid w:val="004E7DE4"/>
    <w:rsid w:val="00525195"/>
    <w:rsid w:val="007663C2"/>
    <w:rsid w:val="00C4272E"/>
    <w:rsid w:val="00EC3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2CE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3886"/>
    <w:pPr>
      <w:tabs>
        <w:tab w:val="center" w:pos="4320"/>
        <w:tab w:val="right" w:pos="8640"/>
      </w:tabs>
    </w:pPr>
  </w:style>
  <w:style w:type="character" w:customStyle="1" w:styleId="HeaderChar">
    <w:name w:val="Header Char"/>
    <w:basedOn w:val="DefaultParagraphFont"/>
    <w:link w:val="Header"/>
    <w:uiPriority w:val="99"/>
    <w:rsid w:val="00EC3886"/>
    <w:rPr>
      <w:rFonts w:ascii="Times New Roman" w:eastAsia="Times New Roman" w:hAnsi="Times New Roman" w:cs="Times New Roman"/>
    </w:rPr>
  </w:style>
  <w:style w:type="paragraph" w:styleId="Footer">
    <w:name w:val="footer"/>
    <w:basedOn w:val="Normal"/>
    <w:link w:val="FooterChar"/>
    <w:uiPriority w:val="99"/>
    <w:unhideWhenUsed/>
    <w:rsid w:val="00EC3886"/>
    <w:pPr>
      <w:tabs>
        <w:tab w:val="center" w:pos="4320"/>
        <w:tab w:val="right" w:pos="8640"/>
      </w:tabs>
    </w:pPr>
  </w:style>
  <w:style w:type="character" w:customStyle="1" w:styleId="FooterChar">
    <w:name w:val="Footer Char"/>
    <w:basedOn w:val="DefaultParagraphFont"/>
    <w:link w:val="Footer"/>
    <w:uiPriority w:val="99"/>
    <w:rsid w:val="00EC3886"/>
    <w:rPr>
      <w:rFonts w:ascii="Times New Roman" w:eastAsia="Times New Roman" w:hAnsi="Times New Roman" w:cs="Times New Roman"/>
    </w:rPr>
  </w:style>
  <w:style w:type="character" w:styleId="PageNumber">
    <w:name w:val="page number"/>
    <w:basedOn w:val="DefaultParagraphFont"/>
    <w:uiPriority w:val="99"/>
    <w:semiHidden/>
    <w:unhideWhenUsed/>
    <w:rsid w:val="00EC38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3886"/>
    <w:pPr>
      <w:tabs>
        <w:tab w:val="center" w:pos="4320"/>
        <w:tab w:val="right" w:pos="8640"/>
      </w:tabs>
    </w:pPr>
  </w:style>
  <w:style w:type="character" w:customStyle="1" w:styleId="HeaderChar">
    <w:name w:val="Header Char"/>
    <w:basedOn w:val="DefaultParagraphFont"/>
    <w:link w:val="Header"/>
    <w:uiPriority w:val="99"/>
    <w:rsid w:val="00EC3886"/>
    <w:rPr>
      <w:rFonts w:ascii="Times New Roman" w:eastAsia="Times New Roman" w:hAnsi="Times New Roman" w:cs="Times New Roman"/>
    </w:rPr>
  </w:style>
  <w:style w:type="paragraph" w:styleId="Footer">
    <w:name w:val="footer"/>
    <w:basedOn w:val="Normal"/>
    <w:link w:val="FooterChar"/>
    <w:uiPriority w:val="99"/>
    <w:unhideWhenUsed/>
    <w:rsid w:val="00EC3886"/>
    <w:pPr>
      <w:tabs>
        <w:tab w:val="center" w:pos="4320"/>
        <w:tab w:val="right" w:pos="8640"/>
      </w:tabs>
    </w:pPr>
  </w:style>
  <w:style w:type="character" w:customStyle="1" w:styleId="FooterChar">
    <w:name w:val="Footer Char"/>
    <w:basedOn w:val="DefaultParagraphFont"/>
    <w:link w:val="Footer"/>
    <w:uiPriority w:val="99"/>
    <w:rsid w:val="00EC3886"/>
    <w:rPr>
      <w:rFonts w:ascii="Times New Roman" w:eastAsia="Times New Roman" w:hAnsi="Times New Roman" w:cs="Times New Roman"/>
    </w:rPr>
  </w:style>
  <w:style w:type="character" w:styleId="PageNumber">
    <w:name w:val="page number"/>
    <w:basedOn w:val="DefaultParagraphFont"/>
    <w:uiPriority w:val="99"/>
    <w:semiHidden/>
    <w:unhideWhenUsed/>
    <w:rsid w:val="00EC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2097</Words>
  <Characters>11958</Characters>
  <Application>Microsoft Macintosh Word</Application>
  <DocSecurity>0</DocSecurity>
  <Lines>99</Lines>
  <Paragraphs>28</Paragraphs>
  <ScaleCrop>false</ScaleCrop>
  <Company/>
  <LinksUpToDate>false</LinksUpToDate>
  <CharactersWithSpaces>14027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 Hodder</cp:lastModifiedBy>
  <cp:revision>3</cp:revision>
  <dcterms:created xsi:type="dcterms:W3CDTF">2018-03-01T16:45:00Z</dcterms:created>
  <dcterms:modified xsi:type="dcterms:W3CDTF">2018-03-01T16:46:00Z</dcterms:modified>
</cp:coreProperties>
</file>