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ab/>
      </w:r>
    </w:p>
    <w:p>
      <w:pPr>
        <w:pStyle w:val="style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“【】”及其内容为提示，请在填写完之后的正稿中删去！</w:t>
      </w:r>
    </w:p>
    <w:p>
      <w:pPr>
        <w:pStyle w:val="style0"/>
        <w:rPr/>
      </w:pPr>
    </w:p>
    <w:tbl>
      <w:tblPr>
        <w:tblStyle w:val="style105"/>
        <w:tblW w:w="9737" w:type="dxa"/>
        <w:tblInd w:w="0" w:type="dxa"/>
        <w:tblBorders>
          <w:top w:val="none" w:sz="0" w:space="0" w:color="auto"/>
          <w:left w:val="none" w:sz="0" w:space="0" w:color="auto"/>
          <w:bottom w:val="single" w:sz="6" w:space="0" w:color="f2f6f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7"/>
        <w:gridCol w:w="6740"/>
      </w:tblGrid>
      <w:tr>
        <w:trPr>
          <w:trHeight w:val="327" w:hRule="atLeast"/>
        </w:trPr>
        <w:tc>
          <w:tcPr>
            <w:tcW w:w="9737" w:type="dxa"/>
            <w:gridSpan w:val="2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24"/>
              </w:rPr>
            </w:pPr>
            <w:r>
              <w:rPr/>
              <w:drawing>
                <wp:inline distL="0" distT="0" distB="0" distR="0">
                  <wp:extent cx="3667037" cy="215812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67037" cy="21581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所属势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力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星海共同体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舰级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希望级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舰种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原地联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泰坦舰</w:t>
            </w:r>
          </w:p>
        </w:tc>
      </w:tr>
      <w:tr>
        <w:tblPrEx/>
        <w:trPr>
          <w:trHeight w:val="327" w:hRule="atLeast"/>
        </w:trPr>
        <w:tc>
          <w:tcPr>
            <w:tcW w:w="9737" w:type="dxa"/>
            <w:gridSpan w:val="2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规格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船体主要材质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水晶</w:t>
            </w:r>
            <w:r>
              <w:rPr>
                <w:rFonts w:ascii="宋体" w:cs="Rubik" w:hAnsi="宋体" w:hint="eastAsia"/>
                <w:color w:val="0e191a"/>
                <w:kern w:val="0"/>
                <w:szCs w:val="21"/>
              </w:rPr>
              <w:t>-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耐钢复合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材料、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耐钢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，中子装甲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主要供能系统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 xml:space="preserve"> 反物质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—核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聚变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反应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堆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*1</w:t>
            </w:r>
            <w:r>
              <w:rPr>
                <w:rFonts w:cs="Rubik" w:hAnsi="Rubik" w:hint="eastAsia"/>
                <w:color w:val="0e191a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大型托卡装置核聚变反应堆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*1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燃料：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反物质—核聚变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亚光速巡航输出（总）：2</w:t>
            </w:r>
            <w:r>
              <w:rPr>
                <w:rFonts w:cs="Rubik" w:eastAsia="Rubik" w:hAnsi="Rubik" w:hint="default"/>
                <w:color w:val="0e191a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TW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战斗输出（总）：</w:t>
            </w:r>
            <w:r>
              <w:rPr>
                <w:rFonts w:cs="Rubik" w:eastAsia="Rubik" w:hAnsi="Rubik" w:hint="default"/>
                <w:color w:val="0e191a"/>
                <w:kern w:val="0"/>
                <w:szCs w:val="21"/>
                <w:lang w:val="en-US" w:eastAsia="zh-CN"/>
              </w:rPr>
              <w:t>7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.175 x10²¹ W（1 h）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1超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微型反物质湮灭堆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*48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燃料：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反物质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应急电容反物质湮灭堆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*1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燃料：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反物质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小型核聚变型堆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*50</w:t>
            </w: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（反物质燃料不够自动切换核聚变燃料）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燃料贮存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hint="eastAsia"/>
                <w:lang w:eastAsia="zh-CN"/>
              </w:rPr>
            </w:pPr>
            <w:r>
              <w:t>1立方千米</w:t>
            </w:r>
            <w:r>
              <w:rPr>
                <w:rFonts w:hint="eastAsia"/>
                <w:lang w:eastAsia="zh-CN"/>
              </w:rPr>
              <w:t>反物质磁场贮存箱 x8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总容量：5.7亿吨反物质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0.25立方千米</w:t>
            </w:r>
            <w:r>
              <w:rPr>
                <w:rFonts w:hint="eastAsia"/>
                <w:lang w:eastAsia="zh-CN"/>
              </w:rPr>
              <w:t>氘</w:t>
            </w:r>
            <w:r>
              <w:rPr>
                <w:rFonts w:hint="eastAsia"/>
              </w:rPr>
              <w:t>燃料罐</w:t>
            </w:r>
            <w:r>
              <w:rPr>
                <w:rFonts w:hint="eastAsia"/>
                <w:lang w:eastAsia="zh-CN"/>
              </w:rPr>
              <w:t xml:space="preserve"> x48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总容量：19</w:t>
            </w: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万吨氘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通讯系统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快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子通讯仪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通讯介质：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快子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量子通讯仪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通讯介质：电磁波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引力通讯仪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通讯介质：引力波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传感器系统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快子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雷达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探测介质：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快子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引力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被动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雷达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探测介质：引力波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/>
                <w:color w:val="0e191a"/>
                <w:kern w:val="0"/>
                <w:szCs w:val="21"/>
              </w:rPr>
              <w:t>电磁雷达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探测介质：电磁波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子空间传感器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探测介质：曲速泡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人工重力系统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有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惯性阻尼系统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有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船员配置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最小可运作人数：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/>
              </w:rPr>
              <w:t>1000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人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标配人数：</w:t>
            </w:r>
            <w:r>
              <w:rPr>
                <w:rFonts w:cs="Rubik" w:eastAsia="Rubik" w:hAnsi="Rubik" w:hint="default"/>
                <w:color w:val="0e191a"/>
                <w:kern w:val="0"/>
                <w:szCs w:val="21"/>
                <w:lang w:val="en-US"/>
              </w:rPr>
              <w:t>8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000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人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最大载员人数：</w:t>
            </w:r>
            <w:r>
              <w:rPr>
                <w:rFonts w:cs="Rubik" w:eastAsia="Rubik" w:hAnsi="Rubik" w:hint="default"/>
                <w:color w:val="0e191a"/>
                <w:kern w:val="0"/>
                <w:szCs w:val="21"/>
                <w:lang w:val="en-US"/>
              </w:rPr>
              <w:t>5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00000人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自持力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23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年</w:t>
            </w:r>
          </w:p>
        </w:tc>
      </w:tr>
      <w:tr>
        <w:tblPrEx/>
        <w:trPr>
          <w:trHeight w:val="327" w:hRule="atLeast"/>
        </w:trPr>
        <w:tc>
          <w:tcPr>
            <w:tcW w:w="9737" w:type="dxa"/>
            <w:gridSpan w:val="2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航行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是否具备FTL能力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是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推进系统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辐射</w:t>
            </w:r>
            <w:r>
              <w:rPr>
                <w:rFonts w:ascii="宋体" w:cs="Rubik" w:hAnsi="宋体" w:hint="eastAsia"/>
                <w:color w:val="0e191a"/>
                <w:kern w:val="0"/>
                <w:szCs w:val="21"/>
              </w:rPr>
              <w:t>-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等离子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推进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器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燃料：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氘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曲速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9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引擎与四联装曲速棍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燃料：反物质或核聚变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反重力引擎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燃料：反物质—核聚变</w:t>
            </w:r>
          </w:p>
          <w:p>
            <w:pPr>
              <w:pStyle w:val="style0"/>
              <w:widowControl/>
              <w:jc w:val="left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亚光速航速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前向最大加速度：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7.9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G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变向最大加速度：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0.7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G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最大转速：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 xml:space="preserve">0.5 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°/s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最大航速：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.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0009</w:t>
            </w:r>
            <w:bookmarkStart w:id="0" w:name="_GoBack"/>
            <w:bookmarkEnd w:id="0"/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c</w:t>
            </w:r>
          </w:p>
        </w:tc>
      </w:tr>
      <w:tr>
        <w:tblPrEx/>
        <w:trPr>
          <w:trHeight w:val="327" w:hRule="atLeast"/>
        </w:trPr>
        <w:tc>
          <w:tcPr>
            <w:tcW w:w="9737" w:type="dxa"/>
            <w:gridSpan w:val="2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战术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武器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速子光矛轴基巨炮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*1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门（舰首）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这门巨炮的最大功率等于全舰的最大功率，全力开火时会导致全舰停电。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1.3146 x10¹⁹W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 xml:space="preserve"> 速子光矛主炮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*13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（舰首</w:t>
            </w:r>
            <w:r>
              <w:rPr>
                <w:rFonts w:ascii="Rubik" w:cs="Rubik" w:hAnsi="Rubik"/>
                <w:color w:val="0e191a"/>
                <w:kern w:val="0"/>
                <w:szCs w:val="21"/>
              </w:rPr>
              <w:t>1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左右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侧舷各</w:t>
            </w:r>
            <w:r>
              <w:rPr>
                <w:rFonts w:ascii="Rubik" w:cs="Rubik" w:hAnsi="Rubik"/>
                <w:color w:val="0e191a"/>
                <w:kern w:val="0"/>
                <w:szCs w:val="21"/>
              </w:rPr>
              <w:t>6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1.3146 x10¹⁹W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 xml:space="preserve"> 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伽马射线激光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*13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（舰首</w:t>
            </w:r>
            <w:r>
              <w:rPr>
                <w:rFonts w:ascii="Rubik" w:cs="Rubik" w:hAnsi="Rubik"/>
                <w:color w:val="0e191a"/>
                <w:kern w:val="0"/>
                <w:szCs w:val="21"/>
              </w:rPr>
              <w:t>1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左右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侧舷各</w:t>
            </w:r>
            <w:r>
              <w:rPr>
                <w:rFonts w:ascii="Rubik" w:cs="Rubik" w:hAnsi="Rubik"/>
                <w:color w:val="0e191a"/>
                <w:kern w:val="0"/>
                <w:szCs w:val="21"/>
              </w:rPr>
              <w:t>6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电弧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炮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*10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（左右侧舷各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5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电弧无视护盾防御，从而打乱敌方护盾的频率让已方火力方便攻击敌方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1.26 x10¹⁸W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 xml:space="preserve"> 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伽马射线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激光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近防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炮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*60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门（左右侧舷各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20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门、舰尾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门、舰首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2.52 x10¹⁸W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轻型激光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近防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*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/>
              </w:rPr>
              <w:t>18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门（左右侧舷各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/>
              </w:rPr>
              <w:t>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门、舰首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50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门、舰尾</w:t>
            </w:r>
            <w:r>
              <w:rPr>
                <w:rFonts w:ascii="Rubik" w:cs="Rubik" w:hAnsi="Rubik"/>
                <w:color w:val="0e191a"/>
                <w:kern w:val="0"/>
                <w:szCs w:val="21"/>
              </w:rPr>
              <w:t>30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门）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量子鱼雷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导弹垂直发射单元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/>
              </w:rPr>
              <w:t>20X30</w:t>
            </w:r>
          </w:p>
          <w:p>
            <w:pPr>
              <w:pStyle w:val="style0"/>
              <w:widowControl/>
              <w:jc w:val="left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 xml:space="preserve">                        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全频率干扰发生器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*1</w:t>
            </w:r>
          </w:p>
          <w:p>
            <w:pPr>
              <w:pStyle w:val="style0"/>
              <w:widowControl/>
              <w:jc w:val="left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  <w:p>
            <w:pPr>
              <w:pStyle w:val="style0"/>
              <w:widowControl/>
              <w:jc w:val="left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防御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超级偏导</w:t>
            </w:r>
            <w:r>
              <w:rPr>
                <w:rFonts w:ascii="Rubik" w:cs="Rubik" w:eastAsia="Rubik" w:hAnsi="Rubik"/>
                <w:color w:val="0e191a"/>
                <w:kern w:val="0"/>
                <w:szCs w:val="21"/>
              </w:rPr>
              <w:t>护盾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发生器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x</w:t>
            </w:r>
            <w:r>
              <w:rPr>
                <w:rFonts w:ascii="Rubik" w:cs="Rubik" w:eastAsia="Rubik" w:hAnsi="Rubik"/>
                <w:color w:val="0e191a"/>
                <w:kern w:val="0"/>
                <w:szCs w:val="21"/>
              </w:rPr>
              <w:t>2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亚光速巡航输出（总）：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19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TW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战斗输出（总）：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 xml:space="preserve">1.85 </w:t>
            </w:r>
            <w:r>
              <w:rPr>
                <w:rFonts w:ascii="Rubik" w:cs="Rubik" w:eastAsia="Rubik" w:hAnsi="Rubik" w:hint="eastAsia"/>
                <w:color w:val="0e191a"/>
                <w:szCs w:val="21"/>
              </w:rPr>
              <w:t>x10</w:t>
            </w:r>
            <w:r>
              <w:rPr>
                <w:rFonts w:ascii="Rubik" w:cs="Rubik" w:eastAsia="Rubik" w:hAnsi="Rubik" w:hint="eastAsia"/>
                <w:color w:val="0e191a"/>
                <w:szCs w:val="21"/>
                <w:lang w:eastAsia="zh-CN"/>
              </w:rPr>
              <w:t>²¹</w:t>
            </w:r>
            <w:r>
              <w:rPr>
                <w:rFonts w:ascii="Rubik" w:cs="Rubik" w:eastAsia="Rubik" w:hAnsi="Rubik" w:hint="eastAsia"/>
                <w:color w:val="0e191a"/>
                <w:sz w:val="15"/>
                <w:szCs w:val="15"/>
              </w:rPr>
              <w:t xml:space="preserve"> 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W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/>
                <w:color w:val="0e191a"/>
                <w:kern w:val="0"/>
                <w:szCs w:val="21"/>
              </w:rPr>
              <w:t>50</w:t>
            </w:r>
            <w:r>
              <w:rPr>
                <w:rFonts w:ascii="Rubik" w:cs="Rubik" w:eastAsia="Rubik" w:hAnsi="Rubik"/>
                <w:color w:val="0e191a"/>
                <w:kern w:val="0"/>
                <w:szCs w:val="21"/>
              </w:rPr>
              <w:t>m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中子装甲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（舰桥）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/>
                <w:color w:val="0e191a"/>
                <w:kern w:val="0"/>
                <w:szCs w:val="21"/>
              </w:rPr>
              <w:t>42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m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水晶</w:t>
            </w:r>
            <w:r>
              <w:rPr>
                <w:rFonts w:ascii="宋体" w:cs="Rubik" w:hAnsi="宋体" w:hint="eastAsia"/>
                <w:color w:val="0e191a"/>
                <w:kern w:val="0"/>
                <w:szCs w:val="21"/>
              </w:rPr>
              <w:t>-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耐钢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装甲</w:t>
            </w:r>
            <w:r>
              <w:rPr>
                <w:rFonts w:ascii="宋体" w:cs="Rubik" w:hAnsi="宋体" w:hint="eastAsia"/>
                <w:color w:val="0e191a"/>
                <w:kern w:val="0"/>
                <w:szCs w:val="21"/>
              </w:rPr>
              <w:t>（核心区）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/>
                <w:color w:val="0e191a"/>
                <w:kern w:val="0"/>
                <w:szCs w:val="21"/>
              </w:rPr>
              <w:t>3</w:t>
            </w:r>
            <w:r>
              <w:rPr>
                <w:rFonts w:cs="Rubik" w:hAnsi="Rubik"/>
                <w:color w:val="0e191a"/>
                <w:kern w:val="0"/>
                <w:szCs w:val="21"/>
                <w:lang w:val="en-US"/>
              </w:rPr>
              <w:t>5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m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水晶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-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耐钢装甲带（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非核心区）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/>
                <w:color w:val="0e191a"/>
                <w:kern w:val="0"/>
                <w:szCs w:val="21"/>
              </w:rPr>
              <w:t>1</w:t>
            </w:r>
            <w:r>
              <w:rPr>
                <w:rFonts w:cs="Rubik" w:hAnsi="Rubik"/>
                <w:color w:val="0e191a"/>
                <w:kern w:val="0"/>
                <w:szCs w:val="21"/>
                <w:lang w:val="en-US"/>
              </w:rPr>
              <w:t>6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m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水晶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-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耐钢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装甲外壳（其他防护区）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hAnsi="Rubik"/>
                <w:color w:val="0e191a"/>
                <w:kern w:val="0"/>
                <w:szCs w:val="21"/>
              </w:rPr>
              <w:t>15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m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耐钢装甲外壳（非防护区）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舰载单位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地联革命动力装甲士兵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*10000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val="en-US" w:eastAsia="zh-CN"/>
              </w:rPr>
              <w:t>波江座人革命军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*5000</w:t>
            </w: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（外表参考罗慕伦人）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  <w:lang w:val="en-US" w:eastAsia="zh-CN"/>
              </w:rPr>
              <w:t>船员以及其他职业人员：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200000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平民：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15000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组装机器人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10000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攻城坦克：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500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金雕多功能战机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300</w:t>
            </w: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架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航天飞机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300</w:t>
            </w: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架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</w:pP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舰载大力神运输船（大小参考现代航母）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 w:eastAsia="zh-CN"/>
              </w:rPr>
              <w:t>5</w:t>
            </w:r>
            <w:r>
              <w:rPr>
                <w:rFonts w:cs="Rubik" w:hAnsi="Rubik" w:hint="eastAsia"/>
                <w:color w:val="0e191a"/>
                <w:kern w:val="0"/>
                <w:szCs w:val="21"/>
                <w:lang w:val="en-US" w:eastAsia="zh-CN"/>
              </w:rPr>
              <w:t>艘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其他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hAnsi="Rubik" w:hint="eastAsia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应急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三防（气密、辐射、高速碎片）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护盾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电子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攻击综合屏蔽系统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引力波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设备、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数理化多用途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科研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设备、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纳米机器修复系统、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  <w:lang w:eastAsia="zh-CN"/>
              </w:rPr>
              <w:t>大型全息投影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系统</w:t>
            </w:r>
          </w:p>
        </w:tc>
      </w:tr>
      <w:tr>
        <w:tblPrEx/>
        <w:trPr>
          <w:trHeight w:val="327" w:hRule="atLeast"/>
        </w:trPr>
        <w:tc>
          <w:tcPr>
            <w:tcW w:w="9737" w:type="dxa"/>
            <w:gridSpan w:val="2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尺寸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长度（米）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</w:t>
            </w:r>
            <w:r>
              <w:rPr>
                <w:rFonts w:cs="Rubik" w:hAnsi="Rubik" w:hint="default"/>
                <w:color w:val="0e191a"/>
                <w:kern w:val="0"/>
                <w:szCs w:val="21"/>
                <w:lang w:val="en-US"/>
              </w:rPr>
              <w:t>3</w:t>
            </w: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121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米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宽度（米）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3044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</w:t>
            </w:r>
            <w:r>
              <w:rPr>
                <w:rFonts w:ascii="宋体" w:cs="宋体" w:eastAsia="宋体" w:hAnsi="宋体" w:hint="eastAsia"/>
                <w:color w:val="0e191a"/>
                <w:kern w:val="0"/>
                <w:szCs w:val="21"/>
              </w:rPr>
              <w:t>米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高度（米）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hAnsi="Rubik" w:hint="eastAsia"/>
                <w:color w:val="0e191a"/>
                <w:kern w:val="0"/>
                <w:szCs w:val="21"/>
              </w:rPr>
              <w:t>2562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米</w:t>
            </w: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质量（吨）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ind w:left="720" w:firstLine="1920" w:firstLineChars="800"/>
              <w:jc w:val="left"/>
              <w:rPr>
                <w:rFonts w:ascii="宋体" w:cs="宋体" w:eastAsia="宋体" w:hAnsi="宋体"/>
                <w:kern w:val="0"/>
                <w:sz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lang w:eastAsia="zh-CN"/>
              </w:rPr>
              <w:t>1200</w:t>
            </w:r>
            <w:r>
              <w:rPr>
                <w:rFonts w:ascii="宋体" w:cs="宋体" w:eastAsia="宋体" w:hAnsi="宋体"/>
                <w:kern w:val="0"/>
                <w:sz w:val="24"/>
              </w:rPr>
              <w:t xml:space="preserve">亿吨 </w:t>
            </w:r>
          </w:p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</w:p>
        </w:tc>
      </w:tr>
      <w:tr>
        <w:tblPrEx/>
        <w:trPr>
          <w:trHeight w:val="327" w:hRule="atLeast"/>
        </w:trPr>
        <w:tc>
          <w:tcPr>
            <w:tcW w:w="2997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>甲板层数</w:t>
            </w:r>
          </w:p>
        </w:tc>
        <w:tc>
          <w:tcPr>
            <w:tcW w:w="6740" w:type="dxa"/>
            <w:tcBorders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pStyle w:val="style0"/>
              <w:widowControl/>
              <w:jc w:val="center"/>
              <w:textAlignment w:val="top"/>
              <w:rPr>
                <w:rFonts w:ascii="Rubik" w:cs="Rubik" w:eastAsia="Rubik" w:hAnsi="Rubik"/>
                <w:color w:val="0e191a"/>
                <w:kern w:val="0"/>
                <w:szCs w:val="21"/>
              </w:rPr>
            </w:pP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  <w:lang w:eastAsia="zh-CN"/>
              </w:rPr>
              <w:t>650</w:t>
            </w:r>
            <w:r>
              <w:rPr>
                <w:rFonts w:ascii="Rubik" w:cs="Rubik" w:eastAsia="Rubik" w:hAnsi="Rubik" w:hint="eastAsia"/>
                <w:color w:val="0e191a"/>
                <w:kern w:val="0"/>
                <w:szCs w:val="21"/>
              </w:rPr>
              <w:t xml:space="preserve"> 层</w:t>
            </w:r>
          </w:p>
        </w:tc>
      </w:tr>
    </w:tbl>
    <w:p>
      <w:pPr>
        <w:pStyle w:val="style0"/>
        <w:rPr>
          <w:rFonts w:ascii="Rubik" w:cs="Rubik" w:eastAsia="Rubik" w:hAnsi="Rubik"/>
          <w:color w:val="0e191a"/>
          <w:kern w:val="0"/>
          <w:szCs w:val="21"/>
        </w:rPr>
      </w:pPr>
    </w:p>
    <w:p>
      <w:pPr>
        <w:pStyle w:val="style0"/>
        <w:rPr>
          <w:rFonts w:ascii="Rubik" w:cs="Rubik" w:eastAsia="Rubik" w:hAnsi="Rubik"/>
          <w:color w:val="0e191a"/>
          <w:kern w:val="0"/>
          <w:szCs w:val="21"/>
        </w:rPr>
      </w:pPr>
    </w:p>
    <w:p>
      <w:pPr>
        <w:pStyle w:val="style0"/>
        <w:rPr>
          <w:rFonts w:ascii="宋体" w:cs="Rubik" w:hAnsi="宋体"/>
          <w:color w:val="0e191a"/>
          <w:kern w:val="0"/>
          <w:szCs w:val="21"/>
        </w:rPr>
      </w:pPr>
      <w:r>
        <w:rPr>
          <w:rFonts w:ascii="Rubik" w:cs="Rubik" w:eastAsia="Rubik" w:hAnsi="Rubik"/>
          <w:color w:val="0e191a"/>
          <w:kern w:val="0"/>
          <w:szCs w:val="21"/>
        </w:rPr>
        <w:t>备注</w:t>
      </w:r>
      <w:r>
        <w:rPr>
          <w:rFonts w:ascii="宋体" w:cs="Rubik" w:hAnsi="宋体" w:hint="eastAsia"/>
          <w:color w:val="0e191a"/>
          <w:kern w:val="0"/>
          <w:szCs w:val="21"/>
        </w:rPr>
        <w:t>：</w:t>
      </w:r>
      <w:r>
        <w:rPr>
          <w:rFonts w:ascii="宋体" w:cs="Rubik" w:hAnsi="宋体" w:hint="eastAsia"/>
          <w:color w:val="0e191a"/>
          <w:kern w:val="0"/>
          <w:szCs w:val="21"/>
          <w:lang w:eastAsia="zh-CN"/>
        </w:rPr>
        <w:t>地联革命军最后一艘泰坦，在波江座防线与寰宇巨企，人联，海星帝国联合军作战失利后，地联共产党高层领导几乎战死，同时由于原地联政府官员的出卖，导致光复地联的计划几乎失败，寰宇巨企为了惩罚地联起义者，将巨像开到地球地爆天星，由于损失地球，地联革命军几乎名存实亡，希望号的全体成员不甘心地联革命的失败，变改国号星海共同体继续远走深空与寰宇巨企联军作战，继承并发扬地联共产党的意志。</w:t>
      </w:r>
    </w:p>
    <w:p>
      <w:pPr>
        <w:pStyle w:val="style0"/>
        <w:rPr>
          <w:rFonts w:ascii="宋体" w:cs="Rubik" w:hAnsi="宋体"/>
          <w:color w:val="0e191a"/>
          <w:kern w:val="0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Rubi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qFormat/>
    <w:uiPriority w:val="0"/>
    <w:pPr/>
    <w:rPr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</w:rPr>
  </w:style>
  <w:style w:type="character" w:customStyle="1" w:styleId="style4097">
    <w:name w:val="批注框文本 Char"/>
    <w:basedOn w:val="style65"/>
    <w:next w:val="style4097"/>
    <w:link w:val="style153"/>
    <w:qFormat/>
    <w:uiPriority w:val="0"/>
    <w:rPr>
      <w:rFonts w:ascii="Calibri" w:cs="宋体" w:eastAsia="宋体" w:hAnsi="Calibr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1223</Words>
  <Pages>4</Pages>
  <Characters>1388</Characters>
  <Application>WPS Office</Application>
  <DocSecurity>0</DocSecurity>
  <Paragraphs>159</Paragraphs>
  <ScaleCrop>false</ScaleCrop>
  <Company>MS</Company>
  <LinksUpToDate>false</LinksUpToDate>
  <CharactersWithSpaces>1440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2020-09-23T23:40:00Z</dcterms:created>
  <dc:creator>iPhone</dc:creator>
  <lastModifiedBy>YAL-AL00</lastModifiedBy>
  <dcterms:modified xsi:type="dcterms:W3CDTF">2020-11-14T02:03:35Z</dcterms:modified>
  <revision>84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2052-10.4.1</vt:lpwstr>
  </property>
</Properties>
</file>