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bdr w:val="none" w:color="auto" w:sz="0" w:space="0"/>
        </w:rPr>
        <w:t>比特币是数字黄金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bdr w:val="none" w:color="auto" w:sz="0" w:space="0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关于比特币的最常见，最好的方法之一就是“数字黄金”。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像黄金一样，比特币不依赖中央发行人，不能由任何机构操纵其供应，并且其基本属性长期以来被认为对货币商品和价值存储至关重要。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与黄金不同，比特币“运输”起来极其容易且便宜，并且很难验证其真实性。比特币也是“可编程的”。这意味着比特币的保管可以非常灵活。它可以在一组人员（“密钥持有者”）之间分割，备份和加密，甚至就地冻结，直到将来的某个日期为止。这一切都无需中央机构来管理该过程。也可以通过“存储的”比特币穿越国家边界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与黄金的相似之处，加上由于比特币是纯数字货币而可能具有的独特功能，使它成为“数字黄金”的绰号。与黄金共享基本属性意味着它与黄金共享用例，例如对冲通胀和政治不确定性。但是，作为数字技术，比特币增加了与我们现代电子时代特别相关的功能。世界确实确实需要数字化的黄金。</w:t>
      </w: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bdr w:val="none" w:color="auto" w:sz="0" w:space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bdr w:val="none" w:color="auto" w:sz="0" w:space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54F76"/>
    <w:rsid w:val="1295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2020-12-18T03:31:00Z</dcterms:created>
  <dc:creator>NING MEI</dc:creator>
  <cp:lastModifiedBy>NING MEI</cp:lastModifiedBy>
  <dcterms:modified xsi:type="dcterms:W3CDTF">2020-12-18T03:31:37Z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