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4FFEC">
      <w:pPr>
        <w:keepNext/>
        <w:keepLines/>
        <w:tabs>
          <w:tab w:val="center" w:pos="4535"/>
        </w:tabs>
        <w:kinsoku/>
        <w:wordWrap/>
        <w:overflowPunct/>
        <w:topLinePunct w:val="0"/>
        <w:autoSpaceDE/>
        <w:autoSpaceDN/>
        <w:bidi w:val="0"/>
        <w:spacing w:line="360" w:lineRule="auto"/>
        <w:jc w:val="center"/>
        <w:rPr>
          <w:rStyle w:val="16"/>
          <w:rFonts w:hint="eastAsia" w:ascii="黑体" w:hAnsi="黑体" w:eastAsia="黑体" w:cs="黑体"/>
          <w:b/>
          <w:bCs/>
          <w:i w:val="0"/>
          <w:iCs w:val="0"/>
          <w:sz w:val="32"/>
          <w:szCs w:val="32"/>
          <w:lang w:val="en-US" w:eastAsia="zh-CN"/>
        </w:rPr>
      </w:pPr>
      <w:r>
        <w:rPr>
          <w:rFonts w:hint="eastAsia" w:ascii="黑体" w:hAnsi="黑体" w:eastAsia="黑体" w:cs="黑体"/>
          <w:b/>
          <w:bCs/>
          <w:sz w:val="32"/>
          <w:szCs w:val="32"/>
          <w:lang w:val="en-US" w:eastAsia="zh-CN"/>
        </w:rPr>
        <w:t>零售门店销售数据深度挖掘</w:t>
      </w:r>
      <w:r>
        <w:rPr>
          <w:rStyle w:val="16"/>
          <w:rFonts w:hint="eastAsia" w:ascii="黑体" w:hAnsi="黑体" w:eastAsia="黑体" w:cs="黑体"/>
          <w:b/>
          <w:bCs/>
          <w:i w:val="0"/>
          <w:iCs w:val="0"/>
          <w:sz w:val="32"/>
          <w:szCs w:val="32"/>
        </w:rPr>
        <w:t>与可视化分析</w:t>
      </w:r>
    </w:p>
    <w:p w14:paraId="4D470F58">
      <w:pPr>
        <w:keepNext/>
        <w:keepLines/>
        <w:kinsoku/>
        <w:wordWrap/>
        <w:overflowPunct/>
        <w:topLinePunct w:val="0"/>
        <w:autoSpaceDE/>
        <w:autoSpaceDN/>
        <w:bidi w:val="0"/>
        <w:spacing w:line="360" w:lineRule="auto"/>
        <w:jc w:val="center"/>
        <w:rPr>
          <w:rFonts w:hint="default" w:ascii="黑体" w:hAnsi="黑体" w:eastAsia="黑体" w:cs="黑体"/>
          <w:b/>
          <w:bCs/>
          <w:sz w:val="28"/>
          <w:szCs w:val="28"/>
          <w:lang w:val="en-US" w:eastAsia="zh-CN"/>
        </w:rPr>
      </w:pPr>
      <w:r>
        <w:rPr>
          <w:rFonts w:hint="eastAsia" w:ascii="黑体" w:hAnsi="黑体" w:eastAsia="黑体" w:cs="黑体"/>
          <w:b/>
          <w:bCs/>
          <w:sz w:val="28"/>
          <w:szCs w:val="28"/>
        </w:rPr>
        <w:t>摘  要</w:t>
      </w:r>
      <w:r>
        <w:rPr>
          <w:rFonts w:hint="eastAsia" w:ascii="黑体" w:hAnsi="黑体" w:eastAsia="黑体" w:cs="黑体"/>
          <w:b/>
          <w:bCs/>
          <w:sz w:val="28"/>
          <w:szCs w:val="28"/>
          <w:lang w:val="en-US" w:eastAsia="zh-CN"/>
        </w:rPr>
        <w:t xml:space="preserve">        </w:t>
      </w:r>
    </w:p>
    <w:p w14:paraId="55E88C6D">
      <w:pPr>
        <w:keepNext/>
        <w:keepLines/>
        <w:pageBreakBefore w:val="0"/>
        <w:widowControl w:val="0"/>
        <w:kinsoku/>
        <w:wordWrap/>
        <w:overflowPunct/>
        <w:topLinePunct w:val="0"/>
        <w:autoSpaceDE/>
        <w:autoSpaceDN/>
        <w:bidi w:val="0"/>
        <w:adjustRightInd/>
        <w:snapToGrid/>
        <w:spacing w:line="240" w:lineRule="auto"/>
        <w:ind w:firstLine="482" w:firstLineChars="200"/>
        <w:jc w:val="both"/>
        <w:textAlignment w:val="auto"/>
        <w:rPr>
          <w:rFonts w:hint="eastAsia" w:ascii="黑体" w:hAnsi="黑体" w:eastAsia="黑体" w:cs="黑体"/>
          <w:b w:val="0"/>
          <w:bCs w:val="0"/>
          <w:sz w:val="24"/>
          <w:szCs w:val="24"/>
        </w:rPr>
      </w:pPr>
      <w:r>
        <w:rPr>
          <w:rFonts w:hint="eastAsia" w:ascii="黑体" w:hAnsi="黑体" w:eastAsia="黑体" w:cs="黑体"/>
          <w:b/>
          <w:bCs/>
          <w:sz w:val="24"/>
          <w:szCs w:val="24"/>
          <w:lang w:val="en-US" w:eastAsia="zh-CN"/>
        </w:rPr>
        <w:t>针对问题一</w:t>
      </w:r>
      <w:r>
        <w:rPr>
          <w:rFonts w:hint="eastAsia" w:ascii="黑体" w:hAnsi="黑体" w:eastAsia="黑体" w:cs="黑体"/>
          <w:b w:val="0"/>
          <w:bCs w:val="0"/>
          <w:sz w:val="24"/>
          <w:szCs w:val="24"/>
          <w:lang w:val="en-US" w:eastAsia="zh-CN"/>
        </w:rPr>
        <w:t>，</w:t>
      </w:r>
      <w:r>
        <w:rPr>
          <w:rFonts w:hint="eastAsia" w:ascii="黑体" w:hAnsi="黑体" w:eastAsia="黑体" w:cs="黑体"/>
          <w:b w:val="0"/>
          <w:bCs w:val="0"/>
          <w:sz w:val="24"/>
          <w:szCs w:val="24"/>
        </w:rPr>
        <w:t>本文以浙江省万客缘佳乐福店</w:t>
      </w:r>
      <w:r>
        <w:rPr>
          <w:rFonts w:hint="eastAsia" w:ascii="黑体" w:hAnsi="黑体" w:eastAsia="黑体" w:cs="黑体"/>
          <w:b/>
          <w:bCs/>
          <w:sz w:val="24"/>
          <w:szCs w:val="24"/>
        </w:rPr>
        <w:t>2021.1.1-2022.12.8</w:t>
      </w:r>
      <w:r>
        <w:rPr>
          <w:rFonts w:hint="eastAsia" w:ascii="黑体" w:hAnsi="黑体" w:eastAsia="黑体" w:cs="黑体"/>
          <w:b w:val="0"/>
          <w:bCs w:val="0"/>
          <w:sz w:val="24"/>
          <w:szCs w:val="24"/>
        </w:rPr>
        <w:t>的销售数据为样本，通过帕累托分析识别关键品类与促销活动，为零售企业精细化运营提供理论依据。首先，我们建立了四级</w:t>
      </w:r>
      <w:r>
        <w:rPr>
          <w:rFonts w:hint="eastAsia" w:ascii="黑体" w:hAnsi="黑体" w:eastAsia="黑体" w:cs="黑体"/>
          <w:b/>
          <w:bCs/>
          <w:sz w:val="24"/>
          <w:szCs w:val="24"/>
        </w:rPr>
        <w:t>品类管理体系</w:t>
      </w:r>
      <w:r>
        <w:rPr>
          <w:rFonts w:hint="eastAsia" w:ascii="黑体" w:hAnsi="黑体" w:eastAsia="黑体" w:cs="黑体"/>
          <w:b w:val="0"/>
          <w:bCs w:val="0"/>
          <w:sz w:val="24"/>
          <w:szCs w:val="24"/>
        </w:rPr>
        <w:t>（一级：医疗保健/生鲜/非食/食品；二级：16个子类如冲调食品、烟酒水饮等），通过</w:t>
      </w:r>
      <w:r>
        <w:rPr>
          <w:rFonts w:hint="eastAsia" w:ascii="黑体" w:hAnsi="黑体" w:eastAsia="黑体" w:cs="黑体"/>
          <w:b w:val="0"/>
          <w:bCs w:val="0"/>
          <w:sz w:val="24"/>
          <w:szCs w:val="24"/>
          <w:lang w:val="en-US" w:eastAsia="zh-CN"/>
        </w:rPr>
        <w:t>程序</w:t>
      </w:r>
      <w:r>
        <w:rPr>
          <w:rFonts w:hint="eastAsia" w:ascii="黑体" w:hAnsi="黑体" w:eastAsia="黑体" w:cs="黑体"/>
          <w:b w:val="0"/>
          <w:bCs w:val="0"/>
          <w:sz w:val="24"/>
          <w:szCs w:val="24"/>
        </w:rPr>
        <w:t>对每个品类的销售额和销售数量进行精确统计，并将计算结果进行</w:t>
      </w:r>
      <w:r>
        <w:rPr>
          <w:rFonts w:hint="eastAsia" w:ascii="黑体" w:hAnsi="黑体" w:eastAsia="黑体" w:cs="黑体"/>
          <w:b/>
          <w:bCs/>
          <w:sz w:val="24"/>
          <w:szCs w:val="24"/>
        </w:rPr>
        <w:t>可视化分析</w:t>
      </w:r>
      <w:r>
        <w:rPr>
          <w:rFonts w:hint="eastAsia" w:ascii="黑体" w:hAnsi="黑体" w:eastAsia="黑体" w:cs="黑体"/>
          <w:b w:val="0"/>
          <w:bCs w:val="0"/>
          <w:sz w:val="24"/>
          <w:szCs w:val="24"/>
        </w:rPr>
        <w:t>。数据分析显示，在四大一级品类中，食品品类贡献了</w:t>
      </w:r>
      <w:r>
        <w:rPr>
          <w:rFonts w:hint="eastAsia" w:ascii="黑体" w:hAnsi="黑体" w:eastAsia="黑体" w:cs="黑体"/>
          <w:b w:val="0"/>
          <w:bCs w:val="0"/>
          <w:sz w:val="24"/>
          <w:szCs w:val="24"/>
          <w:lang w:val="en-US" w:eastAsia="zh-CN"/>
        </w:rPr>
        <w:t>66.73%</w:t>
      </w:r>
      <w:r>
        <w:rPr>
          <w:rFonts w:hint="eastAsia" w:ascii="黑体" w:hAnsi="黑体" w:eastAsia="黑体" w:cs="黑体"/>
          <w:b w:val="0"/>
          <w:bCs w:val="0"/>
          <w:sz w:val="24"/>
          <w:szCs w:val="24"/>
        </w:rPr>
        <w:t>的总销售额，显著高于其他品类；进一步细分发现，烟酒水饮</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26.46%）、</w:t>
      </w:r>
      <w:r>
        <w:rPr>
          <w:rFonts w:hint="eastAsia" w:ascii="黑体" w:hAnsi="黑体" w:eastAsia="黑体" w:cs="黑体"/>
          <w:b w:val="0"/>
          <w:bCs w:val="0"/>
          <w:sz w:val="24"/>
          <w:szCs w:val="24"/>
        </w:rPr>
        <w:t>冲调食品</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4.24%）、</w:t>
      </w:r>
      <w:r>
        <w:rPr>
          <w:rFonts w:hint="eastAsia" w:ascii="黑体" w:hAnsi="黑体" w:eastAsia="黑体" w:cs="黑体"/>
          <w:b w:val="0"/>
          <w:bCs w:val="0"/>
          <w:sz w:val="24"/>
          <w:szCs w:val="24"/>
        </w:rPr>
        <w:t>粮油调味</w:t>
      </w:r>
      <w:r>
        <w:rPr>
          <w:rFonts w:hint="eastAsia" w:ascii="黑体" w:hAnsi="黑体" w:eastAsia="黑体" w:cs="黑体"/>
          <w:b w:val="0"/>
          <w:bCs w:val="0"/>
          <w:sz w:val="24"/>
          <w:szCs w:val="24"/>
          <w:lang w:eastAsia="zh-CN"/>
        </w:rPr>
        <w:t>（</w:t>
      </w:r>
      <w:r>
        <w:rPr>
          <w:rFonts w:hint="eastAsia" w:ascii="黑体" w:hAnsi="黑体" w:eastAsia="黑体" w:cs="黑体"/>
          <w:b w:val="0"/>
          <w:bCs w:val="0"/>
          <w:sz w:val="24"/>
          <w:szCs w:val="24"/>
          <w:lang w:val="en-US" w:eastAsia="zh-CN"/>
        </w:rPr>
        <w:t>18.03%）、</w:t>
      </w:r>
      <w:r>
        <w:rPr>
          <w:rFonts w:hint="eastAsia" w:ascii="黑体" w:hAnsi="黑体" w:eastAsia="黑体" w:cs="黑体"/>
          <w:sz w:val="24"/>
          <w:szCs w:val="24"/>
        </w:rPr>
        <w:t>休闲食品（11.56%）、家居用品（7.59%）</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冷藏乳制品（5.44%）、</w:t>
      </w:r>
      <w:r>
        <w:rPr>
          <w:rFonts w:hint="eastAsia" w:ascii="黑体" w:hAnsi="黑体" w:eastAsia="黑体" w:cs="黑体"/>
          <w:sz w:val="24"/>
          <w:szCs w:val="24"/>
        </w:rPr>
        <w:t>卫生用品（6.50%）</w:t>
      </w:r>
      <w:r>
        <w:rPr>
          <w:rFonts w:hint="eastAsia" w:ascii="黑体" w:hAnsi="黑体" w:eastAsia="黑体" w:cs="黑体"/>
          <w:sz w:val="24"/>
          <w:szCs w:val="24"/>
          <w:lang w:val="en-US" w:eastAsia="zh-CN"/>
        </w:rPr>
        <w:t>和个人清洁（5.09%）七</w:t>
      </w:r>
      <w:r>
        <w:rPr>
          <w:rFonts w:hint="eastAsia" w:ascii="黑体" w:hAnsi="黑体" w:eastAsia="黑体" w:cs="黑体"/>
          <w:sz w:val="24"/>
          <w:szCs w:val="24"/>
        </w:rPr>
        <w:t>大品类合计贡献约</w:t>
      </w:r>
      <w:r>
        <w:rPr>
          <w:rFonts w:hint="eastAsia" w:ascii="黑体" w:hAnsi="黑体" w:eastAsia="黑体" w:cs="黑体"/>
          <w:sz w:val="24"/>
          <w:szCs w:val="24"/>
          <w:lang w:val="en-US" w:eastAsia="zh-CN"/>
        </w:rPr>
        <w:t>8</w:t>
      </w:r>
      <w:r>
        <w:rPr>
          <w:rFonts w:hint="eastAsia" w:ascii="黑体" w:hAnsi="黑体" w:eastAsia="黑体" w:cs="黑体"/>
          <w:sz w:val="24"/>
          <w:szCs w:val="24"/>
        </w:rPr>
        <w:t>0%的销售额</w:t>
      </w:r>
      <w:r>
        <w:rPr>
          <w:rFonts w:hint="eastAsia" w:ascii="黑体" w:hAnsi="黑体" w:eastAsia="黑体" w:cs="黑体"/>
          <w:b w:val="0"/>
          <w:bCs w:val="0"/>
          <w:sz w:val="24"/>
          <w:szCs w:val="24"/>
        </w:rPr>
        <w:t>，符合</w:t>
      </w:r>
      <w:r>
        <w:rPr>
          <w:rFonts w:hint="eastAsia" w:ascii="黑体" w:hAnsi="黑体" w:eastAsia="黑体" w:cs="黑体"/>
          <w:b/>
          <w:bCs/>
          <w:sz w:val="24"/>
          <w:szCs w:val="24"/>
        </w:rPr>
        <w:t>帕累托法则</w:t>
      </w:r>
      <w:r>
        <w:rPr>
          <w:rFonts w:hint="eastAsia" w:ascii="黑体" w:hAnsi="黑体" w:eastAsia="黑体" w:cs="黑体"/>
          <w:b w:val="0"/>
          <w:bCs w:val="0"/>
          <w:sz w:val="24"/>
          <w:szCs w:val="24"/>
        </w:rPr>
        <w:t>。在商品层面，</w:t>
      </w:r>
      <w:r>
        <w:rPr>
          <w:rFonts w:hint="eastAsia" w:ascii="黑体" w:hAnsi="黑体" w:eastAsia="黑体" w:cs="黑体"/>
          <w:b w:val="0"/>
          <w:bCs w:val="0"/>
          <w:sz w:val="24"/>
          <w:szCs w:val="24"/>
          <w:lang w:val="en-US" w:eastAsia="zh-CN"/>
        </w:rPr>
        <w:t>通过排序分析查找出各个关键品类下的</w:t>
      </w:r>
      <w:r>
        <w:rPr>
          <w:rFonts w:hint="eastAsia" w:ascii="黑体" w:hAnsi="黑体" w:eastAsia="黑体" w:cs="黑体"/>
          <w:b/>
          <w:bCs/>
          <w:sz w:val="24"/>
          <w:szCs w:val="24"/>
          <w:lang w:val="en-US" w:eastAsia="zh-CN"/>
        </w:rPr>
        <w:t>灯塔商品</w:t>
      </w:r>
      <w:r>
        <w:rPr>
          <w:rFonts w:hint="eastAsia" w:ascii="黑体" w:hAnsi="黑体" w:eastAsia="黑体" w:cs="黑体"/>
          <w:b w:val="0"/>
          <w:bCs w:val="0"/>
          <w:sz w:val="24"/>
          <w:szCs w:val="24"/>
          <w:lang w:val="en-US" w:eastAsia="zh-CN"/>
        </w:rPr>
        <w:t>，其中，</w:t>
      </w:r>
      <w:r>
        <w:rPr>
          <w:rFonts w:hint="eastAsia" w:ascii="黑体" w:hAnsi="黑体" w:eastAsia="黑体" w:cs="黑体"/>
          <w:b w:val="0"/>
          <w:bCs w:val="0"/>
          <w:sz w:val="24"/>
          <w:szCs w:val="24"/>
        </w:rPr>
        <w:t>剑光黄酒、蒙牛鲜牛奶和某品牌乳酸菌饮品位列前三。针对促销效果，我们运用时间序列分析法，追踪了爆款商品在促销期间（标注了重要节假日的真实日期）的价格波动与销量变化，</w:t>
      </w:r>
      <w:r>
        <w:rPr>
          <w:rFonts w:hint="eastAsia" w:ascii="黑体" w:hAnsi="黑体" w:eastAsia="黑体" w:cs="黑体"/>
          <w:b w:val="0"/>
          <w:bCs w:val="0"/>
          <w:sz w:val="24"/>
          <w:szCs w:val="24"/>
          <w:lang w:val="en-US" w:eastAsia="zh-CN"/>
        </w:rPr>
        <w:t>并且构建了</w:t>
      </w:r>
      <w:r>
        <w:rPr>
          <w:rFonts w:hint="eastAsia" w:ascii="黑体" w:hAnsi="黑体" w:eastAsia="黑体" w:cs="黑体"/>
          <w:b/>
          <w:bCs/>
          <w:sz w:val="24"/>
          <w:szCs w:val="24"/>
          <w:lang w:val="en-US" w:eastAsia="zh-CN"/>
        </w:rPr>
        <w:t>需求-价格弹性模型，</w:t>
      </w:r>
      <w:r>
        <w:rPr>
          <w:rFonts w:hint="eastAsia" w:ascii="黑体" w:hAnsi="黑体" w:eastAsia="黑体" w:cs="黑体"/>
          <w:b w:val="0"/>
          <w:bCs w:val="0"/>
          <w:sz w:val="24"/>
          <w:szCs w:val="24"/>
          <w:lang w:val="en-US" w:eastAsia="zh-CN"/>
        </w:rPr>
        <w:t>精准量化价格变动对市场需求的影响。</w:t>
      </w:r>
      <w:r>
        <w:rPr>
          <w:rFonts w:hint="eastAsia" w:ascii="黑体" w:hAnsi="黑体" w:eastAsia="黑体" w:cs="黑体"/>
          <w:b w:val="0"/>
          <w:bCs w:val="0"/>
          <w:sz w:val="24"/>
          <w:szCs w:val="24"/>
        </w:rPr>
        <w:t>实证数据显示：</w:t>
      </w:r>
      <w:r>
        <w:rPr>
          <w:rFonts w:hint="eastAsia" w:ascii="黑体" w:hAnsi="黑体" w:eastAsia="黑体" w:cs="黑体"/>
          <w:b w:val="0"/>
          <w:bCs w:val="0"/>
          <w:sz w:val="24"/>
          <w:szCs w:val="24"/>
          <w:lang w:val="en-US" w:eastAsia="zh-CN"/>
        </w:rPr>
        <w:t>酱油调味料</w:t>
      </w:r>
      <w:r>
        <w:rPr>
          <w:rFonts w:hint="eastAsia" w:ascii="黑体" w:hAnsi="黑体" w:eastAsia="黑体" w:cs="黑体"/>
          <w:b w:val="0"/>
          <w:bCs w:val="0"/>
          <w:sz w:val="24"/>
          <w:szCs w:val="24"/>
        </w:rPr>
        <w:t>在</w:t>
      </w:r>
      <w:r>
        <w:rPr>
          <w:rFonts w:hint="eastAsia" w:ascii="黑体" w:hAnsi="黑体" w:eastAsia="黑体" w:cs="黑体"/>
          <w:b w:val="0"/>
          <w:bCs w:val="0"/>
          <w:sz w:val="24"/>
          <w:szCs w:val="24"/>
          <w:lang w:val="en-US" w:eastAsia="zh-CN"/>
        </w:rPr>
        <w:t>促销前后相同时间内</w:t>
      </w:r>
      <w:r>
        <w:rPr>
          <w:rFonts w:hint="eastAsia" w:ascii="黑体" w:hAnsi="黑体" w:eastAsia="黑体" w:cs="黑体"/>
          <w:b w:val="0"/>
          <w:bCs w:val="0"/>
          <w:sz w:val="24"/>
          <w:szCs w:val="24"/>
        </w:rPr>
        <w:t>，</w:t>
      </w:r>
      <w:r>
        <w:rPr>
          <w:rFonts w:hint="eastAsia" w:ascii="黑体" w:hAnsi="黑体" w:eastAsia="黑体" w:cs="黑体"/>
          <w:b w:val="0"/>
          <w:bCs w:val="0"/>
          <w:sz w:val="24"/>
          <w:szCs w:val="24"/>
          <w:lang w:val="en-US" w:eastAsia="zh-CN"/>
        </w:rPr>
        <w:t>促销后的销售额为促销前销售额的3.857倍，较促销前增长了285.7%，由此可知，部分促销活动对销售业绩有显著的影响</w:t>
      </w:r>
      <w:r>
        <w:rPr>
          <w:rFonts w:hint="eastAsia" w:ascii="黑体" w:hAnsi="黑体" w:eastAsia="黑体" w:cs="黑体"/>
          <w:b w:val="0"/>
          <w:bCs w:val="0"/>
          <w:sz w:val="24"/>
          <w:szCs w:val="24"/>
        </w:rPr>
        <w:t>。</w:t>
      </w:r>
    </w:p>
    <w:p w14:paraId="79A1040F">
      <w:pPr>
        <w:bidi w:val="0"/>
        <w:ind w:firstLine="482" w:firstLineChars="200"/>
        <w:rPr>
          <w:rFonts w:hint="eastAsia" w:ascii="黑体" w:hAnsi="黑体" w:eastAsia="黑体" w:cs="黑体"/>
          <w:sz w:val="24"/>
          <w:szCs w:val="24"/>
          <w:lang w:eastAsia="zh-CN"/>
        </w:rPr>
      </w:pPr>
      <w:r>
        <w:rPr>
          <w:rFonts w:hint="eastAsia" w:ascii="黑体" w:hAnsi="黑体" w:eastAsia="黑体" w:cs="黑体"/>
          <w:b/>
          <w:bCs/>
          <w:sz w:val="24"/>
          <w:szCs w:val="24"/>
          <w:lang w:val="en-US" w:eastAsia="zh-CN"/>
        </w:rPr>
        <w:t>针对问题二</w:t>
      </w:r>
      <w:r>
        <w:rPr>
          <w:rFonts w:hint="eastAsia" w:ascii="黑体" w:hAnsi="黑体" w:eastAsia="黑体" w:cs="黑体"/>
          <w:b w:val="0"/>
          <w:bCs w:val="0"/>
          <w:sz w:val="24"/>
          <w:szCs w:val="24"/>
          <w:lang w:val="en-US" w:eastAsia="zh-CN"/>
        </w:rPr>
        <w:t>，</w:t>
      </w:r>
      <w:r>
        <w:rPr>
          <w:rFonts w:hint="eastAsia" w:ascii="黑体" w:hAnsi="黑体" w:eastAsia="黑体" w:cs="黑体"/>
          <w:sz w:val="24"/>
          <w:szCs w:val="24"/>
        </w:rPr>
        <w:t>首先，通过业务理解选取了碳酸饮料、冷藏水饮、肉类具有典型季节性的品类（依据商品属性与消费常识判断）。使用Python的pandas库从原始数据中提取这些品类的每日销售记录，并按月份</w:t>
      </w:r>
      <w:r>
        <w:rPr>
          <w:rFonts w:hint="eastAsia" w:ascii="黑体" w:hAnsi="黑体" w:eastAsia="黑体" w:cs="黑体"/>
          <w:b/>
          <w:bCs/>
          <w:sz w:val="24"/>
          <w:szCs w:val="24"/>
        </w:rPr>
        <w:t>聚合计算</w:t>
      </w:r>
      <w:r>
        <w:rPr>
          <w:rFonts w:hint="eastAsia" w:ascii="黑体" w:hAnsi="黑体" w:eastAsia="黑体" w:cs="黑体"/>
          <w:sz w:val="24"/>
          <w:szCs w:val="24"/>
        </w:rPr>
        <w:t>销售额均值。为直观展示</w:t>
      </w:r>
      <w:r>
        <w:rPr>
          <w:rFonts w:hint="eastAsia" w:ascii="黑体" w:hAnsi="黑体" w:eastAsia="黑体" w:cs="黑体"/>
          <w:b/>
          <w:bCs/>
          <w:sz w:val="24"/>
          <w:szCs w:val="24"/>
        </w:rPr>
        <w:t>季节性规律</w:t>
      </w:r>
      <w:r>
        <w:rPr>
          <w:rFonts w:hint="eastAsia" w:ascii="黑体" w:hAnsi="黑体" w:eastAsia="黑体" w:cs="黑体"/>
          <w:sz w:val="24"/>
          <w:szCs w:val="24"/>
        </w:rPr>
        <w:t>，</w:t>
      </w:r>
      <w:r>
        <w:rPr>
          <w:rFonts w:hint="eastAsia" w:ascii="黑体" w:hAnsi="黑体" w:eastAsia="黑体" w:cs="黑体"/>
          <w:sz w:val="24"/>
          <w:szCs w:val="24"/>
          <w:lang w:val="en-US" w:eastAsia="zh-CN"/>
        </w:rPr>
        <w:t>并</w:t>
      </w:r>
      <w:r>
        <w:rPr>
          <w:rFonts w:hint="eastAsia" w:ascii="黑体" w:hAnsi="黑体" w:eastAsia="黑体" w:cs="黑体"/>
          <w:sz w:val="24"/>
          <w:szCs w:val="24"/>
        </w:rPr>
        <w:t>绘制了各品类</w:t>
      </w:r>
      <w:r>
        <w:rPr>
          <w:rFonts w:hint="eastAsia" w:ascii="黑体" w:hAnsi="黑体" w:eastAsia="黑体" w:cs="黑体"/>
          <w:sz w:val="24"/>
          <w:szCs w:val="24"/>
          <w:lang w:val="en-US" w:eastAsia="zh-CN"/>
        </w:rPr>
        <w:t>12</w:t>
      </w:r>
      <w:r>
        <w:rPr>
          <w:rFonts w:hint="eastAsia" w:ascii="黑体" w:hAnsi="黑体" w:eastAsia="黑体" w:cs="黑体"/>
          <w:sz w:val="24"/>
          <w:szCs w:val="24"/>
        </w:rPr>
        <w:t>个月的销售曲线图，标注了年度峰值</w:t>
      </w:r>
      <w:r>
        <w:rPr>
          <w:rFonts w:hint="eastAsia" w:ascii="黑体" w:hAnsi="黑体" w:eastAsia="黑体" w:cs="黑体"/>
          <w:color w:val="auto"/>
          <w:sz w:val="24"/>
          <w:szCs w:val="24"/>
        </w:rPr>
        <w:t>（如碳酸饮料在202</w:t>
      </w:r>
      <w:r>
        <w:rPr>
          <w:rFonts w:hint="eastAsia" w:ascii="黑体" w:hAnsi="黑体" w:eastAsia="黑体" w:cs="黑体"/>
          <w:color w:val="auto"/>
          <w:sz w:val="24"/>
          <w:szCs w:val="24"/>
          <w:lang w:val="en-US" w:eastAsia="zh-CN"/>
        </w:rPr>
        <w:t>1</w:t>
      </w:r>
      <w:r>
        <w:rPr>
          <w:rFonts w:hint="eastAsia" w:ascii="黑体" w:hAnsi="黑体" w:eastAsia="黑体" w:cs="黑体"/>
          <w:color w:val="auto"/>
          <w:sz w:val="24"/>
          <w:szCs w:val="24"/>
        </w:rPr>
        <w:t>年7月达到峰值</w:t>
      </w:r>
      <w:r>
        <w:rPr>
          <w:rFonts w:hint="eastAsia" w:ascii="黑体" w:hAnsi="黑体" w:eastAsia="黑体" w:cs="黑体"/>
          <w:color w:val="auto"/>
          <w:sz w:val="24"/>
          <w:szCs w:val="24"/>
          <w:lang w:val="en-US" w:eastAsia="zh-CN"/>
        </w:rPr>
        <w:t>18129.33</w:t>
      </w:r>
      <w:r>
        <w:rPr>
          <w:rFonts w:hint="eastAsia" w:ascii="黑体" w:hAnsi="黑体" w:eastAsia="黑体" w:cs="黑体"/>
          <w:color w:val="auto"/>
          <w:sz w:val="24"/>
          <w:szCs w:val="24"/>
        </w:rPr>
        <w:t>元）</w:t>
      </w:r>
      <w:r>
        <w:rPr>
          <w:rFonts w:hint="eastAsia" w:ascii="黑体" w:hAnsi="黑体" w:eastAsia="黑体" w:cs="黑体"/>
          <w:sz w:val="24"/>
          <w:szCs w:val="24"/>
        </w:rPr>
        <w:t>和谷值</w:t>
      </w:r>
      <w:r>
        <w:rPr>
          <w:rFonts w:hint="eastAsia" w:ascii="黑体" w:hAnsi="黑体" w:eastAsia="黑体" w:cs="黑体"/>
          <w:color w:val="auto"/>
          <w:sz w:val="24"/>
          <w:szCs w:val="24"/>
        </w:rPr>
        <w:t>（肉类在202</w:t>
      </w:r>
      <w:r>
        <w:rPr>
          <w:rFonts w:hint="eastAsia" w:ascii="黑体" w:hAnsi="黑体" w:eastAsia="黑体" w:cs="黑体"/>
          <w:color w:val="auto"/>
          <w:sz w:val="24"/>
          <w:szCs w:val="24"/>
          <w:lang w:val="en-US" w:eastAsia="zh-CN"/>
        </w:rPr>
        <w:t>1</w:t>
      </w:r>
      <w:r>
        <w:rPr>
          <w:rFonts w:hint="eastAsia" w:ascii="黑体" w:hAnsi="黑体" w:eastAsia="黑体" w:cs="黑体"/>
          <w:color w:val="auto"/>
          <w:sz w:val="24"/>
          <w:szCs w:val="24"/>
        </w:rPr>
        <w:t>年</w:t>
      </w:r>
      <w:r>
        <w:rPr>
          <w:rFonts w:hint="eastAsia" w:ascii="黑体" w:hAnsi="黑体" w:eastAsia="黑体" w:cs="黑体"/>
          <w:color w:val="auto"/>
          <w:sz w:val="24"/>
          <w:szCs w:val="24"/>
          <w:lang w:val="en-US" w:eastAsia="zh-CN"/>
        </w:rPr>
        <w:t>12</w:t>
      </w:r>
      <w:r>
        <w:rPr>
          <w:rFonts w:hint="eastAsia" w:ascii="黑体" w:hAnsi="黑体" w:eastAsia="黑体" w:cs="黑体"/>
          <w:color w:val="auto"/>
          <w:sz w:val="24"/>
          <w:szCs w:val="24"/>
        </w:rPr>
        <w:t>月降至年度最低</w:t>
      </w:r>
      <w:r>
        <w:rPr>
          <w:rFonts w:hint="eastAsia" w:ascii="黑体" w:hAnsi="黑体" w:eastAsia="黑体" w:cs="黑体"/>
          <w:color w:val="auto"/>
          <w:sz w:val="24"/>
          <w:szCs w:val="24"/>
          <w:lang w:val="en-US" w:eastAsia="zh-CN"/>
        </w:rPr>
        <w:t>1615.6</w:t>
      </w:r>
      <w:r>
        <w:rPr>
          <w:rFonts w:hint="eastAsia" w:ascii="黑体" w:hAnsi="黑体" w:eastAsia="黑体" w:cs="黑体"/>
          <w:color w:val="auto"/>
          <w:sz w:val="24"/>
          <w:szCs w:val="24"/>
        </w:rPr>
        <w:t>元）</w:t>
      </w:r>
      <w:r>
        <w:rPr>
          <w:rFonts w:hint="eastAsia" w:ascii="黑体" w:hAnsi="黑体" w:eastAsia="黑体" w:cs="黑体"/>
          <w:sz w:val="24"/>
          <w:szCs w:val="24"/>
        </w:rPr>
        <w:t>。通过行时间序列分解，发现碳酸饮料的</w:t>
      </w:r>
      <w:r>
        <w:rPr>
          <w:rFonts w:hint="eastAsia" w:ascii="黑体" w:hAnsi="黑体" w:eastAsia="黑体" w:cs="黑体"/>
          <w:sz w:val="24"/>
          <w:szCs w:val="24"/>
          <w:lang w:val="en-US" w:eastAsia="zh-CN"/>
        </w:rPr>
        <w:t>季节性</w:t>
      </w:r>
      <w:r>
        <w:rPr>
          <w:rFonts w:hint="eastAsia" w:ascii="黑体" w:hAnsi="黑体" w:eastAsia="黑体" w:cs="黑体"/>
          <w:sz w:val="24"/>
          <w:szCs w:val="24"/>
        </w:rPr>
        <w:t>指数夏季（6-8月）平均比冬季高58%，而肉类则呈现相反的-32%差异。为验证模型预测能力，我们构建了</w:t>
      </w:r>
      <w:r>
        <w:rPr>
          <w:rFonts w:hint="eastAsia" w:ascii="黑体" w:hAnsi="黑体" w:eastAsia="黑体" w:cs="黑体"/>
          <w:b/>
          <w:bCs/>
          <w:sz w:val="24"/>
          <w:szCs w:val="24"/>
          <w:lang w:val="en-US" w:eastAsia="zh-CN"/>
        </w:rPr>
        <w:t>SARIMA</w:t>
      </w:r>
      <w:r>
        <w:rPr>
          <w:rFonts w:hint="eastAsia" w:ascii="黑体" w:hAnsi="黑体" w:eastAsia="黑体" w:cs="黑体"/>
          <w:b w:val="0"/>
          <w:bCs w:val="0"/>
          <w:sz w:val="24"/>
          <w:szCs w:val="24"/>
          <w:lang w:eastAsia="zh-CN"/>
        </w:rPr>
        <w:t>（</w:t>
      </w:r>
      <w:r>
        <w:rPr>
          <w:rFonts w:hint="eastAsia" w:ascii="黑体" w:hAnsi="黑体" w:eastAsia="黑体" w:cs="黑体"/>
          <w:b/>
          <w:bCs/>
          <w:i w:val="0"/>
          <w:iCs w:val="0"/>
          <w:caps w:val="0"/>
          <w:color w:val="auto"/>
          <w:spacing w:val="0"/>
          <w:sz w:val="24"/>
          <w:szCs w:val="24"/>
          <w:shd w:val="clear" w:fill="FFFFFF"/>
        </w:rPr>
        <w:t>季节性自回归积分滑动平均模型</w:t>
      </w:r>
      <w:r>
        <w:rPr>
          <w:rFonts w:hint="eastAsia" w:ascii="黑体" w:hAnsi="黑体" w:eastAsia="黑体" w:cs="黑体"/>
          <w:b w:val="0"/>
          <w:bCs w:val="0"/>
          <w:sz w:val="24"/>
          <w:szCs w:val="24"/>
          <w:lang w:eastAsia="zh-CN"/>
        </w:rPr>
        <w:t>）</w:t>
      </w:r>
      <w:r>
        <w:rPr>
          <w:rFonts w:hint="eastAsia" w:ascii="黑体" w:hAnsi="黑体" w:eastAsia="黑体" w:cs="黑体"/>
          <w:sz w:val="24"/>
          <w:szCs w:val="24"/>
          <w:lang w:val="en-US" w:eastAsia="zh-CN"/>
        </w:rPr>
        <w:t>模型</w:t>
      </w:r>
      <w:r>
        <w:rPr>
          <w:rFonts w:hint="eastAsia" w:ascii="黑体" w:hAnsi="黑体" w:eastAsia="黑体" w:cs="黑体"/>
          <w:sz w:val="24"/>
          <w:szCs w:val="24"/>
        </w:rPr>
        <w:t>（</w:t>
      </w:r>
      <w:r>
        <w:rPr>
          <w:rFonts w:hint="eastAsia" w:ascii="黑体" w:hAnsi="黑体" w:eastAsia="黑体" w:cs="黑体"/>
          <w:color w:val="auto"/>
          <w:sz w:val="24"/>
          <w:szCs w:val="24"/>
        </w:rPr>
        <w:t>参数设置：</w:t>
      </w:r>
      <w:r>
        <w:rPr>
          <w:rFonts w:hint="eastAsia" w:ascii="黑体" w:hAnsi="黑体" w:eastAsia="黑体" w:cs="黑体"/>
          <w:color w:val="auto"/>
          <w:sz w:val="24"/>
          <w:szCs w:val="24"/>
          <w:lang w:val="en-US" w:eastAsia="zh-CN"/>
        </w:rPr>
        <w:t>d=1,D=1,m=12,p=2,P=1,q=1,Q=1</w:t>
      </w:r>
      <w:r>
        <w:rPr>
          <w:rFonts w:hint="eastAsia" w:ascii="黑体" w:hAnsi="黑体" w:eastAsia="黑体" w:cs="黑体"/>
          <w:color w:val="auto"/>
          <w:sz w:val="24"/>
          <w:szCs w:val="24"/>
        </w:rPr>
        <w:t>）</w:t>
      </w:r>
      <w:r>
        <w:rPr>
          <w:rFonts w:hint="eastAsia" w:ascii="黑体" w:hAnsi="黑体" w:eastAsia="黑体" w:cs="黑体"/>
          <w:sz w:val="24"/>
          <w:szCs w:val="24"/>
        </w:rPr>
        <w:t>，以</w:t>
      </w:r>
      <w:r>
        <w:rPr>
          <w:rFonts w:hint="eastAsia" w:ascii="黑体" w:hAnsi="黑体" w:eastAsia="黑体" w:cs="黑体"/>
          <w:sz w:val="24"/>
          <w:szCs w:val="24"/>
          <w:lang w:val="en-US" w:eastAsia="zh-CN"/>
        </w:rPr>
        <w:t>整年</w:t>
      </w:r>
      <w:r>
        <w:rPr>
          <w:rFonts w:hint="eastAsia" w:ascii="黑体" w:hAnsi="黑体" w:eastAsia="黑体" w:cs="黑体"/>
          <w:sz w:val="24"/>
          <w:szCs w:val="24"/>
        </w:rPr>
        <w:t>年数据训练模型预测</w:t>
      </w:r>
      <w:r>
        <w:rPr>
          <w:rFonts w:hint="eastAsia" w:ascii="黑体" w:hAnsi="黑体" w:eastAsia="黑体" w:cs="黑体"/>
          <w:sz w:val="24"/>
          <w:szCs w:val="24"/>
          <w:lang w:val="en-US" w:eastAsia="zh-CN"/>
        </w:rPr>
        <w:t>2025</w:t>
      </w:r>
      <w:r>
        <w:rPr>
          <w:rFonts w:hint="eastAsia" w:ascii="黑体" w:hAnsi="黑体" w:eastAsia="黑体" w:cs="黑体"/>
          <w:sz w:val="24"/>
          <w:szCs w:val="24"/>
        </w:rPr>
        <w:t>年销售，证明模型有效性后，最终用于预测2025年6月至2026年6月的销售走势，为库存决策提供数据支持</w:t>
      </w:r>
      <w:r>
        <w:rPr>
          <w:rFonts w:hint="eastAsia" w:ascii="黑体" w:hAnsi="黑体" w:eastAsia="黑体" w:cs="黑体"/>
          <w:sz w:val="24"/>
          <w:szCs w:val="24"/>
          <w:lang w:eastAsia="zh-CN"/>
        </w:rPr>
        <w:t>。</w:t>
      </w:r>
    </w:p>
    <w:p w14:paraId="3AD89A5E">
      <w:pPr>
        <w:bidi w:val="0"/>
        <w:ind w:firstLine="482" w:firstLineChars="200"/>
        <w:rPr>
          <w:rFonts w:hint="eastAsia" w:ascii="黑体" w:hAnsi="黑体" w:eastAsia="黑体" w:cs="黑体"/>
          <w:sz w:val="24"/>
          <w:szCs w:val="24"/>
          <w:lang w:val="en-US" w:eastAsia="zh-CN"/>
        </w:rPr>
      </w:pPr>
      <w:r>
        <w:rPr>
          <w:rFonts w:hint="eastAsia" w:ascii="黑体" w:hAnsi="黑体" w:eastAsia="黑体" w:cs="黑体"/>
          <w:b/>
          <w:bCs/>
          <w:sz w:val="24"/>
          <w:szCs w:val="24"/>
          <w:lang w:val="en-US" w:eastAsia="zh-CN"/>
        </w:rPr>
        <w:t>针对问题三</w:t>
      </w:r>
      <w:r>
        <w:rPr>
          <w:rFonts w:hint="eastAsia" w:ascii="黑体" w:hAnsi="黑体" w:eastAsia="黑体" w:cs="黑体"/>
          <w:b w:val="0"/>
          <w:bCs w:val="0"/>
          <w:sz w:val="24"/>
          <w:szCs w:val="24"/>
          <w:lang w:val="en-US" w:eastAsia="zh-CN"/>
        </w:rPr>
        <w:t>，</w:t>
      </w:r>
      <w:r>
        <w:rPr>
          <w:rFonts w:hint="eastAsia" w:ascii="黑体" w:hAnsi="黑体" w:eastAsia="黑体" w:cs="黑体"/>
          <w:sz w:val="24"/>
          <w:szCs w:val="24"/>
        </w:rPr>
        <w:t>本研究采用关联规则分析中的</w:t>
      </w:r>
      <w:r>
        <w:rPr>
          <w:rFonts w:hint="eastAsia" w:ascii="黑体" w:hAnsi="黑体" w:eastAsia="黑体" w:cs="黑体"/>
          <w:b/>
          <w:bCs/>
          <w:sz w:val="24"/>
          <w:szCs w:val="24"/>
        </w:rPr>
        <w:t>Apriori算法</w:t>
      </w:r>
      <w:r>
        <w:rPr>
          <w:rFonts w:hint="eastAsia" w:ascii="黑体" w:hAnsi="黑体" w:eastAsia="黑体" w:cs="黑体"/>
          <w:sz w:val="24"/>
          <w:szCs w:val="24"/>
        </w:rPr>
        <w:t>，对某零售门店</w:t>
      </w:r>
      <w:r>
        <w:rPr>
          <w:rFonts w:hint="eastAsia" w:ascii="黑体" w:hAnsi="黑体" w:eastAsia="黑体" w:cs="黑体"/>
          <w:sz w:val="24"/>
          <w:szCs w:val="24"/>
          <w:lang w:val="en-US" w:eastAsia="zh-CN"/>
        </w:rPr>
        <w:t>约100</w:t>
      </w:r>
      <w:r>
        <w:rPr>
          <w:rFonts w:hint="eastAsia" w:ascii="黑体" w:hAnsi="黑体" w:eastAsia="黑体" w:cs="黑体"/>
          <w:sz w:val="24"/>
          <w:szCs w:val="24"/>
        </w:rPr>
        <w:t>万条交易记录进行数据挖掘。首先，通过计算支持度以识别高频出现的商品品类与组合；在此基础上，进一步计算置信度以量化品类间的关联强度，从而发现具有显著性的购买依存关系。在设置支持度阈值为0.3的前提下，“家居用品”为核心品类（支持度0.5278）。关联性最强的商品组合为“家居用品→烟酒水饮”，其置信度高达25%，即购买家居用品的顾客中有四分之一会同时购买烟酒水饮；其次为“家居用品→粮油调味”，置信度为22%；“休闲食品→家居用品”的组合也表现出15%的显著关联性。</w:t>
      </w:r>
    </w:p>
    <w:p w14:paraId="4FCF1E07">
      <w:pPr>
        <w:bidi w:val="0"/>
        <w:ind w:firstLine="482" w:firstLineChars="200"/>
        <w:rPr>
          <w:rFonts w:hint="default" w:ascii="黑体" w:hAnsi="黑体" w:eastAsia="黑体" w:cs="黑体"/>
          <w:b w:val="0"/>
          <w:bCs w:val="0"/>
          <w:sz w:val="24"/>
          <w:szCs w:val="24"/>
          <w:lang w:val="en-US" w:eastAsia="zh-CN"/>
        </w:rPr>
      </w:pPr>
      <w:r>
        <w:rPr>
          <w:rFonts w:hint="eastAsia" w:ascii="黑体" w:hAnsi="黑体" w:eastAsia="黑体" w:cs="黑体"/>
          <w:b/>
          <w:bCs/>
          <w:sz w:val="24"/>
          <w:szCs w:val="24"/>
          <w:lang w:val="en-US" w:eastAsia="zh-CN"/>
        </w:rPr>
        <w:t>针对问题四</w:t>
      </w:r>
      <w:r>
        <w:rPr>
          <w:rFonts w:hint="eastAsia" w:ascii="黑体" w:hAnsi="黑体" w:eastAsia="黑体" w:cs="黑体"/>
          <w:b w:val="0"/>
          <w:bCs w:val="0"/>
          <w:sz w:val="24"/>
          <w:szCs w:val="24"/>
          <w:lang w:val="en-US" w:eastAsia="zh-CN"/>
        </w:rPr>
        <w:t>，我们需要采集一些新的数据，引用一些新的技术，但是最终应该为零售店实现智能自动化决策服务。销售的本质是服务于客户，我们可以引入动态数据库，搭建本地或</w:t>
      </w:r>
      <w:r>
        <w:rPr>
          <w:rFonts w:hint="eastAsia" w:ascii="黑体" w:hAnsi="黑体" w:eastAsia="黑体" w:cs="黑体"/>
          <w:b/>
          <w:bCs/>
          <w:sz w:val="24"/>
          <w:szCs w:val="24"/>
          <w:lang w:val="en-US" w:eastAsia="zh-CN"/>
        </w:rPr>
        <w:t>云端数据库</w:t>
      </w:r>
      <w:r>
        <w:rPr>
          <w:rFonts w:hint="eastAsia" w:ascii="黑体" w:hAnsi="黑体" w:eastAsia="黑体" w:cs="黑体"/>
          <w:b w:val="0"/>
          <w:bCs w:val="0"/>
          <w:sz w:val="24"/>
          <w:szCs w:val="24"/>
          <w:lang w:val="en-US" w:eastAsia="zh-CN"/>
        </w:rPr>
        <w:t>平台，并且引入相关预测模型来预测未来一段时间SKU级别的销量，实现自动补货，实时调整营销策略等方案。</w:t>
      </w:r>
    </w:p>
    <w:p w14:paraId="3B5882F1">
      <w:pPr>
        <w:bidi w:val="0"/>
        <w:rPr>
          <w:rFonts w:hint="default" w:ascii="黑体" w:hAnsi="黑体" w:eastAsia="黑体" w:cs="黑体"/>
          <w:b w:val="0"/>
          <w:bCs w:val="0"/>
          <w:sz w:val="24"/>
          <w:szCs w:val="24"/>
          <w:lang w:val="en-US" w:eastAsia="zh-CN"/>
        </w:rPr>
      </w:pPr>
      <w:r>
        <w:rPr>
          <w:rFonts w:hint="eastAsia" w:ascii="黑体" w:hAnsi="黑体" w:eastAsia="黑体" w:cs="黑体"/>
          <w:b/>
          <w:bCs/>
          <w:sz w:val="28"/>
          <w:szCs w:val="28"/>
        </w:rPr>
        <w:t>关键词</w:t>
      </w:r>
      <w:r>
        <w:rPr>
          <w:rFonts w:hint="eastAsia" w:ascii="黑体" w:hAnsi="黑体" w:eastAsia="黑体" w:cs="黑体"/>
          <w:b/>
          <w:bCs/>
          <w:sz w:val="28"/>
          <w:szCs w:val="28"/>
          <w:lang w:val="en-US" w:eastAsia="zh-CN"/>
        </w:rPr>
        <w:t xml:space="preserve"> </w:t>
      </w:r>
      <w:r>
        <w:rPr>
          <w:rFonts w:hint="eastAsia" w:ascii="黑体" w:hAnsi="黑体" w:eastAsia="黑体" w:cs="黑体"/>
          <w:b w:val="0"/>
          <w:bCs w:val="0"/>
          <w:sz w:val="24"/>
          <w:szCs w:val="24"/>
          <w:lang w:val="en-US" w:eastAsia="zh-CN"/>
        </w:rPr>
        <w:t xml:space="preserve">帕累托法则  需求-价格弹性模型 </w:t>
      </w:r>
      <w:r>
        <w:rPr>
          <w:rFonts w:hint="eastAsia" w:ascii="黑体" w:hAnsi="黑体" w:eastAsia="黑体" w:cs="黑体"/>
          <w:b w:val="0"/>
          <w:bCs w:val="0"/>
          <w:i w:val="0"/>
          <w:iCs w:val="0"/>
          <w:caps w:val="0"/>
          <w:color w:val="auto"/>
          <w:spacing w:val="0"/>
          <w:sz w:val="24"/>
          <w:szCs w:val="24"/>
          <w:shd w:val="clear" w:fill="FFFFFF"/>
        </w:rPr>
        <w:t>季节性自回归积分滑动平均模型</w:t>
      </w:r>
    </w:p>
    <w:p w14:paraId="45A227E4">
      <w:pPr>
        <w:keepNext/>
        <w:keepLines/>
        <w:kinsoku/>
        <w:wordWrap/>
        <w:overflowPunct/>
        <w:topLinePunct w:val="0"/>
        <w:autoSpaceDE/>
        <w:autoSpaceDN/>
        <w:bidi w:val="0"/>
        <w:jc w:val="center"/>
        <w:rPr>
          <w:rFonts w:hint="eastAsia"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一 问题背景和重述</w:t>
      </w:r>
    </w:p>
    <w:p w14:paraId="30C6459E">
      <w:pPr>
        <w:keepNext/>
        <w:keepLines/>
        <w:pageBreakBefore w:val="0"/>
        <w:widowControl w:val="0"/>
        <w:kinsoku/>
        <w:wordWrap/>
        <w:overflowPunct/>
        <w:topLinePunct w:val="0"/>
        <w:autoSpaceDE/>
        <w:autoSpaceDN/>
        <w:bidi w:val="0"/>
        <w:adjustRightInd/>
        <w:snapToGrid/>
        <w:spacing w:line="240" w:lineRule="auto"/>
        <w:jc w:val="left"/>
        <w:textAlignment w:val="auto"/>
        <w:rPr>
          <w:rFonts w:hint="default" w:ascii="黑体" w:hAnsi="黑体" w:eastAsia="黑体" w:cs="黑体"/>
          <w:b/>
          <w:bCs/>
          <w:color w:val="auto"/>
          <w:kern w:val="2"/>
          <w:sz w:val="24"/>
          <w:szCs w:val="24"/>
          <w:lang w:val="en-US" w:eastAsia="zh-CN" w:bidi="ar-SA"/>
        </w:rPr>
      </w:pPr>
    </w:p>
    <w:p w14:paraId="0B5538BC">
      <w:pPr>
        <w:keepNext/>
        <w:keepLines/>
        <w:pageBreakBefore w:val="0"/>
        <w:widowControl w:val="0"/>
        <w:numPr>
          <w:ilvl w:val="1"/>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1.1</w:t>
      </w:r>
      <w:r>
        <w:rPr>
          <w:rFonts w:hint="eastAsia" w:ascii="黑体" w:hAnsi="黑体" w:eastAsia="黑体" w:cs="黑体"/>
          <w:b/>
          <w:bCs/>
          <w:color w:val="auto"/>
          <w:sz w:val="24"/>
          <w:szCs w:val="24"/>
          <w:lang w:val="en-US" w:eastAsia="zh-CN"/>
        </w:rPr>
        <w:t>问题背景</w:t>
      </w:r>
    </w:p>
    <w:p w14:paraId="65661002">
      <w:pPr>
        <w:bidi w:val="0"/>
        <w:ind w:firstLine="480" w:firstLineChars="200"/>
        <w:rPr>
          <w:rFonts w:hint="eastAsia" w:ascii="黑体" w:hAnsi="黑体" w:eastAsia="黑体" w:cs="黑体"/>
          <w:sz w:val="24"/>
          <w:szCs w:val="28"/>
          <w:lang w:eastAsia="zh-CN"/>
        </w:rPr>
      </w:pPr>
      <w:r>
        <w:rPr>
          <w:rFonts w:hint="eastAsia" w:ascii="黑体" w:hAnsi="黑体" w:eastAsia="黑体" w:cs="黑体"/>
          <w:sz w:val="24"/>
          <w:szCs w:val="24"/>
        </w:rPr>
        <w:t>在当今高度竞争的零售市场中，零售门店面临着商品同质化严重、消费者需求多样化、市场竞争激烈等多重挑战。如何通过数据驱动的营销策略提升门店运营效率、优化资源配置并增强市场竞争力，成为零售企业生存发展的关键问题。</w:t>
      </w:r>
      <w:r>
        <w:rPr>
          <w:rFonts w:hint="eastAsia" w:ascii="黑体" w:hAnsi="黑体" w:eastAsia="黑体" w:cs="黑体"/>
          <w:sz w:val="24"/>
          <w:szCs w:val="24"/>
          <w:lang w:val="en-US" w:eastAsia="zh-CN"/>
        </w:rPr>
        <w:t>本文结合实际零售门店的业务场景，</w:t>
      </w:r>
      <w:r>
        <w:rPr>
          <w:rFonts w:hint="eastAsia" w:ascii="黑体" w:hAnsi="黑体" w:eastAsia="黑体" w:cs="黑体"/>
          <w:sz w:val="24"/>
          <w:szCs w:val="28"/>
        </w:rPr>
        <w:t>期望能够为零售门店的营销策略优化提供有价值的参考</w:t>
      </w:r>
      <w:r>
        <w:rPr>
          <w:rFonts w:hint="eastAsia" w:ascii="黑体" w:hAnsi="黑体" w:eastAsia="黑体" w:cs="黑体"/>
          <w:sz w:val="24"/>
          <w:szCs w:val="28"/>
          <w:lang w:eastAsia="zh-CN"/>
        </w:rPr>
        <w:t>。</w:t>
      </w:r>
    </w:p>
    <w:p w14:paraId="30B944AA">
      <w:pPr>
        <w:bidi w:val="0"/>
        <w:ind w:firstLine="480" w:firstLineChars="200"/>
        <w:rPr>
          <w:rFonts w:hint="eastAsia" w:ascii="黑体" w:hAnsi="黑体" w:eastAsia="黑体" w:cs="黑体"/>
          <w:sz w:val="24"/>
          <w:szCs w:val="28"/>
          <w:lang w:eastAsia="zh-CN"/>
        </w:rPr>
      </w:pPr>
    </w:p>
    <w:p w14:paraId="68611605">
      <w:pPr>
        <w:keepNext/>
        <w:keepLines/>
        <w:pageBreakBefore w:val="0"/>
        <w:widowControl w:val="0"/>
        <w:numPr>
          <w:ilvl w:val="1"/>
          <w:numId w:val="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黑体" w:hAnsi="黑体" w:eastAsia="黑体" w:cs="黑体"/>
          <w:b/>
          <w:bCs/>
          <w:color w:val="auto"/>
          <w:sz w:val="24"/>
          <w:szCs w:val="24"/>
          <w:lang w:val="en-US" w:eastAsia="zh-CN"/>
        </w:rPr>
      </w:pP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2</w:t>
      </w:r>
      <w:r>
        <w:rPr>
          <w:rFonts w:hint="eastAsia" w:ascii="黑体" w:hAnsi="黑体" w:eastAsia="黑体" w:cs="黑体"/>
          <w:b/>
          <w:bCs/>
          <w:color w:val="auto"/>
          <w:sz w:val="24"/>
          <w:szCs w:val="24"/>
          <w:lang w:val="en-US" w:eastAsia="zh-CN"/>
        </w:rPr>
        <w:t>问题重述</w:t>
      </w:r>
    </w:p>
    <w:p w14:paraId="2C3AD43F">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sz w:val="24"/>
          <w:szCs w:val="28"/>
        </w:rPr>
        <w:t>在当今竞争激烈的零售市场中，零售门店面临着诸多挑战与机遇。如何在海量的商品和复杂的市场环境中制定有效的营销策略，以提升销售额、优化库存管理并增强顾客满意度，是每个零售企业亟待解决的问题。本次竞赛旨在通过对某零售门店多年销售数据的深入分析，探索出科学合理的营销策略，助力门店在激烈的市场竞争中脱颖而出。</w:t>
      </w:r>
    </w:p>
    <w:p w14:paraId="5CD3DBEE">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default" w:ascii="黑体" w:hAnsi="黑体" w:eastAsia="黑体" w:cs="黑体"/>
          <w:b/>
          <w:bCs/>
          <w:color w:val="auto"/>
          <w:sz w:val="24"/>
          <w:szCs w:val="24"/>
          <w:lang w:val="en-US" w:eastAsia="zh-CN"/>
        </w:rPr>
      </w:pPr>
      <w:r>
        <w:rPr>
          <w:rFonts w:hint="eastAsia" w:ascii="黑体" w:hAnsi="黑体" w:eastAsia="黑体" w:cs="黑体"/>
          <w:sz w:val="24"/>
          <w:szCs w:val="28"/>
        </w:rPr>
        <w:t>该零售门店作为一家综合性零售企业，拥有丰富多样的商品品类，涵盖了生鲜、食品、日用品等多个领域，满足了不同消费者群体的多样化需求。门店的运营时间较长，积累了大量的销售数据，这些数据涵盖了从 2021 年 1 月 1 日至 2025 年 4 月 30 日的详细销售记录，包括时间维度、企业信息、门店信息、订单信息、商品基础信息及商品销售信息等多维度字段，完整呈现了门店 - 订单 - SKU 级别的商品销售流水数据。这些数据为深入分析门店的销售情况、消费者行为模式以及营销活动效果提供了坚实的基础。</w:t>
      </w:r>
    </w:p>
    <w:p w14:paraId="49181C9F">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color w:val="000000" w:themeColor="text1"/>
          <w:sz w:val="24"/>
          <w:szCs w:val="28"/>
          <w14:textFill>
            <w14:solidFill>
              <w14:schemeClr w14:val="tx1"/>
            </w14:solidFill>
          </w14:textFill>
        </w:rPr>
      </w:pPr>
      <w:r>
        <w:rPr>
          <w:rFonts w:hint="eastAsia" w:ascii="黑体" w:hAnsi="黑体" w:eastAsia="黑体" w:cs="黑体"/>
          <w:b/>
          <w:bCs/>
          <w:color w:val="000000" w:themeColor="text1"/>
          <w:sz w:val="24"/>
          <w:szCs w:val="28"/>
          <w14:textFill>
            <w14:solidFill>
              <w14:schemeClr w14:val="tx1"/>
            </w14:solidFill>
          </w14:textFill>
        </w:rPr>
        <w:t>问题1</w:t>
      </w:r>
      <w:r>
        <w:rPr>
          <w:rFonts w:hint="eastAsia" w:ascii="黑体" w:hAnsi="黑体" w:eastAsia="黑体" w:cs="黑体"/>
          <w:color w:val="000000" w:themeColor="text1"/>
          <w:sz w:val="24"/>
          <w:szCs w:val="28"/>
          <w14:textFill>
            <w14:solidFill>
              <w14:schemeClr w14:val="tx1"/>
            </w14:solidFill>
          </w14:textFill>
        </w:rPr>
        <w:t xml:space="preserve"> 零售门店中通常存在帕累托法则，即约20%的商品贡献了80%的销售额，像生鲜、乳制品、畅销零食以及新品类往往占据门店的主要销售额；同时，20%的促销活动能够带动80%的销量增长，例如节假日促销、爆品折扣等关键营销活动对业绩有着显著影响。基于此，请尝试找出该门店的关键品类或商品，以及有效的促销活动，并进行深入分析。</w:t>
      </w:r>
    </w:p>
    <w:p w14:paraId="3AF033FC">
      <w:pPr>
        <w:bidi w:val="0"/>
        <w:ind w:firstLine="480" w:firstLineChars="200"/>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176780" cy="2176780"/>
            <wp:effectExtent l="0" t="0" r="139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76780" cy="2176780"/>
                    </a:xfrm>
                    <a:prstGeom prst="rect">
                      <a:avLst/>
                    </a:prstGeom>
                    <a:noFill/>
                    <a:ln w="9525">
                      <a:noFill/>
                    </a:ln>
                  </pic:spPr>
                </pic:pic>
              </a:graphicData>
            </a:graphic>
          </wp:inline>
        </w:drawing>
      </w:r>
    </w:p>
    <w:p w14:paraId="036BE454">
      <w:pPr>
        <w:bidi w:val="0"/>
        <w:ind w:firstLine="3584" w:firstLineChars="1700"/>
        <w:rPr>
          <w:rFonts w:hint="eastAsia" w:ascii="黑体" w:hAnsi="黑体" w:eastAsia="黑体" w:cs="黑体"/>
          <w:b/>
          <w:bCs/>
          <w:sz w:val="24"/>
          <w:szCs w:val="24"/>
          <w:lang w:val="en-US" w:eastAsia="zh-CN"/>
        </w:rPr>
      </w:pPr>
      <w:r>
        <w:rPr>
          <w:rFonts w:hint="eastAsia" w:ascii="黑体" w:hAnsi="黑体" w:eastAsia="黑体" w:cs="黑体"/>
          <w:b/>
          <w:bCs/>
          <w:sz w:val="21"/>
          <w:szCs w:val="21"/>
          <w:lang w:val="en-US" w:eastAsia="zh-CN"/>
        </w:rPr>
        <w:t>图1.1 帕累托法则</w:t>
      </w:r>
    </w:p>
    <w:p w14:paraId="7EAAFBD5">
      <w:pPr>
        <w:bidi w:val="0"/>
        <w:ind w:firstLine="3373" w:firstLineChars="1400"/>
        <w:rPr>
          <w:rFonts w:hint="eastAsia" w:ascii="黑体" w:hAnsi="黑体" w:eastAsia="黑体" w:cs="黑体"/>
          <w:b/>
          <w:bCs/>
          <w:sz w:val="24"/>
          <w:szCs w:val="24"/>
          <w:lang w:val="en-US" w:eastAsia="zh-CN"/>
        </w:rPr>
      </w:pPr>
    </w:p>
    <w:p w14:paraId="0D0389C0">
      <w:pPr>
        <w:bidi w:val="0"/>
        <w:ind w:firstLine="3373" w:firstLineChars="1400"/>
        <w:rPr>
          <w:rFonts w:hint="eastAsia" w:ascii="黑体" w:hAnsi="黑体" w:eastAsia="黑体" w:cs="黑体"/>
          <w:b/>
          <w:bCs/>
          <w:sz w:val="24"/>
          <w:szCs w:val="24"/>
          <w:lang w:val="en-US" w:eastAsia="zh-CN"/>
        </w:rPr>
      </w:pPr>
    </w:p>
    <w:p w14:paraId="7CEA729A">
      <w:pPr>
        <w:bidi w:val="0"/>
        <w:ind w:firstLine="3373" w:firstLineChars="1400"/>
        <w:rPr>
          <w:rFonts w:hint="eastAsia" w:ascii="黑体" w:hAnsi="黑体" w:eastAsia="黑体" w:cs="黑体"/>
          <w:b/>
          <w:bCs/>
          <w:sz w:val="24"/>
          <w:szCs w:val="24"/>
          <w:lang w:val="en-US" w:eastAsia="zh-CN"/>
        </w:rPr>
      </w:pPr>
    </w:p>
    <w:p w14:paraId="55B86775">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问题2</w:t>
      </w:r>
      <w:r>
        <w:rPr>
          <w:rFonts w:hint="eastAsia" w:ascii="黑体" w:hAnsi="黑体" w:eastAsia="黑体" w:cs="黑体"/>
          <w:sz w:val="24"/>
          <w:szCs w:val="28"/>
        </w:rPr>
        <w:t xml:space="preserve"> 零售门店的商品或品类消费往往具有一定的季节性特征。例如，碳酸饮料在炎热的7、8月份消费量较高，而过高的气温则可能导致整体肉类消费量降低。请分析各关键品类或关键单品的分布规律，以更好地把握季节性因素等关键因素对销售的影响，同时</w:t>
      </w:r>
      <w:r>
        <w:rPr>
          <w:rFonts w:hint="eastAsia" w:ascii="黑体" w:hAnsi="黑体" w:eastAsia="黑体" w:cs="黑体"/>
          <w:color w:val="000000" w:themeColor="text1"/>
          <w:sz w:val="24"/>
          <w:szCs w:val="28"/>
          <w14:textFill>
            <w14:solidFill>
              <w14:schemeClr w14:val="tx1"/>
            </w14:solidFill>
          </w14:textFill>
        </w:rPr>
        <w:t>预测</w:t>
      </w:r>
      <w:r>
        <w:rPr>
          <w:rFonts w:hint="eastAsia" w:ascii="黑体" w:hAnsi="黑体" w:eastAsia="黑体" w:cs="黑体"/>
          <w:sz w:val="24"/>
          <w:szCs w:val="28"/>
        </w:rPr>
        <w:t>关键品类或单品在下一年度即2025年6月至2026年6月的销售情况。</w:t>
      </w:r>
    </w:p>
    <w:p w14:paraId="363490FE">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问题3</w:t>
      </w:r>
      <w:r>
        <w:rPr>
          <w:rFonts w:hint="eastAsia" w:ascii="黑体" w:hAnsi="黑体" w:eastAsia="黑体" w:cs="黑体"/>
          <w:sz w:val="24"/>
          <w:szCs w:val="28"/>
        </w:rPr>
        <w:t xml:space="preserve"> 在门店商品销售过程中，不同品牌类或不同单品之间，甚至与关键事件之间可能存在一定的关联关系。例如，曾经有“啤酒 + 尿不湿”的经典案例，以及在飓风来临前蛋挞与应急用品的搭配销售，这些关联关系对优化商品陈列及开展联合促销具有积极意义。请分析不同品类或不同单品之间的关联规则，并结合问题1和问题2的分析结果，给出下一年度即2025年6月至2026年6月该门店的营销策略建议。</w:t>
      </w:r>
    </w:p>
    <w:p w14:paraId="7455DA24">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r>
        <w:rPr>
          <w:rFonts w:hint="eastAsia" w:ascii="黑体" w:hAnsi="黑体" w:eastAsia="黑体" w:cs="黑体"/>
          <w:b/>
          <w:bCs/>
          <w:sz w:val="24"/>
          <w:szCs w:val="28"/>
        </w:rPr>
        <w:t>问题4</w:t>
      </w:r>
      <w:r>
        <w:rPr>
          <w:rFonts w:hint="eastAsia" w:ascii="黑体" w:hAnsi="黑体" w:eastAsia="黑体" w:cs="黑体"/>
          <w:sz w:val="24"/>
          <w:szCs w:val="28"/>
        </w:rPr>
        <w:t xml:space="preserve"> 在海量数据积累与人工智能技术飞速发展的当下，为了助力门店营销策略的科学化与智能化升级，除了现有的数据资源和营销手段之外，您认为该门店还应采集哪些关键数据，并引入哪些前沿技术手段，以推动营销决策向智能自动化方向迈进？请给出你的见解及相应理由。</w:t>
      </w:r>
    </w:p>
    <w:p w14:paraId="137F5951">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p>
    <w:p w14:paraId="48EDCD9B">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黑体" w:hAnsi="黑体" w:eastAsia="黑体" w:cs="黑体"/>
          <w:sz w:val="24"/>
          <w:szCs w:val="28"/>
        </w:rPr>
      </w:pPr>
    </w:p>
    <w:p w14:paraId="0C263E3E">
      <w:pPr>
        <w:keepNext/>
        <w:keepLines/>
        <w:kinsoku/>
        <w:wordWrap/>
        <w:overflowPunct/>
        <w:topLinePunct w:val="0"/>
        <w:autoSpaceDE/>
        <w:autoSpaceDN/>
        <w:bidi w:val="0"/>
        <w:ind w:firstLine="3654" w:firstLineChars="1300"/>
        <w:jc w:val="left"/>
        <w:rPr>
          <w:rFonts w:hint="default" w:ascii="黑体" w:hAnsi="黑体" w:eastAsia="黑体" w:cs="黑体"/>
          <w:b/>
          <w:bCs/>
          <w:color w:val="auto"/>
          <w:sz w:val="28"/>
          <w:szCs w:val="28"/>
          <w:lang w:val="en-US" w:eastAsia="zh-CN"/>
        </w:rPr>
      </w:pPr>
      <w:r>
        <w:rPr>
          <w:rFonts w:hint="eastAsia" w:ascii="黑体" w:hAnsi="黑体" w:eastAsia="黑体" w:cs="黑体"/>
          <w:b/>
          <w:bCs/>
          <w:color w:val="auto"/>
          <w:sz w:val="28"/>
          <w:szCs w:val="28"/>
          <w:lang w:val="en-US" w:eastAsia="zh-CN"/>
        </w:rPr>
        <w:t>二 问题分析</w:t>
      </w:r>
    </w:p>
    <w:p w14:paraId="039F4349">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.1</w:t>
      </w:r>
      <w:r>
        <w:rPr>
          <w:rFonts w:hint="eastAsia" w:ascii="黑体" w:hAnsi="黑体" w:eastAsia="黑体" w:cs="黑体"/>
          <w:b/>
          <w:bCs/>
          <w:color w:val="auto"/>
          <w:kern w:val="2"/>
          <w:sz w:val="24"/>
          <w:szCs w:val="24"/>
          <w:lang w:val="en-US" w:eastAsia="zh-CN" w:bidi="ar-SA"/>
        </w:rPr>
        <w:t xml:space="preserve"> </w:t>
      </w:r>
      <w:r>
        <w:rPr>
          <w:rFonts w:hint="eastAsia" w:ascii="黑体" w:hAnsi="黑体" w:eastAsia="黑体" w:cs="黑体"/>
          <w:b/>
          <w:bCs/>
          <w:color w:val="auto"/>
          <w:sz w:val="24"/>
          <w:szCs w:val="24"/>
          <w:lang w:val="en-US" w:eastAsia="zh-CN"/>
        </w:rPr>
        <w:t>问题一分析</w:t>
      </w:r>
    </w:p>
    <w:p w14:paraId="1F5308B7">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对于问题一，我们对问题中的帕累托法则进行了解读，其又被称为“80/20</w:t>
      </w:r>
      <w:r>
        <w:rPr>
          <w:rFonts w:hint="default" w:ascii="黑体" w:hAnsi="黑体" w:eastAsia="黑体" w:cs="黑体"/>
          <w:b w:val="0"/>
          <w:bCs w:val="0"/>
          <w:sz w:val="24"/>
          <w:szCs w:val="24"/>
          <w:lang w:val="en-US" w:eastAsia="zh-CN"/>
        </w:rPr>
        <w:t>”</w:t>
      </w:r>
      <w:r>
        <w:rPr>
          <w:rFonts w:hint="eastAsia" w:ascii="黑体" w:hAnsi="黑体" w:eastAsia="黑体" w:cs="黑体"/>
          <w:b w:val="0"/>
          <w:bCs w:val="0"/>
          <w:sz w:val="24"/>
          <w:szCs w:val="24"/>
          <w:lang w:val="en-US" w:eastAsia="zh-CN"/>
        </w:rPr>
        <w:t>法则，在许多情况下，约80%的结果（产出、收益或影响）往往由20%的原因（投入、资源或因素）所驱动。</w:t>
      </w:r>
      <w:r>
        <w:rPr>
          <w:rFonts w:hint="default" w:ascii="黑体" w:hAnsi="黑体" w:eastAsia="黑体" w:cs="黑体"/>
          <w:b w:val="0"/>
          <w:bCs w:val="0"/>
          <w:sz w:val="24"/>
          <w:szCs w:val="24"/>
          <w:lang w:eastAsia="zh-CN"/>
        </w:rPr>
        <w:t>我们</w:t>
      </w:r>
      <w:r>
        <w:rPr>
          <w:rFonts w:hint="eastAsia" w:ascii="黑体" w:hAnsi="黑体" w:eastAsia="黑体" w:cs="黑体"/>
          <w:b w:val="0"/>
          <w:bCs w:val="0"/>
          <w:sz w:val="24"/>
          <w:szCs w:val="24"/>
          <w:lang w:val="en-US" w:eastAsia="zh-CN"/>
        </w:rPr>
        <w:t>首先将数据集中的商品进行了品类分级，通过系统化的分类管理，优化资源分配。我们使用程序求解出各个品类的销售额和销售数量，并将结果保存至相应的文件中，直观地得到门店的关键品类和关键商品。其中，一级品类中（医疗保健、生鲜、非食、食品），食品品类成为门店销售额增长的核心驱动力，为销售额增长做出了卓越贡献；在二级品类中，冲调食品、烟酒水饮、粮油调味为核心品类，其总销售额满足帕累托法则，为销售额增长做出显著贡献。在关键商品分析方面，我们提取了门店在限定时间范围内各个商品（共16195种商品）的售卖情况，其中，我们发现剑光黄酒、乳酸菌饮品、蒙牛鲜牛奶等商品的销售额较其它商品占显著优势。在促销活动的分析方面，我们对门店爆款商品的单价随时间的变化曲线进行了详细分析，并且综合考量了实际日历中节假日等特殊时间，发现部分促销活动对门店销售业绩的提升有显著影响。</w:t>
      </w:r>
    </w:p>
    <w:p w14:paraId="73AB98AF">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4"/>
          <w:lang w:val="en-US" w:eastAsia="zh-CN"/>
        </w:rPr>
      </w:pPr>
    </w:p>
    <w:p w14:paraId="3DE3C11C">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val="0"/>
          <w:bCs w:val="0"/>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2 </w:t>
      </w:r>
      <w:r>
        <w:rPr>
          <w:rFonts w:hint="eastAsia" w:ascii="黑体" w:hAnsi="黑体" w:eastAsia="黑体" w:cs="黑体"/>
          <w:b/>
          <w:bCs/>
          <w:color w:val="auto"/>
          <w:sz w:val="24"/>
          <w:szCs w:val="24"/>
          <w:lang w:val="en-US" w:eastAsia="zh-CN"/>
        </w:rPr>
        <w:t>问题二分析</w:t>
      </w:r>
    </w:p>
    <w:p w14:paraId="1B447309">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8"/>
        </w:rPr>
      </w:pPr>
      <w:r>
        <w:rPr>
          <w:rFonts w:hint="eastAsia" w:ascii="黑体" w:hAnsi="黑体" w:eastAsia="黑体" w:cs="黑体"/>
          <w:b w:val="0"/>
          <w:bCs w:val="0"/>
          <w:sz w:val="24"/>
          <w:szCs w:val="24"/>
          <w:lang w:val="en-US" w:eastAsia="zh-CN"/>
        </w:rPr>
        <w:t>对于问题二，为了探寻商品消费的季节性特征，我们首先选择了具有显著季节特征的商品品类作为对象，例如在炎热夏季，碳酸饮料、冷藏水饮等商品品类的销售额相较于冬季会有明显的增加；而肉类食品则会出现夏季销售额低于冬季的情况。选择完具有明显季节特征的商品品类之后，我们通过程序将目标品类的数据从总数据集中提取出来，得到目标数据。为了直观查看商品的季节性特征，我们对目标数据进行了可视化操作，我们将目标商品的销售额随时间变化的关系绘制成图标，标记峰值、谷值。为了得到时间序列数据，我们在时间轴上取均匀时间间隔，并对相应间隔内的商品销售数据进行记录，之后我们对时间序列数据进行分析、得到序列的趋势、季节性等关键性质。在模型选择方面，我们选择</w:t>
      </w:r>
      <w:r>
        <w:rPr>
          <w:rFonts w:hint="eastAsia" w:ascii="黑体" w:hAnsi="黑体" w:eastAsia="黑体" w:cs="黑体"/>
          <w:sz w:val="24"/>
          <w:szCs w:val="24"/>
          <w:lang w:val="en-US" w:eastAsia="zh-CN"/>
        </w:rPr>
        <w:t>SARIMA</w:t>
      </w:r>
      <w:r>
        <w:rPr>
          <w:rFonts w:hint="eastAsia" w:ascii="黑体" w:hAnsi="黑体" w:eastAsia="黑体" w:cs="黑体"/>
          <w:b w:val="0"/>
          <w:bCs w:val="0"/>
          <w:sz w:val="24"/>
          <w:szCs w:val="24"/>
          <w:lang w:val="en-US" w:eastAsia="zh-CN"/>
        </w:rPr>
        <w:t>时间序列预测模型来预测</w:t>
      </w:r>
      <w:r>
        <w:rPr>
          <w:rFonts w:hint="eastAsia" w:ascii="黑体" w:hAnsi="黑体" w:eastAsia="黑体" w:cs="黑体"/>
          <w:b w:val="0"/>
          <w:bCs w:val="0"/>
          <w:sz w:val="24"/>
          <w:szCs w:val="28"/>
        </w:rPr>
        <w:t>2025年6月至2026年6月的销售情况。</w:t>
      </w:r>
    </w:p>
    <w:p w14:paraId="251F7C13">
      <w:pPr>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黑体" w:hAnsi="黑体" w:eastAsia="黑体" w:cs="黑体"/>
          <w:b w:val="0"/>
          <w:bCs w:val="0"/>
          <w:sz w:val="24"/>
          <w:szCs w:val="28"/>
        </w:rPr>
      </w:pPr>
    </w:p>
    <w:p w14:paraId="4C36B63D">
      <w:pPr>
        <w:keepNext/>
        <w:keepLines/>
        <w:numPr>
          <w:ilvl w:val="1"/>
          <w:numId w:val="0"/>
        </w:numPr>
        <w:kinsoku/>
        <w:wordWrap/>
        <w:overflowPunct/>
        <w:topLinePunct w:val="0"/>
        <w:autoSpaceDE/>
        <w:autoSpaceDN/>
        <w:bidi w:val="0"/>
        <w:ind w:left="0" w:leftChars="0" w:firstLine="0" w:firstLineChars="0"/>
        <w:jc w:val="both"/>
        <w:rPr>
          <w:rFonts w:hint="eastAsia" w:ascii="黑体" w:hAnsi="黑体" w:eastAsia="黑体" w:cs="黑体"/>
          <w:b/>
          <w:bCs/>
          <w:color w:val="auto"/>
          <w:sz w:val="24"/>
          <w:szCs w:val="24"/>
          <w:lang w:val="en-US" w:eastAsia="zh-CN"/>
        </w:rPr>
      </w:pPr>
      <w:r>
        <w:rPr>
          <w:rFonts w:hint="eastAsia" w:ascii="黑体" w:hAnsi="黑体" w:eastAsia="黑体" w:cs="黑体"/>
          <w:b/>
          <w:bCs/>
          <w:color w:val="auto"/>
          <w:kern w:val="2"/>
          <w:sz w:val="24"/>
          <w:szCs w:val="24"/>
          <w:lang w:val="en-US" w:eastAsia="zh-CN" w:bidi="ar-SA"/>
        </w:rPr>
        <w:t>2</w:t>
      </w:r>
      <w:r>
        <w:rPr>
          <w:rFonts w:hint="default" w:ascii="黑体" w:hAnsi="黑体" w:eastAsia="黑体" w:cs="黑体"/>
          <w:b/>
          <w:bCs/>
          <w:color w:val="auto"/>
          <w:kern w:val="2"/>
          <w:sz w:val="24"/>
          <w:szCs w:val="24"/>
          <w:lang w:val="en-US" w:eastAsia="zh-CN" w:bidi="ar-SA"/>
        </w:rPr>
        <w:t>.</w:t>
      </w:r>
      <w:r>
        <w:rPr>
          <w:rFonts w:hint="eastAsia" w:ascii="黑体" w:hAnsi="黑体" w:eastAsia="黑体" w:cs="黑体"/>
          <w:b/>
          <w:bCs/>
          <w:color w:val="auto"/>
          <w:kern w:val="2"/>
          <w:sz w:val="24"/>
          <w:szCs w:val="24"/>
          <w:lang w:val="en-US" w:eastAsia="zh-CN" w:bidi="ar-SA"/>
        </w:rPr>
        <w:t xml:space="preserve">3 </w:t>
      </w:r>
      <w:r>
        <w:rPr>
          <w:rFonts w:hint="eastAsia" w:ascii="黑体" w:hAnsi="黑体" w:eastAsia="黑体" w:cs="黑体"/>
          <w:b/>
          <w:bCs/>
          <w:color w:val="auto"/>
          <w:sz w:val="24"/>
          <w:szCs w:val="24"/>
          <w:lang w:val="en-US" w:eastAsia="zh-CN"/>
        </w:rPr>
        <w:t>问题三分析</w:t>
      </w:r>
    </w:p>
    <w:p w14:paraId="2AA06369">
      <w:pPr>
        <w:bidi w:val="0"/>
        <w:ind w:firstLine="480"/>
        <w:rPr>
          <w:rFonts w:hint="eastAsia" w:ascii="黑体" w:hAnsi="黑体" w:eastAsia="黑体" w:cs="黑体"/>
          <w:sz w:val="24"/>
          <w:szCs w:val="24"/>
        </w:rPr>
      </w:pPr>
      <w:r>
        <w:rPr>
          <w:rFonts w:hint="eastAsia" w:ascii="黑体" w:hAnsi="黑体" w:eastAsia="黑体" w:cs="黑体"/>
          <w:sz w:val="24"/>
          <w:szCs w:val="24"/>
          <w:lang w:val="en-US" w:eastAsia="zh-CN"/>
        </w:rPr>
        <w:t>对于问题三，</w:t>
      </w:r>
      <w:r>
        <w:rPr>
          <w:rFonts w:hint="eastAsia" w:ascii="黑体" w:hAnsi="黑体" w:eastAsia="黑体" w:cs="黑体"/>
          <w:sz w:val="24"/>
          <w:szCs w:val="24"/>
        </w:rPr>
        <w:t>为了深入探究门店商品销售过程中不同品类或单品的潜在关联关系，本研究采用关联规则挖掘中的Apriori算法，对销售流水数据进行系统分析。该算法能够从大规模交易数据中高效识别频繁出现的商品组合，并生成具有统计显著性的关联规则，适用于揭示类似“啤酒与尿不湿”的典型跨品类购买模式。分析过程中，首先计算各商品及商品组合的支持度以筛选频繁项集，进而基于置信度与提升度等指标评估规则强度，有效区分具有实际意义的关联模式与随机共现现象。通过可视化展示高频关联组合的网络结构，本研究为零售门店优化商品陈列策略、设计联合促销方案以及精准预测需求提供了数据驱动的决策依据，从而提升交叉销售机会与整体经营效益。</w:t>
      </w:r>
    </w:p>
    <w:p w14:paraId="43B259EA">
      <w:pPr>
        <w:bidi w:val="0"/>
        <w:ind w:firstLine="480"/>
        <w:rPr>
          <w:rFonts w:hint="eastAsia" w:ascii="黑体" w:hAnsi="黑体" w:eastAsia="黑体" w:cs="黑体"/>
          <w:sz w:val="24"/>
          <w:szCs w:val="24"/>
        </w:rPr>
      </w:pPr>
    </w:p>
    <w:p w14:paraId="536292A5">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2.4 问题四分析</w:t>
      </w:r>
    </w:p>
    <w:p w14:paraId="34C429A4">
      <w:pPr>
        <w:bidi w:val="0"/>
        <w:ind w:firstLine="480" w:firstLineChars="200"/>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根据题意，我们思考了两个层面，分别是我们应该采集哪些关键的数据，以及我们应该引入哪些关键手段，赋能旧数据最后能达到实现只能自动化决策的目的。在采集数据方面，我们考虑可以引入外部环境数据，例如天气数据、宏观经济与社交数据，外部环境会显著影响消费需求。例如天气会增加冰饮数量，雨天会提升速食产求。在技术层面，由于交易数据是静态数据，所以我们考虑引入动态云端数据库，可以实时追踪零售门店的销售数据，门店可以根据动态数据来调整相关销售策略。</w:t>
      </w:r>
    </w:p>
    <w:p w14:paraId="7458454E">
      <w:pPr>
        <w:bidi w:val="0"/>
        <w:rPr>
          <w:rFonts w:hint="eastAsia" w:ascii="黑体" w:hAnsi="黑体" w:eastAsia="黑体" w:cs="黑体"/>
          <w:sz w:val="24"/>
          <w:szCs w:val="24"/>
        </w:rPr>
      </w:pPr>
    </w:p>
    <w:p w14:paraId="45B60CB4">
      <w:pPr>
        <w:pStyle w:val="2"/>
        <w:bidi w:val="0"/>
        <w:ind w:firstLine="3092" w:firstLineChars="1100"/>
        <w:jc w:val="both"/>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三</w:t>
      </w:r>
      <w:r>
        <w:rPr>
          <w:rFonts w:hint="eastAsia" w:ascii="黑体" w:hAnsi="黑体" w:cs="黑体"/>
          <w:b/>
          <w:bCs/>
          <w:color w:val="auto"/>
          <w:kern w:val="2"/>
          <w:sz w:val="28"/>
          <w:szCs w:val="28"/>
          <w:lang w:val="en-US" w:eastAsia="zh-CN" w:bidi="ar-SA"/>
        </w:rPr>
        <w:t xml:space="preserve"> </w:t>
      </w:r>
      <w:r>
        <w:rPr>
          <w:rFonts w:hint="eastAsia" w:ascii="黑体" w:hAnsi="黑体" w:eastAsia="黑体" w:cs="黑体"/>
          <w:b/>
          <w:bCs/>
          <w:color w:val="auto"/>
          <w:kern w:val="2"/>
          <w:sz w:val="28"/>
          <w:szCs w:val="28"/>
          <w:lang w:val="en-US" w:eastAsia="zh-CN" w:bidi="ar-SA"/>
        </w:rPr>
        <w:t>模型假设</w:t>
      </w:r>
    </w:p>
    <w:p w14:paraId="6780BC5B">
      <w:pPr>
        <w:bidi w:val="0"/>
        <w:rPr>
          <w:rFonts w:hint="eastAsia" w:ascii="黑体" w:hAnsi="黑体" w:eastAsia="黑体" w:cs="黑体"/>
          <w:sz w:val="24"/>
          <w:szCs w:val="24"/>
        </w:rPr>
      </w:pPr>
      <w:r>
        <w:rPr>
          <w:rFonts w:hint="eastAsia" w:ascii="黑体" w:hAnsi="黑体" w:eastAsia="黑体" w:cs="黑体"/>
          <w:sz w:val="24"/>
          <w:szCs w:val="24"/>
          <w:lang w:val="en-US" w:eastAsia="zh-CN"/>
        </w:rPr>
        <w:t>1.</w:t>
      </w:r>
      <w:r>
        <w:rPr>
          <w:rFonts w:hint="eastAsia" w:ascii="黑体" w:hAnsi="黑体" w:eastAsia="黑体" w:cs="黑体"/>
          <w:sz w:val="24"/>
          <w:szCs w:val="24"/>
        </w:rPr>
        <w:t>商品销售数据具有明显的季节性特征，且该特征在预测周期内保持稳定</w:t>
      </w:r>
    </w:p>
    <w:p w14:paraId="3B71AB7F">
      <w:pPr>
        <w:bidi w:val="0"/>
        <w:rPr>
          <w:rFonts w:hint="eastAsia" w:ascii="黑体" w:hAnsi="黑体" w:eastAsia="黑体" w:cs="黑体"/>
          <w:sz w:val="24"/>
          <w:szCs w:val="24"/>
        </w:rPr>
      </w:pPr>
      <w:r>
        <w:rPr>
          <w:rFonts w:hint="eastAsia" w:ascii="黑体" w:hAnsi="黑体" w:eastAsia="黑体" w:cs="黑体"/>
          <w:sz w:val="24"/>
          <w:szCs w:val="24"/>
          <w:lang w:val="en-US" w:eastAsia="zh-CN"/>
        </w:rPr>
        <w:t>2.</w:t>
      </w:r>
      <w:r>
        <w:rPr>
          <w:rFonts w:hint="eastAsia" w:ascii="黑体" w:hAnsi="黑体" w:eastAsia="黑体" w:cs="黑体"/>
          <w:sz w:val="24"/>
          <w:szCs w:val="24"/>
        </w:rPr>
        <w:t>促销活动对销售的影响可以通过历史数据进行量化评估</w:t>
      </w:r>
    </w:p>
    <w:p w14:paraId="10BA5893">
      <w:pPr>
        <w:bidi w:val="0"/>
        <w:rPr>
          <w:rFonts w:hint="eastAsia" w:ascii="黑体" w:hAnsi="黑体" w:eastAsia="黑体" w:cs="黑体"/>
          <w:sz w:val="24"/>
          <w:szCs w:val="24"/>
        </w:rPr>
      </w:pPr>
      <w:r>
        <w:rPr>
          <w:rFonts w:hint="eastAsia" w:ascii="黑体" w:hAnsi="黑体" w:eastAsia="黑体" w:cs="黑体"/>
          <w:sz w:val="24"/>
          <w:szCs w:val="24"/>
          <w:lang w:val="en-US" w:eastAsia="zh-CN"/>
        </w:rPr>
        <w:t>3.</w:t>
      </w:r>
      <w:r>
        <w:rPr>
          <w:rFonts w:hint="eastAsia" w:ascii="黑体" w:hAnsi="黑体" w:eastAsia="黑体" w:cs="黑体"/>
          <w:sz w:val="24"/>
          <w:szCs w:val="24"/>
        </w:rPr>
        <w:t>不同品类之间的销售波动相互独立，不考虑跨品类影响</w:t>
      </w:r>
    </w:p>
    <w:p w14:paraId="6779BC4A">
      <w:pPr>
        <w:bidi w:val="0"/>
        <w:rPr>
          <w:rFonts w:hint="eastAsia" w:ascii="黑体" w:hAnsi="黑体" w:eastAsia="黑体" w:cs="黑体"/>
          <w:sz w:val="24"/>
          <w:szCs w:val="24"/>
        </w:rPr>
      </w:pPr>
      <w:r>
        <w:rPr>
          <w:rFonts w:hint="eastAsia" w:ascii="黑体" w:hAnsi="黑体" w:eastAsia="黑体" w:cs="黑体"/>
          <w:sz w:val="24"/>
          <w:szCs w:val="24"/>
          <w:lang w:val="en-US" w:eastAsia="zh-CN"/>
        </w:rPr>
        <w:t>4.</w:t>
      </w:r>
      <w:r>
        <w:rPr>
          <w:rFonts w:hint="eastAsia" w:ascii="黑体" w:hAnsi="黑体" w:eastAsia="黑体" w:cs="黑体"/>
          <w:sz w:val="24"/>
          <w:szCs w:val="24"/>
        </w:rPr>
        <w:t>门店运营策略和商品结构在预测期内保持相对稳定</w:t>
      </w:r>
    </w:p>
    <w:p w14:paraId="09EA7F2C">
      <w:pPr>
        <w:keepNext w:val="0"/>
        <w:keepLines w:val="0"/>
        <w:pageBreakBefore w:val="0"/>
        <w:widowControl w:val="0"/>
        <w:numPr>
          <w:ilvl w:val="0"/>
          <w:numId w:val="0"/>
        </w:numPr>
        <w:kinsoku/>
        <w:wordWrap/>
        <w:overflowPunct/>
        <w:topLinePunct w:val="0"/>
        <w:autoSpaceDE/>
        <w:autoSpaceDN/>
        <w:bidi w:val="0"/>
        <w:adjustRightInd/>
        <w:snapToGrid/>
        <w:spacing w:afterAutospacing="0" w:line="360" w:lineRule="auto"/>
        <w:jc w:val="both"/>
        <w:textAlignment w:val="auto"/>
        <w:rPr>
          <w:rFonts w:hint="eastAsia" w:ascii="黑体" w:hAnsi="黑体" w:eastAsia="黑体" w:cs="黑体"/>
          <w:sz w:val="24"/>
          <w:szCs w:val="24"/>
        </w:rPr>
      </w:pPr>
    </w:p>
    <w:p w14:paraId="7B61A56A">
      <w:pPr>
        <w:pStyle w:val="2"/>
        <w:bidi w:val="0"/>
        <w:ind w:firstLine="3092" w:firstLineChars="1100"/>
        <w:jc w:val="both"/>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四 定义与符号说明</w:t>
      </w:r>
    </w:p>
    <w:tbl>
      <w:tblPr>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2528"/>
        <w:gridCol w:w="2831"/>
        <w:gridCol w:w="2963"/>
      </w:tblGrid>
      <w:tr w14:paraId="4D2D1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trPr>
        <w:tc>
          <w:tcPr>
            <w:tcW w:w="2528" w:type="dxa"/>
            <w:tcBorders>
              <w:top w:val="single" w:color="auto" w:sz="4" w:space="0"/>
              <w:left w:val="nil"/>
              <w:bottom w:val="single" w:color="auto" w:sz="4" w:space="0"/>
              <w:right w:val="nil"/>
            </w:tcBorders>
            <w:shd w:val="clear"/>
            <w:noWrap/>
            <w:vAlign w:val="center"/>
          </w:tcPr>
          <w:p w14:paraId="62F3A031">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bdr w:val="none" w:color="auto" w:sz="0" w:space="0"/>
                <w:lang w:val="en-US" w:eastAsia="zh-CN" w:bidi="ar"/>
              </w:rPr>
              <w:t>符号</w:t>
            </w:r>
          </w:p>
        </w:tc>
        <w:tc>
          <w:tcPr>
            <w:tcW w:w="2831" w:type="dxa"/>
            <w:tcBorders>
              <w:top w:val="single" w:color="auto" w:sz="4" w:space="0"/>
              <w:left w:val="nil"/>
              <w:bottom w:val="single" w:color="auto" w:sz="4" w:space="0"/>
              <w:right w:val="nil"/>
            </w:tcBorders>
            <w:shd w:val="clear"/>
            <w:noWrap/>
            <w:vAlign w:val="center"/>
          </w:tcPr>
          <w:p w14:paraId="6BCE3544">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bdr w:val="none" w:color="auto" w:sz="0" w:space="0"/>
                <w:lang w:val="en-US" w:eastAsia="zh-CN" w:bidi="ar"/>
              </w:rPr>
              <w:t>说明</w:t>
            </w:r>
          </w:p>
        </w:tc>
        <w:tc>
          <w:tcPr>
            <w:tcW w:w="2963" w:type="dxa"/>
            <w:tcBorders>
              <w:top w:val="single" w:color="auto" w:sz="4" w:space="0"/>
              <w:left w:val="nil"/>
              <w:bottom w:val="single" w:color="auto" w:sz="4" w:space="0"/>
              <w:right w:val="nil"/>
            </w:tcBorders>
            <w:shd w:val="clear"/>
            <w:noWrap/>
            <w:vAlign w:val="center"/>
          </w:tcPr>
          <w:p w14:paraId="010EE75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bdr w:val="none" w:color="auto" w:sz="0" w:space="0"/>
                <w:lang w:val="en-US" w:eastAsia="zh-CN" w:bidi="ar"/>
              </w:rPr>
              <w:t>单位</w:t>
            </w:r>
          </w:p>
        </w:tc>
      </w:tr>
      <w:tr w14:paraId="4237D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single" w:color="auto" w:sz="4" w:space="0"/>
              <w:left w:val="nil"/>
              <w:bottom w:val="nil"/>
              <w:right w:val="nil"/>
            </w:tcBorders>
            <w:shd w:val="clear"/>
            <w:noWrap/>
            <w:vAlign w:val="center"/>
          </w:tcPr>
          <w:p w14:paraId="56E98E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single" w:color="auto" w:sz="4" w:space="0"/>
              <w:left w:val="nil"/>
              <w:bottom w:val="nil"/>
              <w:right w:val="nil"/>
            </w:tcBorders>
            <w:shd w:val="clear"/>
            <w:noWrap/>
            <w:vAlign w:val="center"/>
          </w:tcPr>
          <w:p w14:paraId="7AFBC6E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一级品类下第i个品类的销售数量</w:t>
            </w:r>
          </w:p>
        </w:tc>
        <w:tc>
          <w:tcPr>
            <w:tcW w:w="2963" w:type="dxa"/>
            <w:tcBorders>
              <w:top w:val="single" w:color="auto" w:sz="4" w:space="0"/>
              <w:left w:val="nil"/>
              <w:bottom w:val="nil"/>
              <w:right w:val="nil"/>
            </w:tcBorders>
            <w:shd w:val="clear"/>
            <w:noWrap/>
            <w:vAlign w:val="center"/>
          </w:tcPr>
          <w:p w14:paraId="6BB4BFF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51E04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BA5BA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m:sty m:val="p"/>
                      </m:rPr>
                      <w:rPr>
                        <w:rFonts w:hint="eastAsia" w:ascii="Cambria Math" w:hAnsi="Cambria Math"/>
                        <w:sz w:val="28"/>
                        <w:lang w:val="en-US" w:eastAsia="zh-CN"/>
                      </w:rPr>
                      <m:t>B</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nil"/>
              <w:left w:val="nil"/>
              <w:bottom w:val="nil"/>
              <w:right w:val="nil"/>
            </w:tcBorders>
            <w:shd w:val="clear"/>
            <w:noWrap/>
            <w:vAlign w:val="center"/>
          </w:tcPr>
          <w:p w14:paraId="3481F3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一级品类下第i个子品类的订单数</w:t>
            </w:r>
          </w:p>
        </w:tc>
        <w:tc>
          <w:tcPr>
            <w:tcW w:w="2963" w:type="dxa"/>
            <w:tcBorders>
              <w:top w:val="nil"/>
              <w:left w:val="nil"/>
              <w:bottom w:val="nil"/>
              <w:right w:val="nil"/>
            </w:tcBorders>
            <w:shd w:val="clear"/>
            <w:noWrap/>
            <w:vAlign w:val="center"/>
          </w:tcPr>
          <w:p w14:paraId="11F6B74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单</w:t>
            </w:r>
          </w:p>
        </w:tc>
      </w:tr>
      <w:tr w14:paraId="04DBF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31B7A18F">
            <w:pPr>
              <w:keepNext w:val="0"/>
              <w:keepLines w:val="0"/>
              <w:widowControl/>
              <w:suppressLineNumbers w:val="0"/>
              <w:jc w:val="center"/>
              <w:textAlignment w:val="center"/>
              <w:rPr>
                <w:rFonts w:hint="eastAsia" w:ascii="黑体" w:hAnsi="黑体" w:eastAsia="宋体" w:cs="黑体"/>
                <w:i w:val="0"/>
                <w:iCs w:val="0"/>
                <w:color w:val="000000"/>
                <w:sz w:val="24"/>
                <w:szCs w:val="24"/>
                <w:u w:val="none"/>
                <w:lang w:eastAsia="zh-CN"/>
              </w:rPr>
            </w:pPr>
            <m:oMathPara>
              <m:oMath>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lang w:val="en-US" w:eastAsia="zh-CN"/>
                      </w:rPr>
                      <m:t>(i)</m:t>
                    </m:r>
                    <m:ctrlPr>
                      <w:rPr>
                        <w:rFonts w:hint="default" w:ascii="Cambria Math" w:hAnsi="Cambria Math"/>
                        <w:sz w:val="28"/>
                      </w:rPr>
                    </m:ctrlPr>
                  </m:e>
                </m:func>
              </m:oMath>
            </m:oMathPara>
          </w:p>
        </w:tc>
        <w:tc>
          <w:tcPr>
            <w:tcW w:w="2831" w:type="dxa"/>
            <w:tcBorders>
              <w:top w:val="nil"/>
              <w:left w:val="nil"/>
              <w:bottom w:val="nil"/>
              <w:right w:val="nil"/>
            </w:tcBorders>
            <w:shd w:val="clear"/>
            <w:noWrap/>
            <w:vAlign w:val="center"/>
          </w:tcPr>
          <w:p w14:paraId="3DCA2A1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单笔订单销售数</w:t>
            </w:r>
          </w:p>
        </w:tc>
        <w:tc>
          <w:tcPr>
            <w:tcW w:w="2963" w:type="dxa"/>
            <w:tcBorders>
              <w:top w:val="nil"/>
              <w:left w:val="nil"/>
              <w:bottom w:val="nil"/>
              <w:right w:val="nil"/>
            </w:tcBorders>
            <w:shd w:val="clear"/>
            <w:noWrap/>
            <w:vAlign w:val="center"/>
          </w:tcPr>
          <w:p w14:paraId="2CCF1867">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48B3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36C6F0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p</m:t>
                </m:r>
              </m:oMath>
            </m:oMathPara>
          </w:p>
        </w:tc>
        <w:tc>
          <w:tcPr>
            <w:tcW w:w="2831" w:type="dxa"/>
            <w:tcBorders>
              <w:top w:val="nil"/>
              <w:left w:val="nil"/>
              <w:bottom w:val="nil"/>
              <w:right w:val="nil"/>
            </w:tcBorders>
            <w:shd w:val="clear"/>
            <w:noWrap/>
            <w:vAlign w:val="center"/>
          </w:tcPr>
          <w:p w14:paraId="1B2487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商品的销售单价</w:t>
            </w:r>
          </w:p>
        </w:tc>
        <w:tc>
          <w:tcPr>
            <w:tcW w:w="2963" w:type="dxa"/>
            <w:tcBorders>
              <w:top w:val="nil"/>
              <w:left w:val="nil"/>
              <w:bottom w:val="nil"/>
              <w:right w:val="nil"/>
            </w:tcBorders>
            <w:shd w:val="clear"/>
            <w:noWrap/>
            <w:vAlign w:val="center"/>
          </w:tcPr>
          <w:p w14:paraId="3BFC7BB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4195C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370B08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Lv</w:t>
            </w:r>
          </w:p>
        </w:tc>
        <w:tc>
          <w:tcPr>
            <w:tcW w:w="2831" w:type="dxa"/>
            <w:tcBorders>
              <w:top w:val="nil"/>
              <w:left w:val="nil"/>
              <w:bottom w:val="nil"/>
              <w:right w:val="nil"/>
            </w:tcBorders>
            <w:shd w:val="clear"/>
            <w:noWrap/>
            <w:vAlign w:val="center"/>
          </w:tcPr>
          <w:p w14:paraId="2AC8D9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品类级别</w:t>
            </w:r>
          </w:p>
        </w:tc>
        <w:tc>
          <w:tcPr>
            <w:tcW w:w="2963" w:type="dxa"/>
            <w:tcBorders>
              <w:top w:val="nil"/>
              <w:left w:val="nil"/>
              <w:bottom w:val="nil"/>
              <w:right w:val="nil"/>
            </w:tcBorders>
            <w:shd w:val="clear"/>
            <w:noWrap/>
            <w:vAlign w:val="center"/>
          </w:tcPr>
          <w:p w14:paraId="38DAB6D6">
            <w:pPr>
              <w:rPr>
                <w:rFonts w:hint="eastAsia" w:ascii="黑体" w:hAnsi="黑体" w:eastAsia="黑体" w:cs="黑体"/>
                <w:i w:val="0"/>
                <w:iCs w:val="0"/>
                <w:color w:val="000000"/>
                <w:sz w:val="24"/>
                <w:szCs w:val="24"/>
                <w:u w:val="none"/>
              </w:rPr>
            </w:pPr>
          </w:p>
        </w:tc>
      </w:tr>
      <w:tr w14:paraId="36ECE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1E97260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S</m:t>
                </m:r>
                <m:r>
                  <m:rPr/>
                  <w:rPr>
                    <w:rFonts w:hint="default" w:ascii="Cambria Math" w:hAnsi="Cambria Math"/>
                    <w:sz w:val="28"/>
                  </w:rPr>
                  <m:t>(i)</m:t>
                </m:r>
              </m:oMath>
            </m:oMathPara>
          </w:p>
        </w:tc>
        <w:tc>
          <w:tcPr>
            <w:tcW w:w="2831" w:type="dxa"/>
            <w:tcBorders>
              <w:top w:val="nil"/>
              <w:left w:val="nil"/>
              <w:bottom w:val="nil"/>
              <w:right w:val="nil"/>
            </w:tcBorders>
            <w:shd w:val="clear"/>
            <w:noWrap/>
            <w:vAlign w:val="center"/>
          </w:tcPr>
          <w:p w14:paraId="6F41822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每个子品类的销售额</w:t>
            </w:r>
          </w:p>
        </w:tc>
        <w:tc>
          <w:tcPr>
            <w:tcW w:w="2963" w:type="dxa"/>
            <w:tcBorders>
              <w:top w:val="nil"/>
              <w:left w:val="nil"/>
              <w:bottom w:val="nil"/>
              <w:right w:val="nil"/>
            </w:tcBorders>
            <w:shd w:val="clear"/>
            <w:noWrap/>
            <w:vAlign w:val="center"/>
          </w:tcPr>
          <w:p w14:paraId="3C1AD018">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FAB9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4B00D30E">
            <w:pPr>
              <w:keepNext w:val="0"/>
              <w:keepLines w:val="0"/>
              <w:widowControl/>
              <w:suppressLineNumbers w:val="0"/>
              <w:jc w:val="both"/>
              <w:textAlignment w:val="center"/>
              <w:rPr>
                <w:rFonts w:hint="eastAsia" w:ascii="黑体" w:hAnsi="黑体" w:eastAsia="黑体" w:cs="黑体"/>
                <w:i w:val="0"/>
                <w:iCs w:val="0"/>
                <w:color w:val="000000"/>
                <w:sz w:val="24"/>
                <w:szCs w:val="24"/>
                <w:u w:val="none"/>
              </w:rPr>
            </w:pPr>
            <m:oMathPara>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m:oMathPara>
          </w:p>
        </w:tc>
        <w:tc>
          <w:tcPr>
            <w:tcW w:w="2831" w:type="dxa"/>
            <w:tcBorders>
              <w:top w:val="nil"/>
              <w:left w:val="nil"/>
              <w:bottom w:val="nil"/>
              <w:right w:val="nil"/>
            </w:tcBorders>
            <w:shd w:val="clear"/>
            <w:noWrap/>
            <w:vAlign w:val="center"/>
          </w:tcPr>
          <w:p w14:paraId="04CD305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促销敏感度</w:t>
            </w:r>
          </w:p>
        </w:tc>
        <w:tc>
          <w:tcPr>
            <w:tcW w:w="2963" w:type="dxa"/>
            <w:tcBorders>
              <w:top w:val="nil"/>
              <w:left w:val="nil"/>
              <w:bottom w:val="nil"/>
              <w:right w:val="nil"/>
            </w:tcBorders>
            <w:shd w:val="clear"/>
            <w:noWrap/>
            <w:vAlign w:val="center"/>
          </w:tcPr>
          <w:p w14:paraId="785C6AEC">
            <w:pPr>
              <w:rPr>
                <w:rFonts w:hint="eastAsia" w:ascii="黑体" w:hAnsi="黑体" w:eastAsia="黑体" w:cs="黑体"/>
                <w:i w:val="0"/>
                <w:iCs w:val="0"/>
                <w:color w:val="000000"/>
                <w:sz w:val="24"/>
                <w:szCs w:val="24"/>
                <w:u w:val="none"/>
              </w:rPr>
            </w:pPr>
          </w:p>
        </w:tc>
      </w:tr>
      <w:tr w14:paraId="28364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B8A12D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1E3931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促销期间平均销售数量</w:t>
            </w:r>
          </w:p>
        </w:tc>
        <w:tc>
          <w:tcPr>
            <w:tcW w:w="2963" w:type="dxa"/>
            <w:tcBorders>
              <w:top w:val="nil"/>
              <w:left w:val="nil"/>
              <w:bottom w:val="nil"/>
              <w:right w:val="nil"/>
            </w:tcBorders>
            <w:shd w:val="clear"/>
            <w:noWrap/>
            <w:vAlign w:val="center"/>
          </w:tcPr>
          <w:p w14:paraId="24DADB3A">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7056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1A9B801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65BE2E4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日常平均销售数量</w:t>
            </w:r>
          </w:p>
        </w:tc>
        <w:tc>
          <w:tcPr>
            <w:tcW w:w="2963" w:type="dxa"/>
            <w:tcBorders>
              <w:top w:val="nil"/>
              <w:left w:val="nil"/>
              <w:bottom w:val="nil"/>
              <w:right w:val="nil"/>
            </w:tcBorders>
            <w:shd w:val="clear"/>
            <w:noWrap/>
            <w:vAlign w:val="center"/>
          </w:tcPr>
          <w:p w14:paraId="2264ECE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35AC7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52AAB9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szCs w:val="28"/>
                    <w:lang w:val="en-US" w:eastAsia="zh-CN"/>
                  </w:rPr>
                  <m:t>t</m:t>
                </m:r>
              </m:oMath>
            </m:oMathPara>
          </w:p>
        </w:tc>
        <w:tc>
          <w:tcPr>
            <w:tcW w:w="2831" w:type="dxa"/>
            <w:tcBorders>
              <w:top w:val="nil"/>
              <w:left w:val="nil"/>
              <w:bottom w:val="nil"/>
              <w:right w:val="nil"/>
            </w:tcBorders>
            <w:shd w:val="clear"/>
            <w:noWrap/>
            <w:vAlign w:val="center"/>
          </w:tcPr>
          <w:p w14:paraId="0BA7377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促销时间</w:t>
            </w:r>
          </w:p>
        </w:tc>
        <w:tc>
          <w:tcPr>
            <w:tcW w:w="2963" w:type="dxa"/>
            <w:tcBorders>
              <w:top w:val="nil"/>
              <w:left w:val="nil"/>
              <w:bottom w:val="nil"/>
              <w:right w:val="nil"/>
            </w:tcBorders>
            <w:shd w:val="clear"/>
            <w:noWrap/>
            <w:vAlign w:val="center"/>
          </w:tcPr>
          <w:p w14:paraId="4296EC38">
            <w:pPr>
              <w:jc w:val="center"/>
              <w:rPr>
                <w:rFonts w:hint="eastAsia" w:ascii="黑体" w:hAnsi="黑体" w:eastAsia="黑体" w:cs="黑体"/>
                <w:i w:val="0"/>
                <w:iCs w:val="0"/>
                <w:color w:val="000000"/>
                <w:sz w:val="24"/>
                <w:szCs w:val="24"/>
                <w:u w:val="none"/>
              </w:rPr>
            </w:pPr>
          </w:p>
        </w:tc>
      </w:tr>
      <w:tr w14:paraId="5874F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E0343F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47BDC29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促销期间销售数量</w:t>
            </w:r>
          </w:p>
        </w:tc>
        <w:tc>
          <w:tcPr>
            <w:tcW w:w="2963" w:type="dxa"/>
            <w:tcBorders>
              <w:top w:val="nil"/>
              <w:left w:val="nil"/>
              <w:bottom w:val="nil"/>
              <w:right w:val="nil"/>
            </w:tcBorders>
            <w:shd w:val="clear"/>
            <w:noWrap/>
            <w:vAlign w:val="center"/>
          </w:tcPr>
          <w:p w14:paraId="351C9E7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9AD3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1DF7CE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374A249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日常销售数量</w:t>
            </w:r>
          </w:p>
        </w:tc>
        <w:tc>
          <w:tcPr>
            <w:tcW w:w="2963" w:type="dxa"/>
            <w:tcBorders>
              <w:top w:val="nil"/>
              <w:left w:val="nil"/>
              <w:bottom w:val="nil"/>
              <w:right w:val="nil"/>
            </w:tcBorders>
            <w:shd w:val="clear"/>
            <w:noWrap/>
            <w:vAlign w:val="center"/>
          </w:tcPr>
          <w:p w14:paraId="4AD8B3F6">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CA67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E4E05C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760266D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节假日单价</w:t>
            </w:r>
          </w:p>
        </w:tc>
        <w:tc>
          <w:tcPr>
            <w:tcW w:w="2963" w:type="dxa"/>
            <w:tcBorders>
              <w:top w:val="nil"/>
              <w:left w:val="nil"/>
              <w:bottom w:val="nil"/>
              <w:right w:val="nil"/>
            </w:tcBorders>
            <w:shd w:val="clear"/>
            <w:noWrap/>
            <w:vAlign w:val="center"/>
          </w:tcPr>
          <w:p w14:paraId="2349627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6EABE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3F61F9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53E44E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平日单价</w:t>
            </w:r>
          </w:p>
        </w:tc>
        <w:tc>
          <w:tcPr>
            <w:tcW w:w="2963" w:type="dxa"/>
            <w:tcBorders>
              <w:top w:val="nil"/>
              <w:left w:val="nil"/>
              <w:bottom w:val="nil"/>
              <w:right w:val="nil"/>
            </w:tcBorders>
            <w:shd w:val="clear"/>
            <w:noWrap/>
            <w:vAlign w:val="center"/>
          </w:tcPr>
          <w:p w14:paraId="6A601E4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05C7E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0AB878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260BECC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季节性指数</w:t>
            </w:r>
          </w:p>
        </w:tc>
        <w:tc>
          <w:tcPr>
            <w:tcW w:w="2963" w:type="dxa"/>
            <w:tcBorders>
              <w:top w:val="nil"/>
              <w:left w:val="nil"/>
              <w:bottom w:val="nil"/>
              <w:right w:val="nil"/>
            </w:tcBorders>
            <w:shd w:val="clear"/>
            <w:noWrap/>
            <w:vAlign w:val="center"/>
          </w:tcPr>
          <w:p w14:paraId="339ACF0F">
            <w:pPr>
              <w:rPr>
                <w:rFonts w:hint="eastAsia" w:ascii="黑体" w:hAnsi="黑体" w:eastAsia="黑体" w:cs="黑体"/>
                <w:i w:val="0"/>
                <w:iCs w:val="0"/>
                <w:color w:val="000000"/>
                <w:sz w:val="24"/>
                <w:szCs w:val="24"/>
                <w:u w:val="none"/>
              </w:rPr>
            </w:pPr>
          </w:p>
        </w:tc>
      </w:tr>
      <w:tr w14:paraId="5AD84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30CBF67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noWrap/>
            <w:vAlign w:val="center"/>
          </w:tcPr>
          <w:p w14:paraId="39CAEE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原始观测值</w:t>
            </w:r>
          </w:p>
        </w:tc>
        <w:tc>
          <w:tcPr>
            <w:tcW w:w="2963" w:type="dxa"/>
            <w:tcBorders>
              <w:top w:val="nil"/>
              <w:left w:val="nil"/>
              <w:bottom w:val="nil"/>
              <w:right w:val="nil"/>
            </w:tcBorders>
            <w:shd w:val="clear"/>
            <w:noWrap/>
            <w:vAlign w:val="center"/>
          </w:tcPr>
          <w:p w14:paraId="2D848486">
            <w:pPr>
              <w:rPr>
                <w:rFonts w:hint="eastAsia" w:ascii="黑体" w:hAnsi="黑体" w:eastAsia="黑体" w:cs="黑体"/>
                <w:i w:val="0"/>
                <w:iCs w:val="0"/>
                <w:color w:val="000000"/>
                <w:sz w:val="24"/>
                <w:szCs w:val="24"/>
                <w:u w:val="none"/>
              </w:rPr>
            </w:pPr>
          </w:p>
        </w:tc>
      </w:tr>
      <w:tr w14:paraId="49856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2CB9AB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oMath>
            </m:oMathPara>
          </w:p>
        </w:tc>
        <w:tc>
          <w:tcPr>
            <w:tcW w:w="2831" w:type="dxa"/>
            <w:tcBorders>
              <w:top w:val="nil"/>
              <w:left w:val="nil"/>
              <w:bottom w:val="nil"/>
              <w:right w:val="nil"/>
            </w:tcBorders>
            <w:shd w:val="clear"/>
            <w:noWrap/>
            <w:vAlign w:val="center"/>
          </w:tcPr>
          <w:p w14:paraId="5FC93E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序列平均值</w:t>
            </w:r>
          </w:p>
        </w:tc>
        <w:tc>
          <w:tcPr>
            <w:tcW w:w="2963" w:type="dxa"/>
            <w:tcBorders>
              <w:top w:val="nil"/>
              <w:left w:val="nil"/>
              <w:bottom w:val="nil"/>
              <w:right w:val="nil"/>
            </w:tcBorders>
            <w:shd w:val="clear"/>
            <w:noWrap/>
            <w:vAlign w:val="center"/>
          </w:tcPr>
          <w:p w14:paraId="7C6D46E3">
            <w:pPr>
              <w:rPr>
                <w:rFonts w:hint="eastAsia" w:ascii="黑体" w:hAnsi="黑体" w:eastAsia="黑体" w:cs="黑体"/>
                <w:i w:val="0"/>
                <w:iCs w:val="0"/>
                <w:color w:val="000000"/>
                <w:sz w:val="24"/>
                <w:szCs w:val="24"/>
                <w:u w:val="none"/>
              </w:rPr>
            </w:pPr>
          </w:p>
        </w:tc>
      </w:tr>
      <w:tr w14:paraId="7F309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C7357B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noWrap/>
            <w:vAlign w:val="center"/>
          </w:tcPr>
          <w:p w14:paraId="11EA05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异界差分后的新值</w:t>
            </w:r>
          </w:p>
        </w:tc>
        <w:tc>
          <w:tcPr>
            <w:tcW w:w="2963" w:type="dxa"/>
            <w:tcBorders>
              <w:top w:val="nil"/>
              <w:left w:val="nil"/>
              <w:bottom w:val="nil"/>
              <w:right w:val="nil"/>
            </w:tcBorders>
            <w:shd w:val="clear"/>
            <w:noWrap/>
            <w:vAlign w:val="center"/>
          </w:tcPr>
          <w:p w14:paraId="36288E1E">
            <w:pPr>
              <w:rPr>
                <w:rFonts w:hint="eastAsia" w:ascii="黑体" w:hAnsi="黑体" w:eastAsia="黑体" w:cs="黑体"/>
                <w:i w:val="0"/>
                <w:iCs w:val="0"/>
                <w:color w:val="000000"/>
                <w:sz w:val="24"/>
                <w:szCs w:val="24"/>
                <w:u w:val="none"/>
              </w:rPr>
            </w:pPr>
          </w:p>
        </w:tc>
      </w:tr>
      <w:tr w14:paraId="28B04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051D20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m:t>
                </m:r>
              </m:oMath>
            </m:oMathPara>
          </w:p>
        </w:tc>
        <w:tc>
          <w:tcPr>
            <w:tcW w:w="2831" w:type="dxa"/>
            <w:tcBorders>
              <w:top w:val="nil"/>
              <w:left w:val="nil"/>
              <w:bottom w:val="nil"/>
              <w:right w:val="nil"/>
            </w:tcBorders>
            <w:shd w:val="clear"/>
            <w:noWrap/>
            <w:vAlign w:val="center"/>
          </w:tcPr>
          <w:p w14:paraId="7B66AC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第t个月的销售额</w:t>
            </w:r>
          </w:p>
        </w:tc>
        <w:tc>
          <w:tcPr>
            <w:tcW w:w="2963" w:type="dxa"/>
            <w:tcBorders>
              <w:top w:val="nil"/>
              <w:left w:val="nil"/>
              <w:bottom w:val="nil"/>
              <w:right w:val="nil"/>
            </w:tcBorders>
            <w:shd w:val="clear"/>
            <w:noWrap/>
            <w:vAlign w:val="center"/>
          </w:tcPr>
          <w:p w14:paraId="1560849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58FB3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4EF40D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(t−1)</m:t>
                </m:r>
              </m:oMath>
            </m:oMathPara>
          </w:p>
        </w:tc>
        <w:tc>
          <w:tcPr>
            <w:tcW w:w="2831" w:type="dxa"/>
            <w:tcBorders>
              <w:top w:val="nil"/>
              <w:left w:val="nil"/>
              <w:bottom w:val="nil"/>
              <w:right w:val="nil"/>
            </w:tcBorders>
            <w:shd w:val="clear"/>
            <w:noWrap/>
            <w:vAlign w:val="center"/>
          </w:tcPr>
          <w:p w14:paraId="72511F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前一个月的销售额</w:t>
            </w:r>
          </w:p>
        </w:tc>
        <w:tc>
          <w:tcPr>
            <w:tcW w:w="2963" w:type="dxa"/>
            <w:tcBorders>
              <w:top w:val="nil"/>
              <w:left w:val="nil"/>
              <w:bottom w:val="nil"/>
              <w:right w:val="nil"/>
            </w:tcBorders>
            <w:shd w:val="clear"/>
            <w:noWrap/>
            <w:vAlign w:val="center"/>
          </w:tcPr>
          <w:p w14:paraId="6E1DA9A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1647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0C42A9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noWrap/>
            <w:vAlign w:val="center"/>
          </w:tcPr>
          <w:p w14:paraId="51C06A0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季节差分后最终值</w:t>
            </w:r>
          </w:p>
        </w:tc>
        <w:tc>
          <w:tcPr>
            <w:tcW w:w="2963" w:type="dxa"/>
            <w:tcBorders>
              <w:top w:val="nil"/>
              <w:left w:val="nil"/>
              <w:bottom w:val="nil"/>
              <w:right w:val="nil"/>
            </w:tcBorders>
            <w:shd w:val="clear"/>
            <w:noWrap/>
            <w:vAlign w:val="center"/>
          </w:tcPr>
          <w:p w14:paraId="16F33345">
            <w:pPr>
              <w:rPr>
                <w:rFonts w:hint="eastAsia" w:ascii="宋体" w:hAnsi="宋体" w:eastAsia="宋体" w:cs="宋体"/>
                <w:i w:val="0"/>
                <w:iCs w:val="0"/>
                <w:color w:val="000000"/>
                <w:sz w:val="22"/>
                <w:szCs w:val="22"/>
                <w:u w:val="none"/>
              </w:rPr>
            </w:pPr>
          </w:p>
        </w:tc>
      </w:tr>
      <w:tr w14:paraId="148FE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11ADFFB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noWrap/>
            <w:vAlign w:val="center"/>
          </w:tcPr>
          <w:p w14:paraId="7A567B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当前月的一阶差分值</w:t>
            </w:r>
          </w:p>
        </w:tc>
        <w:tc>
          <w:tcPr>
            <w:tcW w:w="2963" w:type="dxa"/>
            <w:tcBorders>
              <w:top w:val="nil"/>
              <w:left w:val="nil"/>
              <w:bottom w:val="nil"/>
              <w:right w:val="nil"/>
            </w:tcBorders>
            <w:shd w:val="clear"/>
            <w:noWrap/>
            <w:vAlign w:val="center"/>
          </w:tcPr>
          <w:p w14:paraId="18C2D4D7">
            <w:pPr>
              <w:rPr>
                <w:rFonts w:hint="eastAsia" w:ascii="宋体" w:hAnsi="宋体" w:eastAsia="宋体" w:cs="宋体"/>
                <w:i w:val="0"/>
                <w:iCs w:val="0"/>
                <w:color w:val="000000"/>
                <w:sz w:val="22"/>
                <w:szCs w:val="22"/>
                <w:u w:val="none"/>
              </w:rPr>
            </w:pPr>
          </w:p>
        </w:tc>
      </w:tr>
      <w:tr w14:paraId="1339A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E377C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oMath>
            </m:oMathPara>
          </w:p>
        </w:tc>
        <w:tc>
          <w:tcPr>
            <w:tcW w:w="2831" w:type="dxa"/>
            <w:tcBorders>
              <w:top w:val="nil"/>
              <w:left w:val="nil"/>
              <w:bottom w:val="nil"/>
              <w:right w:val="nil"/>
            </w:tcBorders>
            <w:shd w:val="clear"/>
            <w:noWrap/>
            <w:vAlign w:val="center"/>
          </w:tcPr>
          <w:p w14:paraId="7BA46D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去年同月一阶差分值</w:t>
            </w:r>
          </w:p>
        </w:tc>
        <w:tc>
          <w:tcPr>
            <w:tcW w:w="2963" w:type="dxa"/>
            <w:tcBorders>
              <w:top w:val="nil"/>
              <w:left w:val="nil"/>
              <w:bottom w:val="nil"/>
              <w:right w:val="nil"/>
            </w:tcBorders>
            <w:shd w:val="clear"/>
            <w:noWrap/>
            <w:vAlign w:val="center"/>
          </w:tcPr>
          <w:p w14:paraId="7427D212">
            <w:pPr>
              <w:rPr>
                <w:rFonts w:hint="eastAsia" w:ascii="宋体" w:hAnsi="宋体" w:eastAsia="宋体" w:cs="宋体"/>
                <w:i w:val="0"/>
                <w:iCs w:val="0"/>
                <w:color w:val="000000"/>
                <w:sz w:val="22"/>
                <w:szCs w:val="22"/>
                <w:u w:val="none"/>
              </w:rPr>
            </w:pPr>
          </w:p>
        </w:tc>
      </w:tr>
      <w:tr w14:paraId="69635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0B6C3D7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黑体" w:cs="Times New Roman"/>
                <w:i w:val="0"/>
                <w:iCs w:val="0"/>
                <w:color w:val="000000"/>
                <w:kern w:val="0"/>
                <w:sz w:val="24"/>
                <w:szCs w:val="24"/>
                <w:u w:val="none"/>
                <w:lang w:val="en-US" w:eastAsia="zh-CN" w:bidi="ar"/>
              </w:rPr>
              <w:t>d</w:t>
            </w:r>
          </w:p>
        </w:tc>
        <w:tc>
          <w:tcPr>
            <w:tcW w:w="2831" w:type="dxa"/>
            <w:tcBorders>
              <w:top w:val="nil"/>
              <w:left w:val="nil"/>
              <w:bottom w:val="nil"/>
              <w:right w:val="nil"/>
            </w:tcBorders>
            <w:shd w:val="clear"/>
            <w:noWrap/>
            <w:vAlign w:val="center"/>
          </w:tcPr>
          <w:p w14:paraId="5B5E7F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普通差分阶数</w:t>
            </w:r>
          </w:p>
        </w:tc>
        <w:tc>
          <w:tcPr>
            <w:tcW w:w="2963" w:type="dxa"/>
            <w:tcBorders>
              <w:top w:val="nil"/>
              <w:left w:val="nil"/>
              <w:bottom w:val="nil"/>
              <w:right w:val="nil"/>
            </w:tcBorders>
            <w:shd w:val="clear"/>
            <w:noWrap/>
            <w:vAlign w:val="center"/>
          </w:tcPr>
          <w:p w14:paraId="628CDA2C">
            <w:pPr>
              <w:jc w:val="center"/>
              <w:rPr>
                <w:rFonts w:hint="default" w:ascii="Times New Roman" w:hAnsi="Times New Roman" w:eastAsia="宋体" w:cs="Times New Roman"/>
                <w:i w:val="0"/>
                <w:iCs w:val="0"/>
                <w:color w:val="000000"/>
                <w:sz w:val="22"/>
                <w:szCs w:val="22"/>
                <w:u w:val="none"/>
              </w:rPr>
            </w:pPr>
          </w:p>
        </w:tc>
      </w:tr>
      <w:tr w14:paraId="0F5AD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2D2D28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D</w:t>
            </w:r>
          </w:p>
        </w:tc>
        <w:tc>
          <w:tcPr>
            <w:tcW w:w="2831" w:type="dxa"/>
            <w:tcBorders>
              <w:top w:val="nil"/>
              <w:left w:val="nil"/>
              <w:bottom w:val="nil"/>
              <w:right w:val="nil"/>
            </w:tcBorders>
            <w:shd w:val="clear"/>
            <w:noWrap/>
            <w:vAlign w:val="center"/>
          </w:tcPr>
          <w:p w14:paraId="2A1F4B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季节性差分阶数</w:t>
            </w:r>
          </w:p>
        </w:tc>
        <w:tc>
          <w:tcPr>
            <w:tcW w:w="2963" w:type="dxa"/>
            <w:tcBorders>
              <w:top w:val="nil"/>
              <w:left w:val="nil"/>
              <w:bottom w:val="nil"/>
              <w:right w:val="nil"/>
            </w:tcBorders>
            <w:shd w:val="clear"/>
            <w:noWrap/>
            <w:vAlign w:val="center"/>
          </w:tcPr>
          <w:p w14:paraId="75CAF70A">
            <w:pPr>
              <w:jc w:val="center"/>
              <w:rPr>
                <w:rFonts w:hint="eastAsia" w:ascii="宋体" w:hAnsi="宋体" w:eastAsia="宋体" w:cs="宋体"/>
                <w:i w:val="0"/>
                <w:iCs w:val="0"/>
                <w:color w:val="000000"/>
                <w:sz w:val="22"/>
                <w:szCs w:val="22"/>
                <w:u w:val="none"/>
              </w:rPr>
            </w:pPr>
          </w:p>
        </w:tc>
      </w:tr>
      <w:tr w14:paraId="2C358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77C29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m</w:t>
            </w:r>
          </w:p>
        </w:tc>
        <w:tc>
          <w:tcPr>
            <w:tcW w:w="2831" w:type="dxa"/>
            <w:tcBorders>
              <w:top w:val="nil"/>
              <w:left w:val="nil"/>
              <w:bottom w:val="nil"/>
              <w:right w:val="nil"/>
            </w:tcBorders>
            <w:shd w:val="clear"/>
            <w:noWrap/>
            <w:vAlign w:val="center"/>
          </w:tcPr>
          <w:p w14:paraId="4E04EC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季节周期</w:t>
            </w:r>
          </w:p>
        </w:tc>
        <w:tc>
          <w:tcPr>
            <w:tcW w:w="2963" w:type="dxa"/>
            <w:tcBorders>
              <w:top w:val="nil"/>
              <w:left w:val="nil"/>
              <w:bottom w:val="nil"/>
              <w:right w:val="nil"/>
            </w:tcBorders>
            <w:shd w:val="clear"/>
            <w:noWrap/>
            <w:vAlign w:val="center"/>
          </w:tcPr>
          <w:p w14:paraId="2A8029EF">
            <w:pPr>
              <w:jc w:val="center"/>
              <w:rPr>
                <w:rFonts w:hint="eastAsia" w:ascii="宋体" w:hAnsi="宋体" w:eastAsia="宋体" w:cs="宋体"/>
                <w:i w:val="0"/>
                <w:iCs w:val="0"/>
                <w:color w:val="000000"/>
                <w:sz w:val="22"/>
                <w:szCs w:val="22"/>
                <w:u w:val="none"/>
              </w:rPr>
            </w:pPr>
          </w:p>
        </w:tc>
      </w:tr>
      <w:tr w14:paraId="15111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A5DF01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noWrap/>
            <w:vAlign w:val="center"/>
          </w:tcPr>
          <w:p w14:paraId="10C6FF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AR项阶数</w:t>
            </w:r>
          </w:p>
        </w:tc>
        <w:tc>
          <w:tcPr>
            <w:tcW w:w="2963" w:type="dxa"/>
            <w:tcBorders>
              <w:top w:val="nil"/>
              <w:left w:val="nil"/>
              <w:bottom w:val="nil"/>
              <w:right w:val="nil"/>
            </w:tcBorders>
            <w:shd w:val="clear"/>
            <w:noWrap/>
            <w:vAlign w:val="center"/>
          </w:tcPr>
          <w:p w14:paraId="1A6C43C9">
            <w:pPr>
              <w:jc w:val="center"/>
              <w:rPr>
                <w:rFonts w:hint="eastAsia" w:ascii="宋体" w:hAnsi="宋体" w:eastAsia="宋体" w:cs="宋体"/>
                <w:i w:val="0"/>
                <w:iCs w:val="0"/>
                <w:color w:val="000000"/>
                <w:sz w:val="22"/>
                <w:szCs w:val="22"/>
                <w:u w:val="none"/>
              </w:rPr>
            </w:pPr>
          </w:p>
        </w:tc>
      </w:tr>
      <w:tr w14:paraId="77727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00873F47">
            <w:pPr>
              <w:keepNext w:val="0"/>
              <w:keepLines w:val="0"/>
              <w:widowControl/>
              <w:suppressLineNumbers w:val="0"/>
              <w:jc w:val="center"/>
              <w:textAlignment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q</w:t>
            </w:r>
          </w:p>
        </w:tc>
        <w:tc>
          <w:tcPr>
            <w:tcW w:w="2831" w:type="dxa"/>
            <w:tcBorders>
              <w:top w:val="nil"/>
              <w:left w:val="nil"/>
              <w:bottom w:val="nil"/>
              <w:right w:val="nil"/>
            </w:tcBorders>
            <w:shd w:val="clear"/>
            <w:noWrap/>
            <w:vAlign w:val="center"/>
          </w:tcPr>
          <w:p w14:paraId="05BE25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MA项阶数</w:t>
            </w:r>
          </w:p>
        </w:tc>
        <w:tc>
          <w:tcPr>
            <w:tcW w:w="2963" w:type="dxa"/>
            <w:tcBorders>
              <w:top w:val="nil"/>
              <w:left w:val="nil"/>
              <w:bottom w:val="nil"/>
              <w:right w:val="nil"/>
            </w:tcBorders>
            <w:shd w:val="clear"/>
            <w:noWrap/>
            <w:vAlign w:val="center"/>
          </w:tcPr>
          <w:p w14:paraId="65B51440">
            <w:pPr>
              <w:jc w:val="center"/>
              <w:rPr>
                <w:rFonts w:hint="eastAsia" w:ascii="宋体" w:hAnsi="宋体" w:eastAsia="宋体" w:cs="宋体"/>
                <w:i w:val="0"/>
                <w:iCs w:val="0"/>
                <w:color w:val="000000"/>
                <w:sz w:val="22"/>
                <w:szCs w:val="22"/>
                <w:u w:val="none"/>
              </w:rPr>
            </w:pPr>
          </w:p>
        </w:tc>
      </w:tr>
      <w:tr w14:paraId="73BC9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EB247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noWrap/>
            <w:vAlign w:val="center"/>
          </w:tcPr>
          <w:p w14:paraId="1C4DD6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季节性AR项阶数</w:t>
            </w:r>
          </w:p>
        </w:tc>
        <w:tc>
          <w:tcPr>
            <w:tcW w:w="2963" w:type="dxa"/>
            <w:tcBorders>
              <w:top w:val="nil"/>
              <w:left w:val="nil"/>
              <w:bottom w:val="nil"/>
              <w:right w:val="nil"/>
            </w:tcBorders>
            <w:shd w:val="clear"/>
            <w:noWrap/>
            <w:vAlign w:val="center"/>
          </w:tcPr>
          <w:p w14:paraId="77BCBDA7">
            <w:pPr>
              <w:jc w:val="center"/>
              <w:rPr>
                <w:rFonts w:hint="eastAsia" w:ascii="宋体" w:hAnsi="宋体" w:eastAsia="宋体" w:cs="宋体"/>
                <w:i w:val="0"/>
                <w:iCs w:val="0"/>
                <w:color w:val="000000"/>
                <w:sz w:val="22"/>
                <w:szCs w:val="22"/>
                <w:u w:val="none"/>
              </w:rPr>
            </w:pPr>
          </w:p>
        </w:tc>
      </w:tr>
      <w:tr w14:paraId="6FE5D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22DD665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Q</w:t>
            </w:r>
          </w:p>
        </w:tc>
        <w:tc>
          <w:tcPr>
            <w:tcW w:w="2831" w:type="dxa"/>
            <w:tcBorders>
              <w:top w:val="nil"/>
              <w:left w:val="nil"/>
              <w:bottom w:val="nil"/>
              <w:right w:val="nil"/>
            </w:tcBorders>
            <w:shd w:val="clear"/>
            <w:noWrap/>
            <w:vAlign w:val="center"/>
          </w:tcPr>
          <w:p w14:paraId="5095253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季节性MA项阶数</w:t>
            </w:r>
          </w:p>
        </w:tc>
        <w:tc>
          <w:tcPr>
            <w:tcW w:w="2963" w:type="dxa"/>
            <w:tcBorders>
              <w:top w:val="nil"/>
              <w:left w:val="nil"/>
              <w:bottom w:val="nil"/>
              <w:right w:val="nil"/>
            </w:tcBorders>
            <w:shd w:val="clear"/>
            <w:noWrap/>
            <w:vAlign w:val="center"/>
          </w:tcPr>
          <w:p w14:paraId="13F7D4CD">
            <w:pPr>
              <w:jc w:val="center"/>
              <w:rPr>
                <w:rFonts w:hint="eastAsia" w:ascii="宋体" w:hAnsi="宋体" w:eastAsia="宋体" w:cs="宋体"/>
                <w:i w:val="0"/>
                <w:iCs w:val="0"/>
                <w:color w:val="000000"/>
                <w:sz w:val="22"/>
                <w:szCs w:val="22"/>
                <w:u w:val="none"/>
              </w:rPr>
            </w:pPr>
          </w:p>
        </w:tc>
      </w:tr>
      <w:tr w14:paraId="67596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DA537C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Support</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noWrap/>
            <w:vAlign w:val="center"/>
          </w:tcPr>
          <w:p w14:paraId="3AC704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项集A的支持度</w:t>
            </w:r>
          </w:p>
        </w:tc>
        <w:tc>
          <w:tcPr>
            <w:tcW w:w="2963" w:type="dxa"/>
            <w:tcBorders>
              <w:top w:val="nil"/>
              <w:left w:val="nil"/>
              <w:bottom w:val="nil"/>
              <w:right w:val="nil"/>
            </w:tcBorders>
            <w:shd w:val="clear"/>
            <w:noWrap/>
            <w:vAlign w:val="center"/>
          </w:tcPr>
          <w:p w14:paraId="472BBF03">
            <w:pPr>
              <w:rPr>
                <w:rFonts w:hint="eastAsia" w:ascii="宋体" w:hAnsi="宋体" w:eastAsia="宋体" w:cs="宋体"/>
                <w:i w:val="0"/>
                <w:iCs w:val="0"/>
                <w:color w:val="000000"/>
                <w:sz w:val="22"/>
                <w:szCs w:val="22"/>
                <w:u w:val="none"/>
              </w:rPr>
            </w:pPr>
          </w:p>
        </w:tc>
      </w:tr>
      <w:tr w14:paraId="51155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60E5D82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noWrap/>
            <w:vAlign w:val="center"/>
          </w:tcPr>
          <w:p w14:paraId="7903EC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包含项集A的交易数</w:t>
            </w:r>
          </w:p>
        </w:tc>
        <w:tc>
          <w:tcPr>
            <w:tcW w:w="2963" w:type="dxa"/>
            <w:tcBorders>
              <w:top w:val="nil"/>
              <w:left w:val="nil"/>
              <w:bottom w:val="nil"/>
              <w:right w:val="nil"/>
            </w:tcBorders>
            <w:shd w:val="clear"/>
            <w:noWrap/>
            <w:vAlign w:val="center"/>
          </w:tcPr>
          <w:p w14:paraId="44757C6B">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61F24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noWrap/>
            <w:vAlign w:val="center"/>
          </w:tcPr>
          <w:p w14:paraId="796234D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oMath>
            </m:oMathPara>
          </w:p>
        </w:tc>
        <w:tc>
          <w:tcPr>
            <w:tcW w:w="2831" w:type="dxa"/>
            <w:tcBorders>
              <w:top w:val="nil"/>
              <w:left w:val="nil"/>
              <w:bottom w:val="nil"/>
              <w:right w:val="nil"/>
            </w:tcBorders>
            <w:shd w:val="clear"/>
            <w:noWrap/>
            <w:vAlign w:val="center"/>
          </w:tcPr>
          <w:p w14:paraId="79FDE3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交易总数</w:t>
            </w:r>
          </w:p>
        </w:tc>
        <w:tc>
          <w:tcPr>
            <w:tcW w:w="2963" w:type="dxa"/>
            <w:tcBorders>
              <w:top w:val="nil"/>
              <w:left w:val="nil"/>
              <w:bottom w:val="nil"/>
              <w:right w:val="nil"/>
            </w:tcBorders>
            <w:shd w:val="clear"/>
            <w:noWrap/>
            <w:vAlign w:val="center"/>
          </w:tcPr>
          <w:p w14:paraId="6425F764">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3E3A0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single" w:color="auto" w:sz="4" w:space="0"/>
              <w:right w:val="nil"/>
            </w:tcBorders>
            <w:shd w:val="clear"/>
            <w:noWrap/>
            <w:vAlign w:val="center"/>
          </w:tcPr>
          <w:p w14:paraId="544A98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sz w:val="28"/>
                    <w:szCs w:val="28"/>
                    <w:lang w:val="en-US" w:eastAsia="zh-CN"/>
                  </w:rPr>
                  <m:t xml:space="preserve"> Confidence</m:t>
                </m:r>
              </m:oMath>
            </m:oMathPara>
          </w:p>
        </w:tc>
        <w:tc>
          <w:tcPr>
            <w:tcW w:w="2831" w:type="dxa"/>
            <w:tcBorders>
              <w:top w:val="nil"/>
              <w:left w:val="nil"/>
              <w:bottom w:val="single" w:color="auto" w:sz="4" w:space="0"/>
              <w:right w:val="nil"/>
            </w:tcBorders>
            <w:shd w:val="clear"/>
            <w:noWrap/>
            <w:vAlign w:val="center"/>
          </w:tcPr>
          <w:p w14:paraId="24A7E9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bdr w:val="none" w:color="auto" w:sz="0" w:space="0"/>
                <w:lang w:val="en-US" w:eastAsia="zh-CN" w:bidi="ar"/>
              </w:rPr>
              <w:t>置信度</w:t>
            </w:r>
          </w:p>
        </w:tc>
        <w:tc>
          <w:tcPr>
            <w:tcW w:w="2963" w:type="dxa"/>
            <w:tcBorders>
              <w:top w:val="nil"/>
              <w:left w:val="nil"/>
              <w:bottom w:val="single" w:color="auto" w:sz="4" w:space="0"/>
              <w:right w:val="nil"/>
            </w:tcBorders>
            <w:shd w:val="clear"/>
            <w:noWrap/>
            <w:vAlign w:val="center"/>
          </w:tcPr>
          <w:p w14:paraId="3602A4BA">
            <w:pPr>
              <w:rPr>
                <w:rFonts w:hint="eastAsia" w:ascii="宋体" w:hAnsi="宋体" w:eastAsia="宋体" w:cs="宋体"/>
                <w:i w:val="0"/>
                <w:iCs w:val="0"/>
                <w:color w:val="000000"/>
                <w:sz w:val="22"/>
                <w:szCs w:val="22"/>
                <w:u w:val="none"/>
              </w:rPr>
            </w:pPr>
          </w:p>
        </w:tc>
      </w:tr>
    </w:tbl>
    <w:p w14:paraId="6E33F331">
      <w:pPr>
        <w:pStyle w:val="2"/>
        <w:keepNext/>
        <w:keepLines/>
        <w:pageBreakBefore w:val="0"/>
        <w:widowControl w:val="0"/>
        <w:kinsoku/>
        <w:wordWrap/>
        <w:overflowPunct/>
        <w:topLinePunct w:val="0"/>
        <w:autoSpaceDE/>
        <w:autoSpaceDN/>
        <w:bidi w:val="0"/>
        <w:adjustRightInd/>
        <w:snapToGrid/>
        <w:spacing w:line="240" w:lineRule="auto"/>
        <w:ind w:firstLine="3092" w:firstLineChars="1100"/>
        <w:jc w:val="both"/>
        <w:textAlignment w:val="auto"/>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五 模型的建立与求解</w:t>
      </w:r>
    </w:p>
    <w:p w14:paraId="02BCBB1A">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 问题一模型的建立与求解</w:t>
      </w:r>
    </w:p>
    <w:p w14:paraId="2ECDC9A3">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5.1.1 关键品类商品分析</w:t>
      </w:r>
    </w:p>
    <w:p w14:paraId="6E273B30">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r>
        <w:rPr>
          <w:rFonts w:hint="eastAsia" w:ascii="黑体" w:hAnsi="黑体" w:eastAsia="黑体" w:cs="黑体"/>
          <w:b w:val="0"/>
          <w:bCs w:val="0"/>
          <w:color w:val="auto"/>
          <w:kern w:val="2"/>
          <w:sz w:val="24"/>
          <w:szCs w:val="24"/>
          <w:lang w:val="en-US" w:eastAsia="zh-CN" w:bidi="ar-SA"/>
        </w:rPr>
        <w:t>分析附件中的数据集我们可以发现，商品总共被划分为了四个级别的品类。每个级别的品类下又包含不同的子品类。其中，高级品类和低级品类之间存在包含关系。我们将数据按照Lv进行分组，并且乘以相应的销售量后求和，就可以得到各个品类的销售数量情况，我们假设Lv级品类下有i个子品类，每个子品类下的订单数为B,每个订单的销售数量为SQ(i)：</w:t>
      </w:r>
    </w:p>
    <w:p w14:paraId="065771BD">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default" w:hAnsi="Cambria Math" w:eastAsia="Courier New"/>
          <w:i w:val="0"/>
          <w:sz w:val="28"/>
          <w:szCs w:val="28"/>
        </w:rPr>
      </w:pPr>
      <m:oMathPara>
        <m:oMath>
          <m:r>
            <m:rPr/>
            <w:rPr>
              <w:rFonts w:hint="default" w:ascii="Cambria Math" w:hAnsi="Cambria Math" w:eastAsia="Courier New"/>
              <w:sz w:val="28"/>
              <w:szCs w:val="28"/>
            </w:rPr>
            <m:t>i=</m:t>
          </m:r>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1</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医疗保健</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2</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生鲜</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3</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非食</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4</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食品</m:t>
                    </m:r>
                    <m:ctrlPr>
                      <w:rPr>
                        <w:rFonts w:ascii="Cambria Math" w:hAnsi="Cambria Math" w:eastAsia="Courier New"/>
                        <w:sz w:val="28"/>
                        <w:szCs w:val="28"/>
                      </w:rPr>
                    </m:ctrlPr>
                  </m:e>
                </m:mr>
              </m:m>
              <m:ctrlPr>
                <w:rPr>
                  <w:rFonts w:hint="default" w:ascii="Cambria Math" w:hAnsi="Cambria Math" w:eastAsia="Courier New"/>
                  <w:sz w:val="28"/>
                  <w:szCs w:val="28"/>
                </w:rPr>
              </m:ctrlPr>
            </m:e>
          </m:d>
          <m:r>
            <m:rPr>
              <m:sty m:val="p"/>
            </m:rPr>
            <w:rPr>
              <w:rFonts w:hint="default" w:ascii="Cambria Math" w:hAnsi="Cambria Math" w:eastAsia="Courier New"/>
              <w:sz w:val="28"/>
              <w:szCs w:val="28"/>
            </w:rPr>
            <m:t xml:space="preserve"> </m:t>
          </m:r>
        </m:oMath>
      </m:oMathPara>
    </w:p>
    <w:p w14:paraId="66B14828">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rPr>
          <w:rFonts w:hint="eastAsia" w:hAnsi="Cambria Math" w:eastAsia="Courier New"/>
          <w:i w:val="0"/>
          <w:sz w:val="28"/>
          <w:szCs w:val="28"/>
          <w:lang w:val="en-US" w:eastAsia="zh-CN"/>
        </w:rPr>
      </w:pPr>
    </w:p>
    <w:p w14:paraId="664C934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eastAsia="Courier New"/>
          <w:i w:val="0"/>
          <w:sz w:val="28"/>
          <w:szCs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 xml:space="preserve">(i)                              </m:t>
          </m:r>
          <m:r>
            <m:rPr/>
            <w:rPr>
              <w:rFonts w:hint="default" w:ascii="Cambria Math" w:hAnsi="Cambria Math"/>
              <w:sz w:val="28"/>
            </w:rPr>
            <m:t>(1)</m:t>
          </m:r>
        </m:oMath>
      </m:oMathPara>
    </w:p>
    <w:p w14:paraId="5E972C28">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val="0"/>
          <w:bCs/>
          <w:i w:val="0"/>
          <w:sz w:val="24"/>
          <w:szCs w:val="24"/>
          <w:lang w:val="en-US" w:eastAsia="zh-CN"/>
        </w:rPr>
      </w:pPr>
      <w:r>
        <w:rPr>
          <w:rFonts w:hint="eastAsia" w:ascii="黑体" w:hAnsi="黑体" w:eastAsia="黑体" w:cs="黑体"/>
          <w:b w:val="0"/>
          <w:bCs/>
          <w:i w:val="0"/>
          <w:sz w:val="24"/>
          <w:szCs w:val="24"/>
          <w:lang w:val="en-US" w:eastAsia="zh-CN"/>
        </w:rPr>
        <w:t>其中，</w:t>
      </w:r>
      <m:oMath>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w:r>
        <w:rPr>
          <w:rFonts w:hint="eastAsia" w:ascii="黑体" w:hAnsi="黑体" w:eastAsia="黑体" w:cs="黑体"/>
          <w:b w:val="0"/>
          <w:bCs/>
          <w:i w:val="0"/>
          <w:sz w:val="24"/>
          <w:szCs w:val="24"/>
          <w:lang w:val="en-US" w:eastAsia="zh-CN"/>
        </w:rPr>
        <w:t>代表一级品类下第i个品类的销售数量，B（j）代表一级品类下第j个子品类的订单数，</w:t>
      </w:r>
      <m:oMath>
        <m:func>
          <m:funcPr>
            <m:ctrlPr>
              <w:rPr>
                <w:rFonts w:hint="eastAsia" w:ascii="Cambria Math" w:hAnsi="Cambria Math" w:eastAsia="黑体" w:cs="黑体"/>
                <w:sz w:val="24"/>
                <w:szCs w:val="24"/>
              </w:rPr>
            </m:ctrlPr>
          </m:funcPr>
          <m:fName>
            <m:r>
              <m:rPr>
                <m:sty m:val="p"/>
              </m:rPr>
              <w:rPr>
                <w:rFonts w:hint="eastAsia" w:ascii="Cambria Math" w:hAnsi="Cambria Math" w:eastAsia="黑体" w:cs="黑体"/>
                <w:sz w:val="24"/>
                <w:szCs w:val="24"/>
                <w:lang w:val="en-US" w:eastAsia="zh-CN"/>
              </w:rPr>
              <m:t xml:space="preserve"> S</m:t>
            </m:r>
            <m:ctrlPr>
              <w:rPr>
                <w:rFonts w:hint="eastAsia" w:ascii="Cambria Math" w:hAnsi="Cambria Math" w:eastAsia="黑体" w:cs="黑体"/>
                <w:sz w:val="24"/>
                <w:szCs w:val="24"/>
              </w:rPr>
            </m:ctrlPr>
          </m:fName>
          <m:e>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Q</m:t>
                </m:r>
                <m:ctrlPr>
                  <w:rPr>
                    <w:rFonts w:hint="eastAsia" w:ascii="Cambria Math" w:hAnsi="Cambria Math" w:eastAsia="黑体" w:cs="黑体"/>
                    <w:sz w:val="24"/>
                    <w:szCs w:val="24"/>
                  </w:rPr>
                </m:ctrlPr>
              </m:e>
              <m:sub>
                <m:r>
                  <m:rPr/>
                  <w:rPr>
                    <w:rFonts w:hint="eastAsia" w:ascii="Cambria Math" w:hAnsi="Cambria Math" w:eastAsia="黑体" w:cs="黑体"/>
                    <w:sz w:val="24"/>
                    <w:szCs w:val="24"/>
                  </w:rPr>
                  <m:t>1</m:t>
                </m:r>
                <m:ctrlPr>
                  <w:rPr>
                    <w:rFonts w:hint="eastAsia" w:ascii="Cambria Math" w:hAnsi="Cambria Math" w:eastAsia="黑体" w:cs="黑体"/>
                    <w:sz w:val="24"/>
                    <w:szCs w:val="24"/>
                  </w:rPr>
                </m:ctrlPr>
              </m:sub>
            </m:sSub>
            <m:ctrlPr>
              <w:rPr>
                <w:rFonts w:hint="eastAsia" w:ascii="Cambria Math" w:hAnsi="Cambria Math" w:eastAsia="黑体" w:cs="黑体"/>
                <w:sz w:val="24"/>
                <w:szCs w:val="24"/>
              </w:rPr>
            </m:ctrlPr>
          </m:e>
        </m:func>
      </m:oMath>
      <w:r>
        <w:rPr>
          <w:rFonts w:hint="eastAsia" w:ascii="黑体" w:hAnsi="黑体" w:eastAsia="黑体" w:cs="黑体"/>
          <w:b w:val="0"/>
          <w:bCs/>
          <w:i w:val="0"/>
          <w:sz w:val="24"/>
          <w:szCs w:val="24"/>
          <w:lang w:val="en-US" w:eastAsia="zh-CN"/>
        </w:rPr>
        <w:t>(j)代表单笔订单销售数。</w:t>
      </w:r>
    </w:p>
    <w:p w14:paraId="3DC5C0EC">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default" w:ascii="黑体" w:hAnsi="黑体" w:eastAsia="黑体" w:cs="黑体"/>
          <w:b w:val="0"/>
          <w:bCs/>
          <w:i w:val="0"/>
          <w:sz w:val="24"/>
          <w:szCs w:val="24"/>
          <w:lang w:val="en-US" w:eastAsia="zh-CN"/>
        </w:rPr>
      </w:pPr>
    </w:p>
    <w:p w14:paraId="38ED55EF">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1"/>
          <w:szCs w:val="21"/>
          <w:lang w:val="en-US" w:eastAsia="zh-CN" w:bidi="ar-SA"/>
        </w:rPr>
        <w:t>表5.1  一级品类销售数量</w:t>
      </w:r>
    </w:p>
    <w:tbl>
      <w:tblPr>
        <w:tblStyle w:val="9"/>
        <w:tblW w:w="8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74"/>
        <w:gridCol w:w="3019"/>
        <w:gridCol w:w="2917"/>
      </w:tblGrid>
      <w:tr w14:paraId="499C4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2" w:hRule="atLeast"/>
        </w:trPr>
        <w:tc>
          <w:tcPr>
            <w:tcW w:w="2974" w:type="dxa"/>
            <w:tcBorders>
              <w:top w:val="single" w:color="000000" w:sz="4" w:space="0"/>
              <w:left w:val="nil"/>
              <w:bottom w:val="single" w:color="000000" w:sz="4" w:space="0"/>
              <w:right w:val="nil"/>
            </w:tcBorders>
            <w:shd w:val="clear" w:color="auto" w:fill="auto"/>
            <w:noWrap/>
            <w:vAlign w:val="center"/>
          </w:tcPr>
          <w:p w14:paraId="3307B46D">
            <w:pPr>
              <w:keepNext w:val="0"/>
              <w:keepLines w:val="0"/>
              <w:widowControl/>
              <w:suppressLineNumbers w:val="0"/>
              <w:jc w:val="center"/>
              <w:textAlignment w:val="center"/>
              <w:rPr>
                <w:rFonts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i</w:t>
            </w:r>
          </w:p>
        </w:tc>
        <w:tc>
          <w:tcPr>
            <w:tcW w:w="3019" w:type="dxa"/>
            <w:tcBorders>
              <w:top w:val="single" w:color="000000" w:sz="4" w:space="0"/>
              <w:left w:val="nil"/>
              <w:bottom w:val="single" w:color="000000" w:sz="4" w:space="0"/>
              <w:right w:val="nil"/>
            </w:tcBorders>
            <w:shd w:val="clear" w:color="auto" w:fill="auto"/>
            <w:noWrap/>
            <w:vAlign w:val="center"/>
          </w:tcPr>
          <w:p w14:paraId="6ECCD215">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一级品类</w:t>
            </w:r>
          </w:p>
        </w:tc>
        <w:tc>
          <w:tcPr>
            <w:tcW w:w="2917" w:type="dxa"/>
            <w:tcBorders>
              <w:top w:val="single" w:color="000000" w:sz="4" w:space="0"/>
              <w:left w:val="nil"/>
              <w:bottom w:val="single" w:color="000000" w:sz="4" w:space="0"/>
              <w:right w:val="nil"/>
            </w:tcBorders>
            <w:shd w:val="clear" w:color="auto" w:fill="auto"/>
            <w:noWrap/>
            <w:vAlign w:val="center"/>
          </w:tcPr>
          <w:p w14:paraId="2DD903D6">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销售数量</w:t>
            </w:r>
          </w:p>
        </w:tc>
      </w:tr>
      <w:tr w14:paraId="70A41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3" w:hRule="atLeast"/>
        </w:trPr>
        <w:tc>
          <w:tcPr>
            <w:tcW w:w="2974" w:type="dxa"/>
            <w:tcBorders>
              <w:top w:val="single" w:color="000000" w:sz="4" w:space="0"/>
              <w:left w:val="nil"/>
              <w:bottom w:val="nil"/>
              <w:right w:val="nil"/>
            </w:tcBorders>
            <w:shd w:val="clear" w:color="auto" w:fill="auto"/>
            <w:noWrap/>
            <w:vAlign w:val="center"/>
          </w:tcPr>
          <w:p w14:paraId="769997D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w:t>
            </w:r>
          </w:p>
        </w:tc>
        <w:tc>
          <w:tcPr>
            <w:tcW w:w="3019" w:type="dxa"/>
            <w:tcBorders>
              <w:top w:val="single" w:color="000000" w:sz="4" w:space="0"/>
              <w:left w:val="nil"/>
              <w:bottom w:val="nil"/>
              <w:right w:val="nil"/>
            </w:tcBorders>
            <w:shd w:val="clear" w:color="auto" w:fill="auto"/>
            <w:noWrap/>
            <w:vAlign w:val="center"/>
          </w:tcPr>
          <w:p w14:paraId="1A96337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医疗保健</w:t>
            </w:r>
          </w:p>
        </w:tc>
        <w:tc>
          <w:tcPr>
            <w:tcW w:w="2917" w:type="dxa"/>
            <w:tcBorders>
              <w:top w:val="single" w:color="000000" w:sz="4" w:space="0"/>
              <w:left w:val="nil"/>
              <w:bottom w:val="nil"/>
              <w:right w:val="nil"/>
            </w:tcBorders>
            <w:shd w:val="clear" w:color="auto" w:fill="auto"/>
            <w:noWrap/>
            <w:vAlign w:val="center"/>
          </w:tcPr>
          <w:p w14:paraId="686B896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11360</w:t>
            </w:r>
          </w:p>
        </w:tc>
      </w:tr>
      <w:tr w14:paraId="0A897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6" w:hRule="atLeast"/>
        </w:trPr>
        <w:tc>
          <w:tcPr>
            <w:tcW w:w="2974" w:type="dxa"/>
            <w:tcBorders>
              <w:top w:val="nil"/>
              <w:left w:val="nil"/>
              <w:bottom w:val="nil"/>
              <w:right w:val="nil"/>
            </w:tcBorders>
            <w:shd w:val="clear" w:color="auto" w:fill="auto"/>
            <w:noWrap/>
            <w:vAlign w:val="center"/>
          </w:tcPr>
          <w:p w14:paraId="03673DE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w:t>
            </w:r>
          </w:p>
        </w:tc>
        <w:tc>
          <w:tcPr>
            <w:tcW w:w="3019" w:type="dxa"/>
            <w:tcBorders>
              <w:top w:val="nil"/>
              <w:left w:val="nil"/>
              <w:bottom w:val="nil"/>
              <w:right w:val="nil"/>
            </w:tcBorders>
            <w:shd w:val="clear" w:color="auto" w:fill="auto"/>
            <w:noWrap/>
            <w:vAlign w:val="center"/>
          </w:tcPr>
          <w:p w14:paraId="5A78FB7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生鲜</w:t>
            </w:r>
          </w:p>
        </w:tc>
        <w:tc>
          <w:tcPr>
            <w:tcW w:w="2917" w:type="dxa"/>
            <w:tcBorders>
              <w:top w:val="nil"/>
              <w:left w:val="nil"/>
              <w:bottom w:val="nil"/>
              <w:right w:val="nil"/>
            </w:tcBorders>
            <w:shd w:val="clear" w:color="auto" w:fill="auto"/>
            <w:noWrap/>
            <w:vAlign w:val="center"/>
          </w:tcPr>
          <w:p w14:paraId="02EAABD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102709</w:t>
            </w:r>
          </w:p>
        </w:tc>
      </w:tr>
      <w:tr w14:paraId="113E2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6" w:hRule="atLeast"/>
        </w:trPr>
        <w:tc>
          <w:tcPr>
            <w:tcW w:w="2974" w:type="dxa"/>
            <w:tcBorders>
              <w:top w:val="nil"/>
              <w:left w:val="nil"/>
              <w:bottom w:val="nil"/>
              <w:right w:val="nil"/>
            </w:tcBorders>
            <w:shd w:val="clear" w:color="auto" w:fill="auto"/>
            <w:noWrap/>
            <w:vAlign w:val="center"/>
          </w:tcPr>
          <w:p w14:paraId="39DF011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w:t>
            </w:r>
          </w:p>
        </w:tc>
        <w:tc>
          <w:tcPr>
            <w:tcW w:w="3019" w:type="dxa"/>
            <w:tcBorders>
              <w:top w:val="nil"/>
              <w:left w:val="nil"/>
              <w:bottom w:val="nil"/>
              <w:right w:val="nil"/>
            </w:tcBorders>
            <w:shd w:val="clear" w:color="auto" w:fill="auto"/>
            <w:noWrap/>
            <w:vAlign w:val="center"/>
          </w:tcPr>
          <w:p w14:paraId="6056A04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非食</w:t>
            </w:r>
          </w:p>
        </w:tc>
        <w:tc>
          <w:tcPr>
            <w:tcW w:w="2917" w:type="dxa"/>
            <w:tcBorders>
              <w:top w:val="nil"/>
              <w:left w:val="nil"/>
              <w:bottom w:val="nil"/>
              <w:right w:val="nil"/>
            </w:tcBorders>
            <w:shd w:val="clear" w:color="auto" w:fill="auto"/>
            <w:noWrap/>
            <w:vAlign w:val="center"/>
          </w:tcPr>
          <w:p w14:paraId="4311840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3263451</w:t>
            </w:r>
          </w:p>
        </w:tc>
      </w:tr>
      <w:tr w14:paraId="5A110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2974" w:type="dxa"/>
            <w:tcBorders>
              <w:top w:val="nil"/>
              <w:left w:val="nil"/>
              <w:bottom w:val="single" w:color="000000" w:sz="4" w:space="0"/>
              <w:right w:val="nil"/>
            </w:tcBorders>
            <w:shd w:val="clear" w:color="auto" w:fill="auto"/>
            <w:noWrap/>
            <w:vAlign w:val="center"/>
          </w:tcPr>
          <w:p w14:paraId="106A9D0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4</w:t>
            </w:r>
          </w:p>
        </w:tc>
        <w:tc>
          <w:tcPr>
            <w:tcW w:w="3019" w:type="dxa"/>
            <w:tcBorders>
              <w:top w:val="nil"/>
              <w:left w:val="nil"/>
              <w:bottom w:val="single" w:color="000000" w:sz="4" w:space="0"/>
              <w:right w:val="nil"/>
            </w:tcBorders>
            <w:shd w:val="clear" w:color="auto" w:fill="auto"/>
            <w:noWrap/>
            <w:vAlign w:val="center"/>
          </w:tcPr>
          <w:p w14:paraId="25E6CB0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食品</w:t>
            </w:r>
          </w:p>
        </w:tc>
        <w:tc>
          <w:tcPr>
            <w:tcW w:w="2917" w:type="dxa"/>
            <w:tcBorders>
              <w:top w:val="nil"/>
              <w:left w:val="nil"/>
              <w:bottom w:val="single" w:color="000000" w:sz="4" w:space="0"/>
              <w:right w:val="nil"/>
            </w:tcBorders>
            <w:shd w:val="clear" w:color="auto" w:fill="auto"/>
            <w:noWrap/>
            <w:vAlign w:val="center"/>
          </w:tcPr>
          <w:p w14:paraId="68D79B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2012319</w:t>
            </w:r>
          </w:p>
        </w:tc>
      </w:tr>
    </w:tbl>
    <w:p w14:paraId="45557FB4">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drawing>
          <wp:inline distT="0" distB="0" distL="114300" distR="114300">
            <wp:extent cx="5274310" cy="3098165"/>
            <wp:effectExtent l="0" t="0" r="254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4310" cy="3098165"/>
                    </a:xfrm>
                    <a:prstGeom prst="rect">
                      <a:avLst/>
                    </a:prstGeom>
                    <a:noFill/>
                    <a:ln>
                      <a:noFill/>
                    </a:ln>
                  </pic:spPr>
                </pic:pic>
              </a:graphicData>
            </a:graphic>
          </wp:inline>
        </w:drawing>
      </w:r>
    </w:p>
    <w:p w14:paraId="70AA07E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图5.1  一级品类销售数量</w:t>
      </w:r>
    </w:p>
    <w:p w14:paraId="72558F5E">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黑体" w:hAnsi="黑体" w:eastAsia="黑体" w:cs="黑体"/>
          <w:b w:val="0"/>
          <w:bCs w:val="0"/>
          <w:color w:val="auto"/>
          <w:kern w:val="2"/>
          <w:sz w:val="24"/>
          <w:szCs w:val="24"/>
          <w:lang w:val="en-US" w:eastAsia="zh-CN" w:bidi="ar-SA"/>
        </w:rPr>
      </w:pPr>
      <w:r>
        <w:rPr>
          <w:rFonts w:hint="eastAsia" w:ascii="黑体" w:hAnsi="黑体" w:eastAsia="黑体" w:cs="黑体"/>
          <w:b w:val="0"/>
          <w:bCs w:val="0"/>
          <w:color w:val="auto"/>
          <w:kern w:val="2"/>
          <w:sz w:val="24"/>
          <w:szCs w:val="24"/>
          <w:lang w:val="en-US" w:eastAsia="zh-CN" w:bidi="ar-SA"/>
        </w:rPr>
        <w:t>我们按照同样的方法对其它品类进行类似的操作处理，便可以得到该零售门店各个品类的销售数量：</w:t>
      </w:r>
    </w:p>
    <w:p w14:paraId="24F8BD81">
      <w:pPr>
        <w:pStyle w:val="2"/>
        <w:keepNext/>
        <w:keepLines/>
        <w:pageBreakBefore w:val="0"/>
        <w:widowControl w:val="0"/>
        <w:kinsoku/>
        <w:wordWrap/>
        <w:overflowPunct/>
        <w:topLinePunct w:val="0"/>
        <w:autoSpaceDE/>
        <w:autoSpaceDN/>
        <w:bidi w:val="0"/>
        <w:adjustRightInd/>
        <w:snapToGrid/>
        <w:spacing w:line="240" w:lineRule="auto"/>
        <w:ind w:firstLine="2249" w:firstLineChars="800"/>
        <w:jc w:val="both"/>
        <w:textAlignment w:val="auto"/>
        <w:rPr>
          <w:rFonts w:hint="default" w:hAnsi="Cambria Math"/>
          <w:i w:val="0"/>
          <w:sz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 xml:space="preserve">(i)                                 </m:t>
          </m:r>
          <m:r>
            <m:rPr/>
            <w:rPr>
              <w:rFonts w:hint="default" w:ascii="Cambria Math" w:hAnsi="Cambria Math"/>
              <w:sz w:val="28"/>
            </w:rPr>
            <m:t>(</m:t>
          </m:r>
          <m:r>
            <m:rPr/>
            <w:rPr>
              <w:rFonts w:hint="default" w:ascii="Cambria Math" w:hAnsi="Cambria Math"/>
              <w:sz w:val="28"/>
              <w:lang w:val="en-US" w:eastAsia="zh-CN"/>
            </w:rPr>
            <m:t>2</m:t>
          </m:r>
          <m:r>
            <m:rPr/>
            <w:rPr>
              <w:rFonts w:hint="default" w:ascii="Cambria Math" w:hAnsi="Cambria Math"/>
              <w:sz w:val="28"/>
            </w:rPr>
            <m:t>)</m:t>
          </m:r>
        </m:oMath>
      </m:oMathPara>
    </w:p>
    <w:p w14:paraId="3120F8DE">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hAnsi="Cambria Math"/>
          <w:i w:val="0"/>
          <w:sz w:val="28"/>
          <w:lang w:eastAsia="zh-CN"/>
        </w:rPr>
      </w:pPr>
    </w:p>
    <w:p w14:paraId="44226CC4">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hAnsi="Cambria Math" w:eastAsia="Courier New"/>
          <w:i w:val="0"/>
          <w:sz w:val="28"/>
          <w:szCs w:val="28"/>
          <w:lang w:val="en-US" w:eastAsia="zh-CN"/>
        </w:rPr>
      </w:pPr>
      <w:r>
        <w:rPr>
          <w:rFonts w:hint="eastAsia" w:ascii="黑体" w:hAnsi="黑体" w:eastAsia="黑体" w:cs="黑体"/>
          <w:b/>
          <w:bCs/>
          <w:color w:val="auto"/>
          <w:kern w:val="2"/>
          <w:sz w:val="21"/>
          <w:szCs w:val="21"/>
          <w:lang w:val="en-US" w:eastAsia="zh-CN" w:bidi="ar-SA"/>
        </w:rPr>
        <w:t>表5.2  二级品类销售数量</w:t>
      </w:r>
    </w:p>
    <w:tbl>
      <w:tblPr>
        <w:tblStyle w:val="9"/>
        <w:tblW w:w="9304" w:type="dxa"/>
        <w:tblInd w:w="93"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9"/>
        <w:gridCol w:w="3285"/>
        <w:gridCol w:w="3150"/>
      </w:tblGrid>
      <w:tr w14:paraId="29928D43">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2" w:hRule="atLeast"/>
        </w:trPr>
        <w:tc>
          <w:tcPr>
            <w:tcW w:w="2869" w:type="dxa"/>
            <w:tcBorders>
              <w:left w:val="nil"/>
              <w:bottom w:val="single" w:color="000000" w:sz="4" w:space="0"/>
              <w:right w:val="nil"/>
            </w:tcBorders>
            <w:shd w:val="clear" w:color="auto" w:fill="auto"/>
            <w:noWrap/>
            <w:vAlign w:val="center"/>
          </w:tcPr>
          <w:p w14:paraId="1AC4A80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3285" w:type="dxa"/>
            <w:tcBorders>
              <w:left w:val="nil"/>
              <w:bottom w:val="single" w:color="000000" w:sz="4" w:space="0"/>
              <w:right w:val="nil"/>
            </w:tcBorders>
            <w:shd w:val="clear" w:color="auto" w:fill="auto"/>
            <w:noWrap/>
            <w:vAlign w:val="center"/>
          </w:tcPr>
          <w:p w14:paraId="5DAD874A">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3150" w:type="dxa"/>
            <w:tcBorders>
              <w:left w:val="nil"/>
              <w:bottom w:val="single" w:color="000000" w:sz="4" w:space="0"/>
              <w:right w:val="nil"/>
            </w:tcBorders>
            <w:shd w:val="clear" w:color="auto" w:fill="auto"/>
            <w:noWrap/>
            <w:vAlign w:val="center"/>
          </w:tcPr>
          <w:p w14:paraId="42059EA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销售数量</w:t>
            </w:r>
          </w:p>
        </w:tc>
      </w:tr>
      <w:tr w14:paraId="7AE159BD">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single" w:color="000000" w:sz="4" w:space="0"/>
              <w:left w:val="nil"/>
              <w:bottom w:val="nil"/>
              <w:right w:val="nil"/>
            </w:tcBorders>
            <w:shd w:val="clear" w:color="auto" w:fill="auto"/>
            <w:noWrap/>
            <w:vAlign w:val="center"/>
          </w:tcPr>
          <w:p w14:paraId="50B8D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3285" w:type="dxa"/>
            <w:tcBorders>
              <w:top w:val="single" w:color="000000" w:sz="4" w:space="0"/>
              <w:left w:val="nil"/>
              <w:bottom w:val="nil"/>
              <w:right w:val="nil"/>
            </w:tcBorders>
            <w:shd w:val="clear" w:color="auto" w:fill="auto"/>
            <w:noWrap/>
            <w:vAlign w:val="center"/>
          </w:tcPr>
          <w:p w14:paraId="205F67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3150" w:type="dxa"/>
            <w:tcBorders>
              <w:top w:val="single" w:color="000000" w:sz="4" w:space="0"/>
              <w:left w:val="nil"/>
              <w:bottom w:val="nil"/>
              <w:right w:val="nil"/>
            </w:tcBorders>
            <w:shd w:val="clear" w:color="auto" w:fill="auto"/>
            <w:noWrap/>
            <w:vAlign w:val="center"/>
          </w:tcPr>
          <w:p w14:paraId="39AB2E5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56611</w:t>
            </w:r>
          </w:p>
        </w:tc>
      </w:tr>
      <w:tr w14:paraId="3E9B983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38D300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3285" w:type="dxa"/>
            <w:tcBorders>
              <w:top w:val="nil"/>
              <w:left w:val="nil"/>
              <w:bottom w:val="nil"/>
              <w:right w:val="nil"/>
            </w:tcBorders>
            <w:shd w:val="clear" w:color="auto" w:fill="auto"/>
            <w:noWrap/>
            <w:vAlign w:val="center"/>
          </w:tcPr>
          <w:p w14:paraId="180D04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3150" w:type="dxa"/>
            <w:tcBorders>
              <w:top w:val="nil"/>
              <w:left w:val="nil"/>
              <w:bottom w:val="nil"/>
              <w:right w:val="nil"/>
            </w:tcBorders>
            <w:shd w:val="clear" w:color="auto" w:fill="auto"/>
            <w:noWrap/>
            <w:vAlign w:val="center"/>
          </w:tcPr>
          <w:p w14:paraId="3003836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288479</w:t>
            </w:r>
          </w:p>
        </w:tc>
      </w:tr>
      <w:tr w14:paraId="41DEFA7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0FFCF4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3285" w:type="dxa"/>
            <w:tcBorders>
              <w:top w:val="nil"/>
              <w:left w:val="nil"/>
              <w:bottom w:val="nil"/>
              <w:right w:val="nil"/>
            </w:tcBorders>
            <w:shd w:val="clear" w:color="auto" w:fill="auto"/>
            <w:noWrap/>
            <w:vAlign w:val="center"/>
          </w:tcPr>
          <w:p w14:paraId="53EA530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3150" w:type="dxa"/>
            <w:tcBorders>
              <w:top w:val="nil"/>
              <w:left w:val="nil"/>
              <w:bottom w:val="nil"/>
              <w:right w:val="nil"/>
            </w:tcBorders>
            <w:shd w:val="clear" w:color="auto" w:fill="auto"/>
            <w:noWrap/>
            <w:vAlign w:val="center"/>
          </w:tcPr>
          <w:p w14:paraId="6A4D2B6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8012</w:t>
            </w:r>
          </w:p>
        </w:tc>
      </w:tr>
      <w:tr w14:paraId="4290D0C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A218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3285" w:type="dxa"/>
            <w:tcBorders>
              <w:top w:val="nil"/>
              <w:left w:val="nil"/>
              <w:bottom w:val="nil"/>
              <w:right w:val="nil"/>
            </w:tcBorders>
            <w:shd w:val="clear" w:color="auto" w:fill="auto"/>
            <w:noWrap/>
            <w:vAlign w:val="center"/>
          </w:tcPr>
          <w:p w14:paraId="1EB7D8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3150" w:type="dxa"/>
            <w:tcBorders>
              <w:top w:val="nil"/>
              <w:left w:val="nil"/>
              <w:bottom w:val="nil"/>
              <w:right w:val="nil"/>
            </w:tcBorders>
            <w:shd w:val="clear" w:color="auto" w:fill="auto"/>
            <w:noWrap/>
            <w:vAlign w:val="center"/>
          </w:tcPr>
          <w:p w14:paraId="57E490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44245</w:t>
            </w:r>
          </w:p>
        </w:tc>
      </w:tr>
      <w:tr w14:paraId="033AF45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8EB06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3285" w:type="dxa"/>
            <w:tcBorders>
              <w:top w:val="nil"/>
              <w:left w:val="nil"/>
              <w:bottom w:val="nil"/>
              <w:right w:val="nil"/>
            </w:tcBorders>
            <w:shd w:val="clear" w:color="auto" w:fill="auto"/>
            <w:noWrap/>
            <w:vAlign w:val="center"/>
          </w:tcPr>
          <w:p w14:paraId="10CBFA8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3150" w:type="dxa"/>
            <w:tcBorders>
              <w:top w:val="nil"/>
              <w:left w:val="nil"/>
              <w:bottom w:val="nil"/>
              <w:right w:val="nil"/>
            </w:tcBorders>
            <w:shd w:val="clear" w:color="auto" w:fill="auto"/>
            <w:noWrap/>
            <w:vAlign w:val="center"/>
          </w:tcPr>
          <w:p w14:paraId="7979B7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26581</w:t>
            </w:r>
          </w:p>
        </w:tc>
      </w:tr>
      <w:tr w14:paraId="3FE2AC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29984E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3285" w:type="dxa"/>
            <w:tcBorders>
              <w:top w:val="nil"/>
              <w:left w:val="nil"/>
              <w:bottom w:val="nil"/>
              <w:right w:val="nil"/>
            </w:tcBorders>
            <w:shd w:val="clear" w:color="auto" w:fill="auto"/>
            <w:noWrap/>
            <w:vAlign w:val="center"/>
          </w:tcPr>
          <w:p w14:paraId="5F735A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3150" w:type="dxa"/>
            <w:tcBorders>
              <w:top w:val="nil"/>
              <w:left w:val="nil"/>
              <w:bottom w:val="nil"/>
              <w:right w:val="nil"/>
            </w:tcBorders>
            <w:shd w:val="clear" w:color="auto" w:fill="auto"/>
            <w:noWrap/>
            <w:vAlign w:val="center"/>
          </w:tcPr>
          <w:p w14:paraId="1B1842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27522</w:t>
            </w:r>
          </w:p>
        </w:tc>
      </w:tr>
      <w:tr w14:paraId="4EA634C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494E3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3285" w:type="dxa"/>
            <w:tcBorders>
              <w:top w:val="nil"/>
              <w:left w:val="nil"/>
              <w:bottom w:val="nil"/>
              <w:right w:val="nil"/>
            </w:tcBorders>
            <w:shd w:val="clear" w:color="auto" w:fill="auto"/>
            <w:noWrap/>
            <w:vAlign w:val="center"/>
          </w:tcPr>
          <w:p w14:paraId="0329A04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3150" w:type="dxa"/>
            <w:tcBorders>
              <w:top w:val="nil"/>
              <w:left w:val="nil"/>
              <w:bottom w:val="nil"/>
              <w:right w:val="nil"/>
            </w:tcBorders>
            <w:shd w:val="clear" w:color="auto" w:fill="auto"/>
            <w:noWrap/>
            <w:vAlign w:val="center"/>
          </w:tcPr>
          <w:p w14:paraId="2C3721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187407</w:t>
            </w:r>
          </w:p>
        </w:tc>
      </w:tr>
      <w:tr w14:paraId="7015942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E26F8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3285" w:type="dxa"/>
            <w:tcBorders>
              <w:top w:val="nil"/>
              <w:left w:val="nil"/>
              <w:bottom w:val="nil"/>
              <w:right w:val="nil"/>
            </w:tcBorders>
            <w:shd w:val="clear" w:color="auto" w:fill="auto"/>
            <w:noWrap/>
            <w:vAlign w:val="center"/>
          </w:tcPr>
          <w:p w14:paraId="753601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3150" w:type="dxa"/>
            <w:tcBorders>
              <w:top w:val="nil"/>
              <w:left w:val="nil"/>
              <w:bottom w:val="nil"/>
              <w:right w:val="nil"/>
            </w:tcBorders>
            <w:shd w:val="clear" w:color="auto" w:fill="auto"/>
            <w:noWrap/>
            <w:vAlign w:val="center"/>
          </w:tcPr>
          <w:p w14:paraId="6A786A1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46606</w:t>
            </w:r>
          </w:p>
        </w:tc>
      </w:tr>
      <w:tr w14:paraId="560D7AA6">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8EAF2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3285" w:type="dxa"/>
            <w:tcBorders>
              <w:top w:val="nil"/>
              <w:left w:val="nil"/>
              <w:bottom w:val="nil"/>
              <w:right w:val="nil"/>
            </w:tcBorders>
            <w:shd w:val="clear" w:color="auto" w:fill="auto"/>
            <w:noWrap/>
            <w:vAlign w:val="center"/>
          </w:tcPr>
          <w:p w14:paraId="71432F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3150" w:type="dxa"/>
            <w:tcBorders>
              <w:top w:val="nil"/>
              <w:left w:val="nil"/>
              <w:bottom w:val="nil"/>
              <w:right w:val="nil"/>
            </w:tcBorders>
            <w:shd w:val="clear" w:color="auto" w:fill="auto"/>
            <w:noWrap/>
            <w:vAlign w:val="center"/>
          </w:tcPr>
          <w:p w14:paraId="045E77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3232</w:t>
            </w:r>
          </w:p>
        </w:tc>
      </w:tr>
      <w:tr w14:paraId="498794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277B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3285" w:type="dxa"/>
            <w:tcBorders>
              <w:top w:val="nil"/>
              <w:left w:val="nil"/>
              <w:bottom w:val="nil"/>
              <w:right w:val="nil"/>
            </w:tcBorders>
            <w:shd w:val="clear" w:color="auto" w:fill="auto"/>
            <w:noWrap/>
            <w:vAlign w:val="center"/>
          </w:tcPr>
          <w:p w14:paraId="7E393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3150" w:type="dxa"/>
            <w:tcBorders>
              <w:top w:val="nil"/>
              <w:left w:val="nil"/>
              <w:bottom w:val="nil"/>
              <w:right w:val="nil"/>
            </w:tcBorders>
            <w:shd w:val="clear" w:color="auto" w:fill="auto"/>
            <w:noWrap/>
            <w:vAlign w:val="center"/>
          </w:tcPr>
          <w:p w14:paraId="03CE2E2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13580</w:t>
            </w:r>
          </w:p>
        </w:tc>
      </w:tr>
      <w:tr w14:paraId="0CCCD8C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DC38A3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3285" w:type="dxa"/>
            <w:tcBorders>
              <w:top w:val="nil"/>
              <w:left w:val="nil"/>
              <w:bottom w:val="nil"/>
              <w:right w:val="nil"/>
            </w:tcBorders>
            <w:shd w:val="clear" w:color="auto" w:fill="auto"/>
            <w:noWrap/>
            <w:vAlign w:val="center"/>
          </w:tcPr>
          <w:p w14:paraId="213027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3150" w:type="dxa"/>
            <w:tcBorders>
              <w:top w:val="nil"/>
              <w:left w:val="nil"/>
              <w:bottom w:val="nil"/>
              <w:right w:val="nil"/>
            </w:tcBorders>
            <w:shd w:val="clear" w:color="auto" w:fill="auto"/>
            <w:noWrap/>
            <w:vAlign w:val="center"/>
          </w:tcPr>
          <w:p w14:paraId="327B7E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437682</w:t>
            </w:r>
          </w:p>
        </w:tc>
      </w:tr>
      <w:tr w14:paraId="76EB880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E8DC8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3285" w:type="dxa"/>
            <w:tcBorders>
              <w:top w:val="nil"/>
              <w:left w:val="nil"/>
              <w:bottom w:val="nil"/>
              <w:right w:val="nil"/>
            </w:tcBorders>
            <w:shd w:val="clear" w:color="auto" w:fill="auto"/>
            <w:noWrap/>
            <w:vAlign w:val="center"/>
          </w:tcPr>
          <w:p w14:paraId="3AF03E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3150" w:type="dxa"/>
            <w:tcBorders>
              <w:top w:val="nil"/>
              <w:left w:val="nil"/>
              <w:bottom w:val="nil"/>
              <w:right w:val="nil"/>
            </w:tcBorders>
            <w:shd w:val="clear" w:color="auto" w:fill="auto"/>
            <w:noWrap/>
            <w:vAlign w:val="center"/>
          </w:tcPr>
          <w:p w14:paraId="2BD5F8D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1004</w:t>
            </w:r>
          </w:p>
        </w:tc>
      </w:tr>
      <w:tr w14:paraId="77EE3B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21E5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3285" w:type="dxa"/>
            <w:tcBorders>
              <w:top w:val="nil"/>
              <w:left w:val="nil"/>
              <w:bottom w:val="nil"/>
              <w:right w:val="nil"/>
            </w:tcBorders>
            <w:shd w:val="clear" w:color="auto" w:fill="auto"/>
            <w:noWrap/>
            <w:vAlign w:val="center"/>
          </w:tcPr>
          <w:p w14:paraId="03F7C97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3150" w:type="dxa"/>
            <w:tcBorders>
              <w:top w:val="nil"/>
              <w:left w:val="nil"/>
              <w:bottom w:val="nil"/>
              <w:right w:val="nil"/>
            </w:tcBorders>
            <w:shd w:val="clear" w:color="auto" w:fill="auto"/>
            <w:noWrap/>
            <w:vAlign w:val="center"/>
          </w:tcPr>
          <w:p w14:paraId="21D6FC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1822</w:t>
            </w:r>
          </w:p>
        </w:tc>
      </w:tr>
      <w:tr w14:paraId="1DFBCEE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C2DB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3285" w:type="dxa"/>
            <w:tcBorders>
              <w:top w:val="nil"/>
              <w:left w:val="nil"/>
              <w:bottom w:val="nil"/>
              <w:right w:val="nil"/>
            </w:tcBorders>
            <w:shd w:val="clear" w:color="auto" w:fill="auto"/>
            <w:noWrap/>
            <w:vAlign w:val="center"/>
          </w:tcPr>
          <w:p w14:paraId="0602AD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3150" w:type="dxa"/>
            <w:tcBorders>
              <w:top w:val="nil"/>
              <w:left w:val="nil"/>
              <w:bottom w:val="nil"/>
              <w:right w:val="nil"/>
            </w:tcBorders>
            <w:shd w:val="clear" w:color="auto" w:fill="auto"/>
            <w:noWrap/>
            <w:vAlign w:val="center"/>
          </w:tcPr>
          <w:p w14:paraId="35EE57A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w:t>
            </w:r>
          </w:p>
        </w:tc>
      </w:tr>
      <w:tr w14:paraId="667362B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6532A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3285" w:type="dxa"/>
            <w:tcBorders>
              <w:top w:val="nil"/>
              <w:left w:val="nil"/>
              <w:bottom w:val="nil"/>
              <w:right w:val="nil"/>
            </w:tcBorders>
            <w:shd w:val="clear" w:color="auto" w:fill="auto"/>
            <w:noWrap/>
            <w:vAlign w:val="center"/>
          </w:tcPr>
          <w:p w14:paraId="3FAE24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3150" w:type="dxa"/>
            <w:tcBorders>
              <w:top w:val="nil"/>
              <w:left w:val="nil"/>
              <w:bottom w:val="nil"/>
              <w:right w:val="nil"/>
            </w:tcBorders>
            <w:shd w:val="clear" w:color="auto" w:fill="auto"/>
            <w:noWrap/>
            <w:vAlign w:val="center"/>
          </w:tcPr>
          <w:p w14:paraId="111593F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2635273</w:t>
            </w:r>
          </w:p>
        </w:tc>
      </w:tr>
      <w:tr w14:paraId="5DA88E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D0108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3285" w:type="dxa"/>
            <w:tcBorders>
              <w:top w:val="nil"/>
              <w:left w:val="nil"/>
              <w:bottom w:val="nil"/>
              <w:right w:val="nil"/>
            </w:tcBorders>
            <w:shd w:val="clear" w:color="auto" w:fill="auto"/>
            <w:noWrap/>
            <w:vAlign w:val="center"/>
          </w:tcPr>
          <w:p w14:paraId="23FC36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3150" w:type="dxa"/>
            <w:tcBorders>
              <w:top w:val="nil"/>
              <w:left w:val="nil"/>
              <w:bottom w:val="nil"/>
              <w:right w:val="nil"/>
            </w:tcBorders>
            <w:shd w:val="clear" w:color="auto" w:fill="auto"/>
            <w:noWrap/>
            <w:vAlign w:val="center"/>
          </w:tcPr>
          <w:p w14:paraId="72C841C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102634</w:t>
            </w:r>
          </w:p>
        </w:tc>
      </w:tr>
      <w:tr w14:paraId="09BDFA3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3B2EF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3285" w:type="dxa"/>
            <w:tcBorders>
              <w:top w:val="nil"/>
              <w:left w:val="nil"/>
              <w:bottom w:val="nil"/>
              <w:right w:val="nil"/>
            </w:tcBorders>
            <w:shd w:val="clear" w:color="auto" w:fill="auto"/>
            <w:noWrap/>
            <w:vAlign w:val="center"/>
          </w:tcPr>
          <w:p w14:paraId="6717CAE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3150" w:type="dxa"/>
            <w:tcBorders>
              <w:top w:val="nil"/>
              <w:left w:val="nil"/>
              <w:bottom w:val="nil"/>
              <w:right w:val="nil"/>
            </w:tcBorders>
            <w:shd w:val="clear" w:color="auto" w:fill="auto"/>
            <w:noWrap/>
            <w:vAlign w:val="center"/>
          </w:tcPr>
          <w:p w14:paraId="31594C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3691</w:t>
            </w:r>
          </w:p>
        </w:tc>
      </w:tr>
      <w:tr w14:paraId="0D9B68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C2CFA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3285" w:type="dxa"/>
            <w:tcBorders>
              <w:top w:val="nil"/>
              <w:left w:val="nil"/>
              <w:bottom w:val="nil"/>
              <w:right w:val="nil"/>
            </w:tcBorders>
            <w:shd w:val="clear" w:color="auto" w:fill="auto"/>
            <w:noWrap/>
            <w:vAlign w:val="center"/>
          </w:tcPr>
          <w:p w14:paraId="74715B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3150" w:type="dxa"/>
            <w:tcBorders>
              <w:top w:val="nil"/>
              <w:left w:val="nil"/>
              <w:bottom w:val="nil"/>
              <w:right w:val="nil"/>
            </w:tcBorders>
            <w:shd w:val="clear" w:color="auto" w:fill="auto"/>
            <w:noWrap/>
            <w:vAlign w:val="center"/>
          </w:tcPr>
          <w:p w14:paraId="0A122D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14323</w:t>
            </w:r>
          </w:p>
        </w:tc>
      </w:tr>
      <w:tr w14:paraId="7F7D056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A49C1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3285" w:type="dxa"/>
            <w:tcBorders>
              <w:top w:val="nil"/>
              <w:left w:val="nil"/>
              <w:bottom w:val="nil"/>
              <w:right w:val="nil"/>
            </w:tcBorders>
            <w:shd w:val="clear" w:color="auto" w:fill="auto"/>
            <w:noWrap/>
            <w:vAlign w:val="center"/>
          </w:tcPr>
          <w:p w14:paraId="3E92F3C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3150" w:type="dxa"/>
            <w:tcBorders>
              <w:top w:val="nil"/>
              <w:left w:val="nil"/>
              <w:bottom w:val="nil"/>
              <w:right w:val="nil"/>
            </w:tcBorders>
            <w:shd w:val="clear" w:color="auto" w:fill="auto"/>
            <w:noWrap/>
            <w:vAlign w:val="center"/>
          </w:tcPr>
          <w:p w14:paraId="49FF4E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7103</w:t>
            </w:r>
          </w:p>
        </w:tc>
      </w:tr>
      <w:tr w14:paraId="3B29E9E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F183C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3285" w:type="dxa"/>
            <w:tcBorders>
              <w:top w:val="nil"/>
              <w:left w:val="nil"/>
              <w:bottom w:val="nil"/>
              <w:right w:val="nil"/>
            </w:tcBorders>
            <w:shd w:val="clear" w:color="auto" w:fill="auto"/>
            <w:noWrap/>
            <w:vAlign w:val="center"/>
          </w:tcPr>
          <w:p w14:paraId="03E570C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3150" w:type="dxa"/>
            <w:tcBorders>
              <w:top w:val="nil"/>
              <w:left w:val="nil"/>
              <w:bottom w:val="nil"/>
              <w:right w:val="nil"/>
            </w:tcBorders>
            <w:shd w:val="clear" w:color="auto" w:fill="auto"/>
            <w:noWrap/>
            <w:vAlign w:val="center"/>
          </w:tcPr>
          <w:p w14:paraId="08371D7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5130</w:t>
            </w:r>
          </w:p>
        </w:tc>
      </w:tr>
      <w:tr w14:paraId="3740BF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3FE359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3285" w:type="dxa"/>
            <w:tcBorders>
              <w:top w:val="nil"/>
              <w:left w:val="nil"/>
              <w:bottom w:val="nil"/>
              <w:right w:val="nil"/>
            </w:tcBorders>
            <w:shd w:val="clear" w:color="auto" w:fill="auto"/>
            <w:noWrap/>
            <w:vAlign w:val="center"/>
          </w:tcPr>
          <w:p w14:paraId="6AC1F56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3150" w:type="dxa"/>
            <w:tcBorders>
              <w:top w:val="nil"/>
              <w:left w:val="nil"/>
              <w:bottom w:val="nil"/>
              <w:right w:val="nil"/>
            </w:tcBorders>
            <w:shd w:val="clear" w:color="auto" w:fill="auto"/>
            <w:noWrap/>
            <w:vAlign w:val="center"/>
          </w:tcPr>
          <w:p w14:paraId="4BC858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2265</w:t>
            </w:r>
          </w:p>
        </w:tc>
      </w:tr>
      <w:tr w14:paraId="6EF00D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7B13C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3285" w:type="dxa"/>
            <w:tcBorders>
              <w:top w:val="nil"/>
              <w:left w:val="nil"/>
              <w:bottom w:val="nil"/>
              <w:right w:val="nil"/>
            </w:tcBorders>
            <w:shd w:val="clear" w:color="auto" w:fill="auto"/>
            <w:noWrap/>
            <w:vAlign w:val="center"/>
          </w:tcPr>
          <w:p w14:paraId="062E3C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水果类</w:t>
            </w:r>
          </w:p>
        </w:tc>
        <w:tc>
          <w:tcPr>
            <w:tcW w:w="3150" w:type="dxa"/>
            <w:tcBorders>
              <w:top w:val="nil"/>
              <w:left w:val="nil"/>
              <w:bottom w:val="nil"/>
              <w:right w:val="nil"/>
            </w:tcBorders>
            <w:shd w:val="clear" w:color="auto" w:fill="auto"/>
            <w:noWrap/>
            <w:vAlign w:val="center"/>
          </w:tcPr>
          <w:p w14:paraId="4E8B309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184</w:t>
            </w:r>
          </w:p>
        </w:tc>
      </w:tr>
      <w:tr w14:paraId="29C04B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2FB42B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3285" w:type="dxa"/>
            <w:tcBorders>
              <w:top w:val="nil"/>
              <w:left w:val="nil"/>
              <w:bottom w:val="nil"/>
              <w:right w:val="nil"/>
            </w:tcBorders>
            <w:shd w:val="clear" w:color="auto" w:fill="auto"/>
            <w:noWrap/>
            <w:vAlign w:val="center"/>
          </w:tcPr>
          <w:p w14:paraId="035245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3150" w:type="dxa"/>
            <w:tcBorders>
              <w:top w:val="nil"/>
              <w:left w:val="nil"/>
              <w:bottom w:val="nil"/>
              <w:right w:val="nil"/>
            </w:tcBorders>
            <w:shd w:val="clear" w:color="auto" w:fill="auto"/>
            <w:noWrap/>
            <w:vAlign w:val="center"/>
          </w:tcPr>
          <w:p w14:paraId="1DE0C7D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1081992</w:t>
            </w:r>
          </w:p>
        </w:tc>
      </w:tr>
      <w:tr w14:paraId="071FB3E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F731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3285" w:type="dxa"/>
            <w:tcBorders>
              <w:top w:val="nil"/>
              <w:left w:val="nil"/>
              <w:bottom w:val="nil"/>
              <w:right w:val="nil"/>
            </w:tcBorders>
            <w:shd w:val="clear" w:color="auto" w:fill="auto"/>
            <w:noWrap/>
            <w:vAlign w:val="center"/>
          </w:tcPr>
          <w:p w14:paraId="163A6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3150" w:type="dxa"/>
            <w:tcBorders>
              <w:top w:val="nil"/>
              <w:left w:val="nil"/>
              <w:bottom w:val="nil"/>
              <w:right w:val="nil"/>
            </w:tcBorders>
            <w:shd w:val="clear" w:color="auto" w:fill="auto"/>
            <w:noWrap/>
            <w:vAlign w:val="center"/>
          </w:tcPr>
          <w:p w14:paraId="235FDF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118</w:t>
            </w:r>
          </w:p>
        </w:tc>
      </w:tr>
      <w:tr w14:paraId="2A8633C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5DED5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3285" w:type="dxa"/>
            <w:tcBorders>
              <w:top w:val="nil"/>
              <w:left w:val="nil"/>
              <w:bottom w:val="nil"/>
              <w:right w:val="nil"/>
            </w:tcBorders>
            <w:shd w:val="clear" w:color="auto" w:fill="auto"/>
            <w:noWrap/>
            <w:vAlign w:val="center"/>
          </w:tcPr>
          <w:p w14:paraId="663D7CF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3150" w:type="dxa"/>
            <w:tcBorders>
              <w:top w:val="nil"/>
              <w:left w:val="nil"/>
              <w:bottom w:val="nil"/>
              <w:right w:val="nil"/>
            </w:tcBorders>
            <w:shd w:val="clear" w:color="auto" w:fill="auto"/>
            <w:noWrap/>
            <w:vAlign w:val="center"/>
          </w:tcPr>
          <w:p w14:paraId="4B187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368142</w:t>
            </w:r>
          </w:p>
        </w:tc>
      </w:tr>
      <w:tr w14:paraId="4721F4D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EE6DA2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3285" w:type="dxa"/>
            <w:tcBorders>
              <w:top w:val="nil"/>
              <w:left w:val="nil"/>
              <w:bottom w:val="nil"/>
              <w:right w:val="nil"/>
            </w:tcBorders>
            <w:shd w:val="clear" w:color="auto" w:fill="auto"/>
            <w:noWrap/>
            <w:vAlign w:val="center"/>
          </w:tcPr>
          <w:p w14:paraId="32986A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3150" w:type="dxa"/>
            <w:tcBorders>
              <w:top w:val="nil"/>
              <w:left w:val="nil"/>
              <w:bottom w:val="nil"/>
              <w:right w:val="nil"/>
            </w:tcBorders>
            <w:shd w:val="clear" w:color="auto" w:fill="auto"/>
            <w:noWrap/>
            <w:vAlign w:val="center"/>
          </w:tcPr>
          <w:p w14:paraId="5335765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658</w:t>
            </w:r>
          </w:p>
        </w:tc>
      </w:tr>
      <w:tr w14:paraId="66A817C7">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A952F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3285" w:type="dxa"/>
            <w:tcBorders>
              <w:top w:val="nil"/>
              <w:left w:val="nil"/>
              <w:bottom w:val="nil"/>
              <w:right w:val="nil"/>
            </w:tcBorders>
            <w:shd w:val="clear" w:color="auto" w:fill="auto"/>
            <w:noWrap/>
            <w:vAlign w:val="center"/>
          </w:tcPr>
          <w:p w14:paraId="65265B3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3150" w:type="dxa"/>
            <w:tcBorders>
              <w:top w:val="nil"/>
              <w:left w:val="nil"/>
              <w:bottom w:val="nil"/>
              <w:right w:val="nil"/>
            </w:tcBorders>
            <w:shd w:val="clear" w:color="auto" w:fill="auto"/>
            <w:noWrap/>
            <w:vAlign w:val="center"/>
          </w:tcPr>
          <w:p w14:paraId="09D06C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14545</w:t>
            </w:r>
          </w:p>
        </w:tc>
      </w:tr>
      <w:tr w14:paraId="40EB93E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7711BD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3285" w:type="dxa"/>
            <w:tcBorders>
              <w:top w:val="nil"/>
              <w:left w:val="nil"/>
              <w:bottom w:val="nil"/>
              <w:right w:val="nil"/>
            </w:tcBorders>
            <w:shd w:val="clear" w:color="auto" w:fill="auto"/>
            <w:noWrap/>
            <w:vAlign w:val="center"/>
          </w:tcPr>
          <w:p w14:paraId="73445B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3150" w:type="dxa"/>
            <w:tcBorders>
              <w:top w:val="nil"/>
              <w:left w:val="nil"/>
              <w:bottom w:val="nil"/>
              <w:right w:val="nil"/>
            </w:tcBorders>
            <w:shd w:val="clear" w:color="auto" w:fill="auto"/>
            <w:noWrap/>
            <w:vAlign w:val="center"/>
          </w:tcPr>
          <w:p w14:paraId="5C79380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10811</w:t>
            </w:r>
          </w:p>
        </w:tc>
      </w:tr>
      <w:tr w14:paraId="0D62F7B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right w:val="nil"/>
            </w:tcBorders>
            <w:shd w:val="clear" w:color="auto" w:fill="auto"/>
            <w:noWrap/>
            <w:vAlign w:val="center"/>
          </w:tcPr>
          <w:p w14:paraId="2DA9D2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w:t>
            </w:r>
          </w:p>
        </w:tc>
        <w:tc>
          <w:tcPr>
            <w:tcW w:w="3285" w:type="dxa"/>
            <w:tcBorders>
              <w:top w:val="nil"/>
              <w:left w:val="nil"/>
              <w:right w:val="nil"/>
            </w:tcBorders>
            <w:shd w:val="clear" w:color="auto" w:fill="auto"/>
            <w:noWrap/>
            <w:vAlign w:val="center"/>
          </w:tcPr>
          <w:p w14:paraId="1326F1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3150" w:type="dxa"/>
            <w:tcBorders>
              <w:top w:val="nil"/>
              <w:left w:val="nil"/>
              <w:right w:val="nil"/>
            </w:tcBorders>
            <w:shd w:val="clear" w:color="auto" w:fill="auto"/>
            <w:noWrap/>
            <w:vAlign w:val="center"/>
          </w:tcPr>
          <w:p w14:paraId="061D70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116</w:t>
            </w:r>
          </w:p>
        </w:tc>
      </w:tr>
    </w:tbl>
    <w:p w14:paraId="39FCF3F5">
      <w:pPr>
        <w:bidi w:val="0"/>
        <w:jc w:val="center"/>
        <w:rPr>
          <w:rFonts w:hint="eastAsia" w:ascii="黑体" w:hAnsi="黑体" w:eastAsia="黑体" w:cs="黑体"/>
          <w:b/>
          <w:bCs/>
          <w:sz w:val="24"/>
          <w:szCs w:val="24"/>
          <w:lang w:val="en-US" w:eastAsia="zh-CN"/>
        </w:rPr>
      </w:pPr>
    </w:p>
    <w:p w14:paraId="1260E5FF">
      <w:pPr>
        <w:bidi w:val="0"/>
        <w:jc w:val="center"/>
      </w:pPr>
      <w:r>
        <w:drawing>
          <wp:inline distT="0" distB="0" distL="114300" distR="114300">
            <wp:extent cx="3739515" cy="4331970"/>
            <wp:effectExtent l="0" t="0" r="1333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739515" cy="4331970"/>
                    </a:xfrm>
                    <a:prstGeom prst="rect">
                      <a:avLst/>
                    </a:prstGeom>
                    <a:noFill/>
                    <a:ln>
                      <a:noFill/>
                    </a:ln>
                  </pic:spPr>
                </pic:pic>
              </a:graphicData>
            </a:graphic>
          </wp:inline>
        </w:drawing>
      </w:r>
    </w:p>
    <w:p w14:paraId="4DCCD60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图5.2  二级品类销售数量</w:t>
      </w:r>
    </w:p>
    <w:p w14:paraId="7B577275">
      <w:pPr>
        <w:bidi w:val="0"/>
        <w:jc w:val="both"/>
        <w:rPr>
          <w:rFonts w:hint="default"/>
          <w:lang w:val="en-US" w:eastAsia="zh-CN"/>
        </w:rPr>
      </w:pPr>
    </w:p>
    <w:p w14:paraId="4C9CF673">
      <w:pPr>
        <w:bidi w:val="0"/>
        <w:ind w:firstLine="480" w:firstLine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我们求出了各个品类的销售数量，再结合商品的单价，便可以求出各级品类下各子品类的销售额以及各品类占总销售额的百分比，设p为商品的销售单价（单位：元）,S(i)为每个子品类的销售额：</w:t>
      </w:r>
    </w:p>
    <w:p w14:paraId="5C1ACFB3">
      <w:pPr>
        <w:bidi w:val="0"/>
        <w:ind w:firstLine="480" w:firstLineChars="200"/>
        <w:jc w:val="both"/>
        <w:rPr>
          <w:rFonts w:hint="eastAsia" w:ascii="黑体" w:hAnsi="黑体" w:eastAsia="黑体" w:cs="黑体"/>
          <w:sz w:val="24"/>
          <w:szCs w:val="24"/>
          <w:lang w:val="en-US" w:eastAsia="zh-CN"/>
        </w:rPr>
      </w:pPr>
    </w:p>
    <w:p w14:paraId="2A834734">
      <w:pPr>
        <w:bidi w:val="0"/>
        <w:ind w:firstLine="3162" w:firstLineChars="1500"/>
        <w:jc w:val="both"/>
        <w:rPr>
          <w:rFonts w:hint="default" w:ascii="黑体" w:hAnsi="黑体" w:eastAsia="黑体" w:cs="黑体"/>
          <w:lang w:val="en-US" w:eastAsia="zh-CN"/>
        </w:rPr>
      </w:pPr>
      <w:r>
        <w:rPr>
          <w:rFonts w:hint="eastAsia" w:ascii="黑体" w:hAnsi="黑体" w:eastAsia="黑体" w:cs="黑体"/>
          <w:b/>
          <w:bCs/>
          <w:color w:val="auto"/>
          <w:kern w:val="2"/>
          <w:sz w:val="21"/>
          <w:szCs w:val="21"/>
          <w:lang w:val="en-US" w:eastAsia="zh-CN" w:bidi="ar-SA"/>
        </w:rPr>
        <w:t>表5.3  一级品类销售额</w:t>
      </w:r>
    </w:p>
    <w:p w14:paraId="61F544E4">
      <w:pPr>
        <w:bidi w:val="0"/>
        <w:jc w:val="both"/>
        <w:rPr>
          <w:rFonts w:hint="eastAsia" w:ascii="黑体" w:hAnsi="黑体" w:eastAsia="黑体" w:cs="黑体"/>
          <w:lang w:val="en-US" w:eastAsia="zh-CN"/>
        </w:rPr>
      </w:pPr>
    </w:p>
    <w:tbl>
      <w:tblPr>
        <w:tblStyle w:val="9"/>
        <w:tblW w:w="95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33"/>
        <w:gridCol w:w="2100"/>
        <w:gridCol w:w="2700"/>
        <w:gridCol w:w="2717"/>
      </w:tblGrid>
      <w:tr w14:paraId="556A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8" w:hRule="atLeast"/>
          <w:jc w:val="center"/>
        </w:trPr>
        <w:tc>
          <w:tcPr>
            <w:tcW w:w="2033" w:type="dxa"/>
            <w:tcBorders>
              <w:top w:val="single" w:color="auto" w:sz="4" w:space="0"/>
              <w:left w:val="nil"/>
              <w:bottom w:val="single" w:color="auto" w:sz="4" w:space="0"/>
              <w:right w:val="nil"/>
            </w:tcBorders>
            <w:shd w:val="clear" w:color="auto" w:fill="auto"/>
            <w:noWrap/>
            <w:vAlign w:val="center"/>
          </w:tcPr>
          <w:p w14:paraId="1EA28C9E">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100" w:type="dxa"/>
            <w:tcBorders>
              <w:top w:val="single" w:color="auto" w:sz="4" w:space="0"/>
              <w:left w:val="nil"/>
              <w:bottom w:val="single" w:color="auto" w:sz="4" w:space="0"/>
              <w:right w:val="nil"/>
            </w:tcBorders>
            <w:shd w:val="clear" w:color="auto" w:fill="auto"/>
            <w:noWrap/>
            <w:vAlign w:val="center"/>
          </w:tcPr>
          <w:p w14:paraId="203CAE42">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一级品类</w:t>
            </w:r>
          </w:p>
        </w:tc>
        <w:tc>
          <w:tcPr>
            <w:tcW w:w="2700" w:type="dxa"/>
            <w:tcBorders>
              <w:top w:val="single" w:color="auto" w:sz="4" w:space="0"/>
              <w:left w:val="nil"/>
              <w:bottom w:val="single" w:color="auto" w:sz="4" w:space="0"/>
              <w:right w:val="nil"/>
            </w:tcBorders>
            <w:shd w:val="clear" w:color="auto" w:fill="auto"/>
            <w:noWrap/>
            <w:vAlign w:val="center"/>
          </w:tcPr>
          <w:p w14:paraId="01CC032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717" w:type="dxa"/>
            <w:tcBorders>
              <w:top w:val="single" w:color="auto" w:sz="4" w:space="0"/>
              <w:left w:val="nil"/>
              <w:bottom w:val="single" w:color="auto" w:sz="4" w:space="0"/>
              <w:right w:val="nil"/>
            </w:tcBorders>
            <w:shd w:val="clear" w:color="auto" w:fill="auto"/>
            <w:noWrap/>
            <w:vAlign w:val="center"/>
          </w:tcPr>
          <w:p w14:paraId="721707FF">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26E29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jc w:val="center"/>
        </w:trPr>
        <w:tc>
          <w:tcPr>
            <w:tcW w:w="2033" w:type="dxa"/>
            <w:tcBorders>
              <w:top w:val="single" w:color="auto" w:sz="4" w:space="0"/>
              <w:left w:val="nil"/>
              <w:bottom w:val="nil"/>
              <w:right w:val="nil"/>
            </w:tcBorders>
            <w:shd w:val="clear" w:color="auto" w:fill="auto"/>
            <w:noWrap/>
            <w:vAlign w:val="center"/>
          </w:tcPr>
          <w:p w14:paraId="624F70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100" w:type="dxa"/>
            <w:tcBorders>
              <w:top w:val="single" w:color="auto" w:sz="4" w:space="0"/>
              <w:left w:val="nil"/>
              <w:bottom w:val="nil"/>
              <w:right w:val="nil"/>
            </w:tcBorders>
            <w:shd w:val="clear" w:color="auto" w:fill="auto"/>
            <w:noWrap/>
            <w:vAlign w:val="center"/>
          </w:tcPr>
          <w:p w14:paraId="502B825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医疗保健</w:t>
            </w:r>
          </w:p>
        </w:tc>
        <w:tc>
          <w:tcPr>
            <w:tcW w:w="2700" w:type="dxa"/>
            <w:tcBorders>
              <w:top w:val="single" w:color="auto" w:sz="4" w:space="0"/>
              <w:left w:val="nil"/>
              <w:bottom w:val="nil"/>
              <w:right w:val="nil"/>
            </w:tcBorders>
            <w:shd w:val="clear" w:color="auto" w:fill="auto"/>
            <w:noWrap/>
            <w:vAlign w:val="center"/>
          </w:tcPr>
          <w:p w14:paraId="21A86F7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244070.6</w:t>
            </w:r>
          </w:p>
        </w:tc>
        <w:tc>
          <w:tcPr>
            <w:tcW w:w="2717" w:type="dxa"/>
            <w:tcBorders>
              <w:top w:val="single" w:color="auto" w:sz="4" w:space="0"/>
              <w:left w:val="nil"/>
              <w:bottom w:val="nil"/>
              <w:right w:val="nil"/>
            </w:tcBorders>
            <w:shd w:val="clear" w:color="auto" w:fill="auto"/>
            <w:noWrap/>
            <w:vAlign w:val="center"/>
          </w:tcPr>
          <w:p w14:paraId="18A3ADF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1.22%</w:t>
            </w:r>
          </w:p>
        </w:tc>
      </w:tr>
      <w:tr w14:paraId="37A9E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jc w:val="center"/>
        </w:trPr>
        <w:tc>
          <w:tcPr>
            <w:tcW w:w="2033" w:type="dxa"/>
            <w:tcBorders>
              <w:top w:val="nil"/>
              <w:left w:val="nil"/>
              <w:bottom w:val="nil"/>
              <w:right w:val="nil"/>
            </w:tcBorders>
            <w:shd w:val="clear" w:color="auto" w:fill="auto"/>
            <w:noWrap/>
            <w:vAlign w:val="center"/>
          </w:tcPr>
          <w:p w14:paraId="656A9B7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100" w:type="dxa"/>
            <w:tcBorders>
              <w:top w:val="nil"/>
              <w:left w:val="nil"/>
              <w:bottom w:val="nil"/>
              <w:right w:val="nil"/>
            </w:tcBorders>
            <w:shd w:val="clear" w:color="auto" w:fill="auto"/>
            <w:noWrap/>
            <w:vAlign w:val="center"/>
          </w:tcPr>
          <w:p w14:paraId="11548D4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生鲜</w:t>
            </w:r>
          </w:p>
        </w:tc>
        <w:tc>
          <w:tcPr>
            <w:tcW w:w="2700" w:type="dxa"/>
            <w:tcBorders>
              <w:top w:val="nil"/>
              <w:left w:val="nil"/>
              <w:bottom w:val="nil"/>
              <w:right w:val="nil"/>
            </w:tcBorders>
            <w:shd w:val="clear" w:color="auto" w:fill="auto"/>
            <w:noWrap/>
            <w:vAlign w:val="center"/>
          </w:tcPr>
          <w:p w14:paraId="59638C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794331.52</w:t>
            </w:r>
          </w:p>
        </w:tc>
        <w:tc>
          <w:tcPr>
            <w:tcW w:w="2717" w:type="dxa"/>
            <w:tcBorders>
              <w:top w:val="nil"/>
              <w:left w:val="nil"/>
              <w:bottom w:val="nil"/>
              <w:right w:val="nil"/>
            </w:tcBorders>
            <w:shd w:val="clear" w:color="auto" w:fill="auto"/>
            <w:noWrap/>
            <w:vAlign w:val="center"/>
          </w:tcPr>
          <w:p w14:paraId="557AD1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3.98%</w:t>
            </w:r>
          </w:p>
        </w:tc>
      </w:tr>
      <w:tr w14:paraId="429AD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1" w:hRule="atLeast"/>
          <w:jc w:val="center"/>
        </w:trPr>
        <w:tc>
          <w:tcPr>
            <w:tcW w:w="2033" w:type="dxa"/>
            <w:tcBorders>
              <w:top w:val="nil"/>
              <w:left w:val="nil"/>
              <w:bottom w:val="nil"/>
              <w:right w:val="nil"/>
            </w:tcBorders>
            <w:shd w:val="clear" w:color="auto" w:fill="auto"/>
            <w:noWrap/>
            <w:vAlign w:val="center"/>
          </w:tcPr>
          <w:p w14:paraId="763FA79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100" w:type="dxa"/>
            <w:tcBorders>
              <w:top w:val="nil"/>
              <w:left w:val="nil"/>
              <w:bottom w:val="nil"/>
              <w:right w:val="nil"/>
            </w:tcBorders>
            <w:shd w:val="clear" w:color="auto" w:fill="auto"/>
            <w:noWrap/>
            <w:vAlign w:val="center"/>
          </w:tcPr>
          <w:p w14:paraId="6DA573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非食</w:t>
            </w:r>
          </w:p>
        </w:tc>
        <w:tc>
          <w:tcPr>
            <w:tcW w:w="2700" w:type="dxa"/>
            <w:tcBorders>
              <w:top w:val="nil"/>
              <w:left w:val="nil"/>
              <w:bottom w:val="nil"/>
              <w:right w:val="nil"/>
            </w:tcBorders>
            <w:shd w:val="clear" w:color="auto" w:fill="auto"/>
            <w:noWrap/>
            <w:vAlign w:val="center"/>
          </w:tcPr>
          <w:p w14:paraId="5BD15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5595646.92</w:t>
            </w:r>
          </w:p>
        </w:tc>
        <w:tc>
          <w:tcPr>
            <w:tcW w:w="2717" w:type="dxa"/>
            <w:tcBorders>
              <w:top w:val="nil"/>
              <w:left w:val="nil"/>
              <w:bottom w:val="nil"/>
              <w:right w:val="nil"/>
            </w:tcBorders>
            <w:shd w:val="clear" w:color="auto" w:fill="auto"/>
            <w:noWrap/>
            <w:vAlign w:val="center"/>
          </w:tcPr>
          <w:p w14:paraId="18426EB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28.06</w:t>
            </w:r>
          </w:p>
        </w:tc>
      </w:tr>
      <w:tr w14:paraId="6A15B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jc w:val="center"/>
        </w:trPr>
        <w:tc>
          <w:tcPr>
            <w:tcW w:w="2033" w:type="dxa"/>
            <w:tcBorders>
              <w:top w:val="nil"/>
              <w:left w:val="nil"/>
              <w:bottom w:val="single" w:color="auto" w:sz="4" w:space="0"/>
              <w:right w:val="nil"/>
            </w:tcBorders>
            <w:shd w:val="clear" w:color="auto" w:fill="auto"/>
            <w:noWrap/>
            <w:vAlign w:val="center"/>
          </w:tcPr>
          <w:p w14:paraId="378C8D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100" w:type="dxa"/>
            <w:tcBorders>
              <w:top w:val="nil"/>
              <w:left w:val="nil"/>
              <w:bottom w:val="single" w:color="auto" w:sz="4" w:space="0"/>
              <w:right w:val="nil"/>
            </w:tcBorders>
            <w:shd w:val="clear" w:color="auto" w:fill="auto"/>
            <w:noWrap/>
            <w:vAlign w:val="center"/>
          </w:tcPr>
          <w:p w14:paraId="2DB64CE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食品</w:t>
            </w:r>
          </w:p>
        </w:tc>
        <w:tc>
          <w:tcPr>
            <w:tcW w:w="2700" w:type="dxa"/>
            <w:tcBorders>
              <w:top w:val="nil"/>
              <w:left w:val="nil"/>
              <w:bottom w:val="single" w:color="auto" w:sz="4" w:space="0"/>
              <w:right w:val="nil"/>
            </w:tcBorders>
            <w:shd w:val="clear" w:color="auto" w:fill="auto"/>
            <w:noWrap/>
            <w:vAlign w:val="center"/>
          </w:tcPr>
          <w:p w14:paraId="33B6AD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13306258.27</w:t>
            </w:r>
          </w:p>
        </w:tc>
        <w:tc>
          <w:tcPr>
            <w:tcW w:w="2717" w:type="dxa"/>
            <w:tcBorders>
              <w:top w:val="nil"/>
              <w:left w:val="nil"/>
              <w:bottom w:val="single" w:color="auto" w:sz="4" w:space="0"/>
              <w:right w:val="nil"/>
            </w:tcBorders>
            <w:shd w:val="clear" w:color="auto" w:fill="auto"/>
            <w:noWrap/>
            <w:vAlign w:val="center"/>
          </w:tcPr>
          <w:p w14:paraId="66D379B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66.73%</w:t>
            </w:r>
          </w:p>
        </w:tc>
      </w:tr>
    </w:tbl>
    <w:p w14:paraId="06392B27">
      <w:pPr>
        <w:bidi w:val="0"/>
        <w:jc w:val="both"/>
        <w:rPr>
          <w:rFonts w:hint="eastAsia" w:ascii="黑体" w:hAnsi="黑体" w:eastAsia="黑体" w:cs="黑体"/>
          <w:lang w:val="en-US" w:eastAsia="zh-CN"/>
        </w:rPr>
      </w:pPr>
      <w:r>
        <w:rPr>
          <w:rFonts w:hint="eastAsia" w:ascii="黑体" w:hAnsi="黑体" w:eastAsia="黑体" w:cs="黑体"/>
          <w:lang w:val="en-US" w:eastAsia="zh-CN"/>
        </w:rPr>
        <w:t xml:space="preserve">        </w:t>
      </w:r>
    </w:p>
    <w:p w14:paraId="0E35504A">
      <w:pPr>
        <w:bidi w:val="0"/>
        <w:jc w:val="both"/>
        <w:rPr>
          <w:rFonts w:hint="eastAsia" w:ascii="黑体" w:hAnsi="黑体" w:eastAsia="黑体" w:cs="黑体"/>
          <w:lang w:val="en-US" w:eastAsia="zh-CN"/>
        </w:rPr>
      </w:pPr>
    </w:p>
    <w:p w14:paraId="06E14C5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lang w:val="en-US" w:eastAsia="zh-CN"/>
                      </w:rPr>
                      <m:t>S</m:t>
                    </m:r>
                    <m:ctrlPr>
                      <w:rPr>
                        <w:rFonts w:ascii="Cambria Math" w:hAnsi="Cambria Math"/>
                        <w:sz w:val="28"/>
                      </w:rPr>
                    </m:ctrlPr>
                  </m:e>
                  <m:sub>
                    <m:r>
                      <m:rPr>
                        <m:sty m:val="p"/>
                      </m:rPr>
                      <w:rPr>
                        <w:rFonts w:hint="default" w:ascii="Cambria Math" w:hAnsi="Cambria Math"/>
                        <w:sz w:val="28"/>
                        <w:lang w:val="en-US" w:eastAsia="zh-CN"/>
                      </w:rPr>
                      <m:t>1</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(i)</m:t>
          </m:r>
          <m:r>
            <m:rPr/>
            <w:rPr>
              <w:rFonts w:ascii="Cambria Math" w:hAnsi="Cambria Math"/>
              <w:sz w:val="28"/>
              <w:lang w:val="en-US"/>
            </w:rPr>
            <m:t>×</m:t>
          </m:r>
          <m:r>
            <m:rPr/>
            <w:rPr>
              <w:rFonts w:hint="default" w:ascii="Cambria Math" w:hAnsi="Cambria Math"/>
              <w:sz w:val="28"/>
              <w:lang w:val="en-US" w:eastAsia="zh-CN"/>
            </w:rPr>
            <m:t xml:space="preserve">p                               </m:t>
          </m:r>
          <m:r>
            <m:rPr/>
            <w:rPr>
              <w:rFonts w:hint="default" w:ascii="Cambria Math" w:hAnsi="Cambria Math"/>
              <w:sz w:val="28"/>
            </w:rPr>
            <m:t>(</m:t>
          </m:r>
          <m:r>
            <m:rPr/>
            <w:rPr>
              <w:rFonts w:hint="default" w:ascii="Cambria Math" w:hAnsi="Cambria Math"/>
              <w:sz w:val="28"/>
              <w:lang w:val="en-US" w:eastAsia="zh-CN"/>
            </w:rPr>
            <m:t>3</m:t>
          </m:r>
          <m:r>
            <m:rPr/>
            <w:rPr>
              <w:rFonts w:hint="default" w:ascii="Cambria Math" w:hAnsi="Cambria Math"/>
              <w:sz w:val="28"/>
            </w:rPr>
            <m:t>)</m:t>
          </m:r>
        </m:oMath>
      </m:oMathPara>
    </w:p>
    <w:p w14:paraId="093AEFEC">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53075" cy="41719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553075" cy="4171950"/>
                    </a:xfrm>
                    <a:prstGeom prst="rect">
                      <a:avLst/>
                    </a:prstGeom>
                    <a:noFill/>
                    <a:ln w="9525">
                      <a:noFill/>
                    </a:ln>
                  </pic:spPr>
                </pic:pic>
              </a:graphicData>
            </a:graphic>
          </wp:inline>
        </w:drawing>
      </w:r>
    </w:p>
    <w:p w14:paraId="7B6C3263">
      <w:pPr>
        <w:bidi w:val="0"/>
        <w:ind w:firstLine="3162" w:firstLineChars="15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图5.3  一级品类销售额</w:t>
      </w:r>
    </w:p>
    <w:p w14:paraId="5186CEED">
      <w:pPr>
        <w:bidi w:val="0"/>
        <w:jc w:val="both"/>
        <w:rPr>
          <w:rFonts w:ascii="宋体" w:hAnsi="宋体" w:eastAsia="宋体" w:cs="宋体"/>
          <w:sz w:val="24"/>
          <w:szCs w:val="24"/>
        </w:rPr>
      </w:pPr>
    </w:p>
    <w:p w14:paraId="5B4423E5">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34025" cy="43338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534025" cy="4333875"/>
                    </a:xfrm>
                    <a:prstGeom prst="rect">
                      <a:avLst/>
                    </a:prstGeom>
                    <a:noFill/>
                    <a:ln w="9525">
                      <a:noFill/>
                    </a:ln>
                  </pic:spPr>
                </pic:pic>
              </a:graphicData>
            </a:graphic>
          </wp:inline>
        </w:drawing>
      </w:r>
    </w:p>
    <w:p w14:paraId="4A91A4F4">
      <w:pPr>
        <w:bidi w:val="0"/>
        <w:ind w:firstLine="2530" w:firstLineChars="1200"/>
        <w:jc w:val="both"/>
        <w:rPr>
          <w:rFonts w:hint="eastAsia" w:ascii="黑体" w:hAnsi="黑体" w:eastAsia="黑体" w:cs="黑体"/>
          <w:b w:val="0"/>
          <w:bCs w:val="0"/>
          <w:sz w:val="24"/>
          <w:szCs w:val="24"/>
          <w:lang w:val="en-US" w:eastAsia="zh-CN"/>
        </w:rPr>
      </w:pPr>
      <w:r>
        <w:rPr>
          <w:rFonts w:hint="eastAsia" w:ascii="黑体" w:hAnsi="黑体" w:eastAsia="黑体" w:cs="黑体"/>
          <w:b/>
          <w:bCs/>
          <w:sz w:val="21"/>
          <w:szCs w:val="21"/>
          <w:lang w:val="en-US" w:eastAsia="zh-CN"/>
        </w:rPr>
        <w:t>图5.4  一级品类销售额百分比</w:t>
      </w:r>
    </w:p>
    <w:p w14:paraId="656F22BC">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sz w:val="24"/>
          <w:szCs w:val="24"/>
          <w:lang w:val="en-US" w:eastAsia="zh-CN"/>
        </w:rPr>
      </w:pPr>
    </w:p>
    <w:p w14:paraId="5A09FCC9">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r>
        <w:rPr>
          <w:rFonts w:hint="eastAsia" w:ascii="黑体" w:hAnsi="黑体" w:eastAsia="黑体" w:cs="黑体"/>
          <w:b w:val="0"/>
          <w:bCs w:val="0"/>
          <w:sz w:val="24"/>
          <w:szCs w:val="24"/>
          <w:lang w:val="en-US" w:eastAsia="zh-CN"/>
        </w:rPr>
        <w:t>从研究数据中我们可以直观了解到，在一级品类下，食品品类贡献了66.73%的销售额，显著高于其它品类；非食品类其次，其销售额占总销售额的28.06%。</w:t>
      </w:r>
      <w:r>
        <w:rPr>
          <w:rFonts w:hint="eastAsia" w:ascii="黑体" w:hAnsi="黑体" w:eastAsia="黑体" w:cs="黑体"/>
          <w:b w:val="0"/>
          <w:bCs w:val="0"/>
          <w:color w:val="auto"/>
          <w:kern w:val="2"/>
          <w:sz w:val="24"/>
          <w:szCs w:val="24"/>
          <w:lang w:val="en-US" w:eastAsia="zh-CN" w:bidi="ar-SA"/>
        </w:rPr>
        <w:t>我们按照同样的方法对其它品类进行类似的操作处理，便可以得到该零售门店各个品类的销售额：</w:t>
      </w:r>
    </w:p>
    <w:p w14:paraId="0FA090B6">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color w:val="auto"/>
          <w:kern w:val="2"/>
          <w:sz w:val="24"/>
          <w:szCs w:val="24"/>
          <w:lang w:val="en-US" w:eastAsia="zh-CN" w:bidi="ar-SA"/>
        </w:rPr>
      </w:pPr>
    </w:p>
    <w:p w14:paraId="5119411C">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m:oMathPara>
        <m:oMath>
          <m:m>
            <m:mPr>
              <m:mcs>
                <m:mc>
                  <m:mcPr>
                    <m:count m:val="1"/>
                    <m:mcJc m:val="left"/>
                  </m:mcPr>
                </m:mc>
              </m:mcs>
              <m:plcHide m:val="1"/>
              <m:ctrlPr>
                <w:rPr>
                  <w:rFonts w:hint="default" w:ascii="Cambria Math" w:hAnsi="Cambria Math"/>
                  <w:sz w:val="28"/>
                </w:rPr>
              </m:ctrlPr>
            </m:mPr>
            <m:mr>
              <m:e>
                <m:r>
                  <m:rPr>
                    <m:sty m:val="p"/>
                  </m:rPr>
                  <w:rPr>
                    <w:rFonts w:hint="default" w:ascii="Cambria Math" w:hAnsi="Cambria Math"/>
                    <w:sz w:val="28"/>
                    <w:lang w:val="en-US" w:eastAsia="zh-CN"/>
                  </w:rPr>
                  <m:t xml:space="preserve">                                                </m:t>
                </m:r>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lang w:val="en-US" w:eastAsia="zh-CN"/>
                      </w:rPr>
                      <m:t>S</m:t>
                    </m:r>
                    <m:ctrlPr>
                      <w:rPr>
                        <w:rFonts w:ascii="Cambria Math" w:hAnsi="Cambria Math"/>
                        <w:sz w:val="28"/>
                      </w:rPr>
                    </m:ctrlPr>
                  </m:e>
                  <m:sub>
                    <m:r>
                      <m:rPr>
                        <m:sty m:val="p"/>
                      </m:rPr>
                      <w:rPr>
                        <w:rFonts w:hint="default" w:ascii="Cambria Math" w:hAnsi="Cambria Math"/>
                        <w:sz w:val="28"/>
                        <w:lang w:val="en-US" w:eastAsia="zh-CN"/>
                      </w:rPr>
                      <m:t>2</m:t>
                    </m:r>
                    <m:ctrlPr>
                      <w:rPr>
                        <w:rFonts w:ascii="Cambria Math" w:hAnsi="Cambria Math"/>
                        <w:sz w:val="28"/>
                      </w:rPr>
                    </m:ctrlPr>
                  </m:sub>
                </m:sSub>
                <m:r>
                  <m:rPr/>
                  <w:rPr>
                    <w:rFonts w:hint="default" w:ascii="Cambria Math" w:hAnsi="Cambria Math"/>
                    <w:sz w:val="28"/>
                  </w:rPr>
                  <m:t>(i)=</m:t>
                </m:r>
                <m:nary>
                  <m:naryPr>
                    <m:chr m:val="∑"/>
                    <m:limLoc m:val="undOvr"/>
                    <m:ctrlPr>
                      <w:rPr>
                        <w:rFonts w:hint="default" w:ascii="Cambria Math" w:hAnsi="Cambria Math"/>
                        <w:sz w:val="28"/>
                      </w:rPr>
                    </m:ctrlPr>
                  </m:naryPr>
                  <m:sub>
                    <m:r>
                      <m:rPr/>
                      <w:rPr>
                        <w:rFonts w:hint="default" w:ascii="Cambria Math" w:hAnsi="Cambria Math"/>
                        <w:sz w:val="28"/>
                      </w:rPr>
                      <m:t>j=1</m:t>
                    </m:r>
                    <m:ctrlPr>
                      <w:rPr>
                        <w:rFonts w:ascii="Cambria Math" w:hAnsi="Cambria Math"/>
                        <w:sz w:val="28"/>
                      </w:rPr>
                    </m:ctrlPr>
                  </m:sub>
                  <m:sup>
                    <m:r>
                      <m:rPr/>
                      <w:rPr>
                        <w:rFonts w:hint="default" w:ascii="Cambria Math" w:hAnsi="Cambria Math"/>
                        <w:sz w:val="28"/>
                      </w:rPr>
                      <m:t>B</m:t>
                    </m:r>
                    <m:ctrlPr>
                      <w:rPr>
                        <w:rFonts w:ascii="Cambria Math" w:hAnsi="Cambria Math"/>
                        <w:sz w:val="28"/>
                      </w:rPr>
                    </m:ctrlPr>
                  </m:sup>
                  <m:e>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lang w:val="en-US" w:eastAsia="zh-CN"/>
                              </w:rPr>
                              <m:t>2</m:t>
                            </m:r>
                            <m:ctrlPr>
                              <w:rPr>
                                <w:rFonts w:ascii="Cambria Math" w:hAnsi="Cambria Math"/>
                                <w:sz w:val="28"/>
                              </w:rPr>
                            </m:ctrlPr>
                          </m:sub>
                        </m:sSub>
                        <m:ctrlPr>
                          <w:rPr>
                            <w:rFonts w:hint="default" w:ascii="Cambria Math" w:hAnsi="Cambria Math"/>
                            <w:sz w:val="28"/>
                          </w:rPr>
                        </m:ctrlPr>
                      </m:e>
                    </m:func>
                    <m:ctrlPr>
                      <w:rPr>
                        <w:rFonts w:hint="default" w:ascii="Cambria Math" w:hAnsi="Cambria Math"/>
                        <w:sz w:val="28"/>
                      </w:rPr>
                    </m:ctrlPr>
                  </m:e>
                </m:nary>
                <m:ctrlPr>
                  <w:rPr>
                    <w:rFonts w:hint="default" w:ascii="Cambria Math" w:hAnsi="Cambria Math"/>
                    <w:sz w:val="28"/>
                  </w:rPr>
                </m:ctrlPr>
              </m:e>
            </m:mr>
          </m:m>
          <m:r>
            <m:rPr/>
            <w:rPr>
              <w:rFonts w:hint="default" w:ascii="Cambria Math" w:hAnsi="Cambria Math"/>
              <w:sz w:val="28"/>
              <w:lang w:val="en-US" w:eastAsia="zh-CN"/>
            </w:rPr>
            <m:t>(i)</m:t>
          </m:r>
          <m:r>
            <m:rPr/>
            <w:rPr>
              <w:rFonts w:ascii="Cambria Math" w:hAnsi="Cambria Math"/>
              <w:sz w:val="28"/>
              <w:lang w:val="en-US"/>
            </w:rPr>
            <m:t>×</m:t>
          </m:r>
          <m:r>
            <m:rPr/>
            <w:rPr>
              <w:rFonts w:hint="default" w:ascii="Cambria Math" w:hAnsi="Cambria Math"/>
              <w:sz w:val="28"/>
              <w:lang w:val="en-US" w:eastAsia="zh-CN"/>
            </w:rPr>
            <m:t xml:space="preserve">p                                </m:t>
          </m:r>
          <m:r>
            <m:rPr/>
            <w:rPr>
              <w:rFonts w:hint="default" w:ascii="Cambria Math" w:hAnsi="Cambria Math"/>
              <w:sz w:val="28"/>
            </w:rPr>
            <m:t>(</m:t>
          </m:r>
          <m:r>
            <m:rPr/>
            <w:rPr>
              <w:rFonts w:hint="default" w:ascii="Cambria Math" w:hAnsi="Cambria Math"/>
              <w:sz w:val="28"/>
              <w:lang w:val="en-US" w:eastAsia="zh-CN"/>
            </w:rPr>
            <m:t>4</m:t>
          </m:r>
          <m:r>
            <m:rPr/>
            <w:rPr>
              <w:rFonts w:hint="default" w:ascii="Cambria Math" w:hAnsi="Cambria Math"/>
              <w:sz w:val="28"/>
            </w:rPr>
            <m:t>)</m:t>
          </m:r>
        </m:oMath>
      </m:oMathPara>
    </w:p>
    <w:p w14:paraId="6DBEE05A">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黑体" w:hAnsi="黑体" w:eastAsia="黑体" w:cs="黑体"/>
          <w:b w:val="0"/>
          <w:bCs w:val="0"/>
          <w:color w:val="auto"/>
          <w:kern w:val="2"/>
          <w:sz w:val="24"/>
          <w:szCs w:val="24"/>
          <w:lang w:val="en-US" w:eastAsia="zh-CN" w:bidi="ar-SA"/>
        </w:rPr>
      </w:pPr>
    </w:p>
    <w:p w14:paraId="14A82CD5">
      <w:pPr>
        <w:bidi w:val="0"/>
        <w:ind w:firstLine="480" w:firstLineChars="200"/>
        <w:jc w:val="both"/>
        <w:rPr>
          <w:rFonts w:hint="default" w:ascii="黑体" w:hAnsi="黑体" w:eastAsia="黑体" w:cs="黑体"/>
          <w:b w:val="0"/>
          <w:bCs w:val="0"/>
          <w:sz w:val="24"/>
          <w:szCs w:val="24"/>
          <w:lang w:val="en-US" w:eastAsia="zh-CN"/>
        </w:rPr>
      </w:pPr>
    </w:p>
    <w:p w14:paraId="3DEB71D3">
      <w:pPr>
        <w:bidi w:val="0"/>
        <w:jc w:val="both"/>
        <w:rPr>
          <w:rFonts w:hint="default" w:ascii="黑体" w:hAnsi="黑体" w:eastAsia="黑体" w:cs="黑体"/>
          <w:b w:val="0"/>
          <w:bCs w:val="0"/>
          <w:sz w:val="24"/>
          <w:szCs w:val="24"/>
          <w:lang w:val="en-US" w:eastAsia="zh-CN"/>
        </w:rPr>
      </w:pPr>
    </w:p>
    <w:p w14:paraId="21C1C9AD">
      <w:pPr>
        <w:bidi w:val="0"/>
        <w:jc w:val="both"/>
        <w:rPr>
          <w:rFonts w:hint="default" w:ascii="黑体" w:hAnsi="黑体" w:eastAsia="黑体" w:cs="黑体"/>
          <w:b w:val="0"/>
          <w:bCs w:val="0"/>
          <w:sz w:val="24"/>
          <w:szCs w:val="24"/>
          <w:lang w:val="en-US" w:eastAsia="zh-CN"/>
        </w:rPr>
      </w:pPr>
    </w:p>
    <w:p w14:paraId="1CBDCE2E">
      <w:pPr>
        <w:bidi w:val="0"/>
        <w:ind w:firstLine="3162" w:firstLineChars="1500"/>
        <w:jc w:val="both"/>
        <w:rPr>
          <w:rFonts w:hint="default" w:ascii="黑体" w:hAnsi="黑体" w:eastAsia="黑体" w:cs="黑体"/>
          <w:b w:val="0"/>
          <w:bCs w:val="0"/>
          <w:sz w:val="24"/>
          <w:szCs w:val="24"/>
          <w:lang w:val="en-US" w:eastAsia="zh-CN"/>
        </w:rPr>
      </w:pPr>
      <w:r>
        <w:rPr>
          <w:rFonts w:hint="eastAsia" w:ascii="黑体" w:hAnsi="黑体" w:eastAsia="黑体" w:cs="黑体"/>
          <w:b/>
          <w:bCs/>
          <w:color w:val="auto"/>
          <w:kern w:val="2"/>
          <w:sz w:val="21"/>
          <w:szCs w:val="21"/>
          <w:lang w:val="en-US" w:eastAsia="zh-CN" w:bidi="ar-SA"/>
        </w:rPr>
        <w:t>表5.4  二级品类销售额</w:t>
      </w:r>
    </w:p>
    <w:tbl>
      <w:tblPr>
        <w:tblStyle w:val="9"/>
        <w:tblW w:w="10067" w:type="dxa"/>
        <w:tblInd w:w="-64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18"/>
        <w:gridCol w:w="2882"/>
        <w:gridCol w:w="2884"/>
        <w:gridCol w:w="2483"/>
      </w:tblGrid>
      <w:tr w14:paraId="5053B77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1" w:hRule="atLeast"/>
        </w:trPr>
        <w:tc>
          <w:tcPr>
            <w:tcW w:w="1818" w:type="dxa"/>
            <w:tcBorders>
              <w:left w:val="nil"/>
              <w:bottom w:val="single" w:color="auto" w:sz="4" w:space="0"/>
              <w:right w:val="nil"/>
            </w:tcBorders>
            <w:shd w:val="clear" w:color="auto" w:fill="auto"/>
            <w:noWrap/>
            <w:vAlign w:val="center"/>
          </w:tcPr>
          <w:p w14:paraId="01C87BE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882" w:type="dxa"/>
            <w:tcBorders>
              <w:left w:val="nil"/>
              <w:bottom w:val="single" w:color="auto" w:sz="4" w:space="0"/>
              <w:right w:val="nil"/>
            </w:tcBorders>
            <w:shd w:val="clear" w:color="auto" w:fill="auto"/>
            <w:noWrap/>
            <w:vAlign w:val="center"/>
          </w:tcPr>
          <w:p w14:paraId="60626B4D">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2884" w:type="dxa"/>
            <w:tcBorders>
              <w:left w:val="nil"/>
              <w:bottom w:val="single" w:color="auto" w:sz="4" w:space="0"/>
              <w:right w:val="nil"/>
            </w:tcBorders>
            <w:shd w:val="clear" w:color="auto" w:fill="auto"/>
            <w:noWrap/>
            <w:vAlign w:val="center"/>
          </w:tcPr>
          <w:p w14:paraId="089192F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483" w:type="dxa"/>
            <w:tcBorders>
              <w:left w:val="nil"/>
              <w:bottom w:val="single" w:color="auto" w:sz="4" w:space="0"/>
              <w:right w:val="nil"/>
            </w:tcBorders>
            <w:shd w:val="clear" w:color="auto" w:fill="auto"/>
            <w:noWrap/>
            <w:vAlign w:val="center"/>
          </w:tcPr>
          <w:p w14:paraId="6318BA5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794E4BE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5" w:hRule="atLeast"/>
        </w:trPr>
        <w:tc>
          <w:tcPr>
            <w:tcW w:w="1818" w:type="dxa"/>
            <w:tcBorders>
              <w:top w:val="single" w:color="auto" w:sz="4" w:space="0"/>
              <w:left w:val="nil"/>
              <w:bottom w:val="nil"/>
              <w:right w:val="nil"/>
            </w:tcBorders>
            <w:shd w:val="clear" w:color="auto" w:fill="auto"/>
            <w:noWrap/>
            <w:vAlign w:val="center"/>
          </w:tcPr>
          <w:p w14:paraId="4D1B47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882" w:type="dxa"/>
            <w:tcBorders>
              <w:top w:val="single" w:color="auto" w:sz="4" w:space="0"/>
              <w:left w:val="nil"/>
              <w:bottom w:val="nil"/>
              <w:right w:val="nil"/>
            </w:tcBorders>
            <w:shd w:val="clear" w:color="auto" w:fill="auto"/>
            <w:noWrap/>
            <w:vAlign w:val="center"/>
          </w:tcPr>
          <w:p w14:paraId="3EBD07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884" w:type="dxa"/>
            <w:tcBorders>
              <w:top w:val="single" w:color="auto" w:sz="4" w:space="0"/>
              <w:left w:val="nil"/>
              <w:bottom w:val="nil"/>
              <w:right w:val="nil"/>
            </w:tcBorders>
            <w:shd w:val="clear" w:color="auto" w:fill="auto"/>
            <w:noWrap/>
            <w:vAlign w:val="center"/>
          </w:tcPr>
          <w:p w14:paraId="02048E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1015161.26</w:t>
            </w:r>
          </w:p>
        </w:tc>
        <w:tc>
          <w:tcPr>
            <w:tcW w:w="2483" w:type="dxa"/>
            <w:tcBorders>
              <w:top w:val="single" w:color="auto" w:sz="4" w:space="0"/>
              <w:left w:val="nil"/>
              <w:bottom w:val="nil"/>
              <w:right w:val="nil"/>
            </w:tcBorders>
            <w:shd w:val="clear" w:color="auto" w:fill="auto"/>
            <w:noWrap/>
            <w:vAlign w:val="center"/>
          </w:tcPr>
          <w:p w14:paraId="4F4EC5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5.09%</w:t>
            </w:r>
          </w:p>
        </w:tc>
      </w:tr>
      <w:tr w14:paraId="47FF794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9" w:hRule="atLeast"/>
        </w:trPr>
        <w:tc>
          <w:tcPr>
            <w:tcW w:w="1818" w:type="dxa"/>
            <w:tcBorders>
              <w:top w:val="nil"/>
              <w:left w:val="nil"/>
              <w:bottom w:val="nil"/>
              <w:right w:val="nil"/>
            </w:tcBorders>
            <w:shd w:val="clear" w:color="auto" w:fill="auto"/>
            <w:noWrap/>
            <w:vAlign w:val="center"/>
          </w:tcPr>
          <w:p w14:paraId="34D59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882" w:type="dxa"/>
            <w:tcBorders>
              <w:top w:val="nil"/>
              <w:left w:val="nil"/>
              <w:bottom w:val="nil"/>
              <w:right w:val="nil"/>
            </w:tcBorders>
            <w:shd w:val="clear" w:color="auto" w:fill="auto"/>
            <w:noWrap/>
            <w:vAlign w:val="center"/>
          </w:tcPr>
          <w:p w14:paraId="07A129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884" w:type="dxa"/>
            <w:tcBorders>
              <w:top w:val="nil"/>
              <w:left w:val="nil"/>
              <w:bottom w:val="nil"/>
              <w:right w:val="nil"/>
            </w:tcBorders>
            <w:shd w:val="clear" w:color="auto" w:fill="auto"/>
            <w:noWrap/>
            <w:vAlign w:val="center"/>
          </w:tcPr>
          <w:p w14:paraId="7AD3254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2304534.48</w:t>
            </w:r>
          </w:p>
        </w:tc>
        <w:tc>
          <w:tcPr>
            <w:tcW w:w="2483" w:type="dxa"/>
            <w:tcBorders>
              <w:top w:val="nil"/>
              <w:left w:val="nil"/>
              <w:bottom w:val="nil"/>
              <w:right w:val="nil"/>
            </w:tcBorders>
            <w:shd w:val="clear" w:color="auto" w:fill="auto"/>
            <w:noWrap/>
            <w:vAlign w:val="center"/>
          </w:tcPr>
          <w:p w14:paraId="5FD109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11.56%</w:t>
            </w:r>
          </w:p>
        </w:tc>
      </w:tr>
      <w:tr w14:paraId="4CC1AFC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3579B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882" w:type="dxa"/>
            <w:tcBorders>
              <w:top w:val="nil"/>
              <w:left w:val="nil"/>
              <w:bottom w:val="nil"/>
              <w:right w:val="nil"/>
            </w:tcBorders>
            <w:shd w:val="clear" w:color="auto" w:fill="auto"/>
            <w:noWrap/>
            <w:vAlign w:val="center"/>
          </w:tcPr>
          <w:p w14:paraId="26DE98A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2884" w:type="dxa"/>
            <w:tcBorders>
              <w:top w:val="nil"/>
              <w:left w:val="nil"/>
              <w:bottom w:val="nil"/>
              <w:right w:val="nil"/>
            </w:tcBorders>
            <w:shd w:val="clear" w:color="auto" w:fill="auto"/>
            <w:noWrap/>
            <w:vAlign w:val="center"/>
          </w:tcPr>
          <w:p w14:paraId="4821E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223373.19</w:t>
            </w:r>
          </w:p>
        </w:tc>
        <w:tc>
          <w:tcPr>
            <w:tcW w:w="2483" w:type="dxa"/>
            <w:tcBorders>
              <w:top w:val="nil"/>
              <w:left w:val="nil"/>
              <w:bottom w:val="nil"/>
              <w:right w:val="nil"/>
            </w:tcBorders>
            <w:shd w:val="clear" w:color="auto" w:fill="auto"/>
            <w:noWrap/>
            <w:vAlign w:val="center"/>
          </w:tcPr>
          <w:p w14:paraId="3F7D0D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1.12%</w:t>
            </w:r>
          </w:p>
        </w:tc>
      </w:tr>
      <w:tr w14:paraId="2AAA1A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55C3B0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882" w:type="dxa"/>
            <w:tcBorders>
              <w:top w:val="nil"/>
              <w:left w:val="nil"/>
              <w:bottom w:val="nil"/>
              <w:right w:val="nil"/>
            </w:tcBorders>
            <w:shd w:val="clear" w:color="auto" w:fill="auto"/>
            <w:noWrap/>
            <w:vAlign w:val="center"/>
          </w:tcPr>
          <w:p w14:paraId="3B2D0B2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884" w:type="dxa"/>
            <w:tcBorders>
              <w:top w:val="nil"/>
              <w:left w:val="nil"/>
              <w:bottom w:val="nil"/>
              <w:right w:val="nil"/>
            </w:tcBorders>
            <w:shd w:val="clear" w:color="auto" w:fill="auto"/>
            <w:noWrap/>
            <w:vAlign w:val="center"/>
          </w:tcPr>
          <w:p w14:paraId="79988B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846415.23</w:t>
            </w:r>
          </w:p>
        </w:tc>
        <w:tc>
          <w:tcPr>
            <w:tcW w:w="2483" w:type="dxa"/>
            <w:tcBorders>
              <w:top w:val="nil"/>
              <w:left w:val="nil"/>
              <w:bottom w:val="nil"/>
              <w:right w:val="nil"/>
            </w:tcBorders>
            <w:shd w:val="clear" w:color="auto" w:fill="auto"/>
            <w:noWrap/>
            <w:vAlign w:val="center"/>
          </w:tcPr>
          <w:p w14:paraId="03A831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4.24%</w:t>
            </w:r>
          </w:p>
        </w:tc>
      </w:tr>
      <w:tr w14:paraId="50668E6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642146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2882" w:type="dxa"/>
            <w:tcBorders>
              <w:top w:val="nil"/>
              <w:left w:val="nil"/>
              <w:bottom w:val="nil"/>
              <w:right w:val="nil"/>
            </w:tcBorders>
            <w:shd w:val="clear" w:color="auto" w:fill="auto"/>
            <w:noWrap/>
            <w:vAlign w:val="center"/>
          </w:tcPr>
          <w:p w14:paraId="2E95DF2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2884" w:type="dxa"/>
            <w:tcBorders>
              <w:top w:val="nil"/>
              <w:left w:val="nil"/>
              <w:bottom w:val="nil"/>
              <w:right w:val="nil"/>
            </w:tcBorders>
            <w:shd w:val="clear" w:color="auto" w:fill="auto"/>
            <w:noWrap/>
            <w:vAlign w:val="center"/>
          </w:tcPr>
          <w:p w14:paraId="7A305F1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71615.94</w:t>
            </w:r>
          </w:p>
        </w:tc>
        <w:tc>
          <w:tcPr>
            <w:tcW w:w="2483" w:type="dxa"/>
            <w:tcBorders>
              <w:top w:val="nil"/>
              <w:left w:val="nil"/>
              <w:bottom w:val="nil"/>
              <w:right w:val="nil"/>
            </w:tcBorders>
            <w:shd w:val="clear" w:color="auto" w:fill="auto"/>
            <w:noWrap/>
            <w:vAlign w:val="center"/>
          </w:tcPr>
          <w:p w14:paraId="06F17D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0.36%</w:t>
            </w:r>
          </w:p>
        </w:tc>
      </w:tr>
      <w:tr w14:paraId="3F06812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5CCCA9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2882" w:type="dxa"/>
            <w:tcBorders>
              <w:top w:val="nil"/>
              <w:left w:val="nil"/>
              <w:bottom w:val="nil"/>
              <w:right w:val="nil"/>
            </w:tcBorders>
            <w:shd w:val="clear" w:color="auto" w:fill="auto"/>
            <w:noWrap/>
            <w:vAlign w:val="center"/>
          </w:tcPr>
          <w:p w14:paraId="09A9C7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884" w:type="dxa"/>
            <w:tcBorders>
              <w:top w:val="nil"/>
              <w:left w:val="nil"/>
              <w:bottom w:val="nil"/>
              <w:right w:val="nil"/>
            </w:tcBorders>
            <w:shd w:val="clear" w:color="auto" w:fill="auto"/>
            <w:noWrap/>
            <w:vAlign w:val="center"/>
          </w:tcPr>
          <w:p w14:paraId="2BD007E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328405.39</w:t>
            </w:r>
          </w:p>
        </w:tc>
        <w:tc>
          <w:tcPr>
            <w:tcW w:w="2483" w:type="dxa"/>
            <w:tcBorders>
              <w:top w:val="nil"/>
              <w:left w:val="nil"/>
              <w:bottom w:val="nil"/>
              <w:right w:val="nil"/>
            </w:tcBorders>
            <w:shd w:val="clear" w:color="auto" w:fill="auto"/>
            <w:noWrap/>
            <w:vAlign w:val="center"/>
          </w:tcPr>
          <w:p w14:paraId="44A53C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1.65%</w:t>
            </w:r>
          </w:p>
        </w:tc>
      </w:tr>
      <w:tr w14:paraId="74EDBF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6A5C134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2882" w:type="dxa"/>
            <w:tcBorders>
              <w:top w:val="nil"/>
              <w:left w:val="nil"/>
              <w:bottom w:val="nil"/>
              <w:right w:val="nil"/>
            </w:tcBorders>
            <w:shd w:val="clear" w:color="auto" w:fill="auto"/>
            <w:noWrap/>
            <w:vAlign w:val="center"/>
          </w:tcPr>
          <w:p w14:paraId="29E897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884" w:type="dxa"/>
            <w:tcBorders>
              <w:top w:val="nil"/>
              <w:left w:val="nil"/>
              <w:bottom w:val="nil"/>
              <w:right w:val="nil"/>
            </w:tcBorders>
            <w:shd w:val="clear" w:color="auto" w:fill="auto"/>
            <w:noWrap/>
            <w:vAlign w:val="center"/>
          </w:tcPr>
          <w:p w14:paraId="435C60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1083863.55</w:t>
            </w:r>
          </w:p>
        </w:tc>
        <w:tc>
          <w:tcPr>
            <w:tcW w:w="2483" w:type="dxa"/>
            <w:tcBorders>
              <w:top w:val="nil"/>
              <w:left w:val="nil"/>
              <w:bottom w:val="nil"/>
              <w:right w:val="nil"/>
            </w:tcBorders>
            <w:shd w:val="clear" w:color="auto" w:fill="auto"/>
            <w:noWrap/>
            <w:vAlign w:val="center"/>
          </w:tcPr>
          <w:p w14:paraId="1F81FD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5.44%</w:t>
            </w:r>
          </w:p>
        </w:tc>
      </w:tr>
      <w:tr w14:paraId="6704D6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818" w:type="dxa"/>
            <w:tcBorders>
              <w:top w:val="nil"/>
              <w:left w:val="nil"/>
              <w:bottom w:val="nil"/>
              <w:right w:val="nil"/>
            </w:tcBorders>
            <w:shd w:val="clear" w:color="auto" w:fill="auto"/>
            <w:noWrap/>
            <w:vAlign w:val="center"/>
          </w:tcPr>
          <w:p w14:paraId="1642D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2882" w:type="dxa"/>
            <w:tcBorders>
              <w:top w:val="nil"/>
              <w:left w:val="nil"/>
              <w:bottom w:val="nil"/>
              <w:right w:val="nil"/>
            </w:tcBorders>
            <w:shd w:val="clear" w:color="auto" w:fill="auto"/>
            <w:noWrap/>
            <w:vAlign w:val="center"/>
          </w:tcPr>
          <w:p w14:paraId="6BEB47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884" w:type="dxa"/>
            <w:tcBorders>
              <w:top w:val="nil"/>
              <w:left w:val="nil"/>
              <w:bottom w:val="nil"/>
              <w:right w:val="nil"/>
            </w:tcBorders>
            <w:shd w:val="clear" w:color="auto" w:fill="auto"/>
            <w:noWrap/>
            <w:vAlign w:val="center"/>
          </w:tcPr>
          <w:p w14:paraId="771A4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305995.68</w:t>
            </w:r>
          </w:p>
        </w:tc>
        <w:tc>
          <w:tcPr>
            <w:tcW w:w="2483" w:type="dxa"/>
            <w:tcBorders>
              <w:top w:val="nil"/>
              <w:left w:val="nil"/>
              <w:bottom w:val="nil"/>
              <w:right w:val="nil"/>
            </w:tcBorders>
            <w:shd w:val="clear" w:color="auto" w:fill="auto"/>
            <w:noWrap/>
            <w:vAlign w:val="center"/>
          </w:tcPr>
          <w:p w14:paraId="55327C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1.53%</w:t>
            </w:r>
          </w:p>
        </w:tc>
      </w:tr>
      <w:tr w14:paraId="5CC3FC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57CE0A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2882" w:type="dxa"/>
            <w:tcBorders>
              <w:top w:val="nil"/>
              <w:left w:val="nil"/>
              <w:bottom w:val="nil"/>
              <w:right w:val="nil"/>
            </w:tcBorders>
            <w:shd w:val="clear" w:color="auto" w:fill="auto"/>
            <w:noWrap/>
            <w:vAlign w:val="center"/>
          </w:tcPr>
          <w:p w14:paraId="2BE4373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2884" w:type="dxa"/>
            <w:tcBorders>
              <w:top w:val="nil"/>
              <w:left w:val="nil"/>
              <w:bottom w:val="nil"/>
              <w:right w:val="nil"/>
            </w:tcBorders>
            <w:shd w:val="clear" w:color="auto" w:fill="auto"/>
            <w:noWrap/>
            <w:vAlign w:val="center"/>
          </w:tcPr>
          <w:p w14:paraId="37AF9B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15536.59</w:t>
            </w:r>
          </w:p>
        </w:tc>
        <w:tc>
          <w:tcPr>
            <w:tcW w:w="2483" w:type="dxa"/>
            <w:tcBorders>
              <w:top w:val="nil"/>
              <w:left w:val="nil"/>
              <w:bottom w:val="nil"/>
              <w:right w:val="nil"/>
            </w:tcBorders>
            <w:shd w:val="clear" w:color="auto" w:fill="auto"/>
            <w:noWrap/>
            <w:vAlign w:val="center"/>
          </w:tcPr>
          <w:p w14:paraId="66F079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w:t>
            </w:r>
          </w:p>
        </w:tc>
      </w:tr>
      <w:tr w14:paraId="0EB27C8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2FF189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2882" w:type="dxa"/>
            <w:tcBorders>
              <w:top w:val="nil"/>
              <w:left w:val="nil"/>
              <w:bottom w:val="nil"/>
              <w:right w:val="nil"/>
            </w:tcBorders>
            <w:shd w:val="clear" w:color="auto" w:fill="auto"/>
            <w:noWrap/>
            <w:vAlign w:val="center"/>
          </w:tcPr>
          <w:p w14:paraId="241FD2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884" w:type="dxa"/>
            <w:tcBorders>
              <w:top w:val="nil"/>
              <w:left w:val="nil"/>
              <w:bottom w:val="nil"/>
              <w:right w:val="nil"/>
            </w:tcBorders>
            <w:shd w:val="clear" w:color="auto" w:fill="auto"/>
            <w:noWrap/>
            <w:vAlign w:val="center"/>
          </w:tcPr>
          <w:p w14:paraId="4B1C49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114526.32</w:t>
            </w:r>
          </w:p>
        </w:tc>
        <w:tc>
          <w:tcPr>
            <w:tcW w:w="2483" w:type="dxa"/>
            <w:tcBorders>
              <w:top w:val="nil"/>
              <w:left w:val="nil"/>
              <w:bottom w:val="nil"/>
              <w:right w:val="nil"/>
            </w:tcBorders>
            <w:shd w:val="clear" w:color="auto" w:fill="auto"/>
            <w:noWrap/>
            <w:vAlign w:val="center"/>
          </w:tcPr>
          <w:p w14:paraId="3464875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0.57%</w:t>
            </w:r>
          </w:p>
        </w:tc>
      </w:tr>
      <w:tr w14:paraId="0CAE795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5D29C9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2882" w:type="dxa"/>
            <w:tcBorders>
              <w:top w:val="nil"/>
              <w:left w:val="nil"/>
              <w:bottom w:val="nil"/>
              <w:right w:val="nil"/>
            </w:tcBorders>
            <w:shd w:val="clear" w:color="auto" w:fill="auto"/>
            <w:noWrap/>
            <w:vAlign w:val="center"/>
          </w:tcPr>
          <w:p w14:paraId="4E760C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884" w:type="dxa"/>
            <w:tcBorders>
              <w:top w:val="nil"/>
              <w:left w:val="nil"/>
              <w:bottom w:val="nil"/>
              <w:right w:val="nil"/>
            </w:tcBorders>
            <w:shd w:val="clear" w:color="auto" w:fill="auto"/>
            <w:noWrap/>
            <w:vAlign w:val="center"/>
          </w:tcPr>
          <w:p w14:paraId="5FB60F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1295253.93</w:t>
            </w:r>
          </w:p>
        </w:tc>
        <w:tc>
          <w:tcPr>
            <w:tcW w:w="2483" w:type="dxa"/>
            <w:tcBorders>
              <w:top w:val="nil"/>
              <w:left w:val="nil"/>
              <w:bottom w:val="nil"/>
              <w:right w:val="nil"/>
            </w:tcBorders>
            <w:shd w:val="clear" w:color="auto" w:fill="auto"/>
            <w:noWrap/>
            <w:vAlign w:val="center"/>
          </w:tcPr>
          <w:p w14:paraId="76BE36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6.50%</w:t>
            </w:r>
          </w:p>
        </w:tc>
      </w:tr>
      <w:tr w14:paraId="05395C0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E0815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2882" w:type="dxa"/>
            <w:tcBorders>
              <w:top w:val="nil"/>
              <w:left w:val="nil"/>
              <w:bottom w:val="nil"/>
              <w:right w:val="nil"/>
            </w:tcBorders>
            <w:shd w:val="clear" w:color="auto" w:fill="auto"/>
            <w:noWrap/>
            <w:vAlign w:val="center"/>
          </w:tcPr>
          <w:p w14:paraId="50562F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2884" w:type="dxa"/>
            <w:tcBorders>
              <w:top w:val="nil"/>
              <w:left w:val="nil"/>
              <w:bottom w:val="nil"/>
              <w:right w:val="nil"/>
            </w:tcBorders>
            <w:shd w:val="clear" w:color="auto" w:fill="auto"/>
            <w:noWrap/>
            <w:vAlign w:val="center"/>
          </w:tcPr>
          <w:p w14:paraId="30A93F5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23948.93</w:t>
            </w:r>
          </w:p>
        </w:tc>
        <w:tc>
          <w:tcPr>
            <w:tcW w:w="2483" w:type="dxa"/>
            <w:tcBorders>
              <w:top w:val="nil"/>
              <w:left w:val="nil"/>
              <w:bottom w:val="nil"/>
              <w:right w:val="nil"/>
            </w:tcBorders>
            <w:shd w:val="clear" w:color="auto" w:fill="auto"/>
            <w:noWrap/>
            <w:vAlign w:val="center"/>
          </w:tcPr>
          <w:p w14:paraId="3FE2CE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0.12%</w:t>
            </w:r>
          </w:p>
        </w:tc>
      </w:tr>
      <w:tr w14:paraId="5D1FC7E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trPr>
        <w:tc>
          <w:tcPr>
            <w:tcW w:w="1818" w:type="dxa"/>
            <w:tcBorders>
              <w:top w:val="nil"/>
              <w:left w:val="nil"/>
              <w:bottom w:val="nil"/>
              <w:right w:val="nil"/>
            </w:tcBorders>
            <w:shd w:val="clear" w:color="auto" w:fill="auto"/>
            <w:noWrap/>
            <w:vAlign w:val="center"/>
          </w:tcPr>
          <w:p w14:paraId="549717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2882" w:type="dxa"/>
            <w:tcBorders>
              <w:top w:val="nil"/>
              <w:left w:val="nil"/>
              <w:bottom w:val="nil"/>
              <w:right w:val="nil"/>
            </w:tcBorders>
            <w:shd w:val="clear" w:color="auto" w:fill="auto"/>
            <w:noWrap/>
            <w:vAlign w:val="center"/>
          </w:tcPr>
          <w:p w14:paraId="098501A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2884" w:type="dxa"/>
            <w:tcBorders>
              <w:top w:val="nil"/>
              <w:left w:val="nil"/>
              <w:bottom w:val="nil"/>
              <w:right w:val="nil"/>
            </w:tcBorders>
            <w:shd w:val="clear" w:color="auto" w:fill="auto"/>
            <w:noWrap/>
            <w:vAlign w:val="center"/>
          </w:tcPr>
          <w:p w14:paraId="40738DD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13634.2</w:t>
            </w:r>
          </w:p>
        </w:tc>
        <w:tc>
          <w:tcPr>
            <w:tcW w:w="2483" w:type="dxa"/>
            <w:tcBorders>
              <w:top w:val="nil"/>
              <w:left w:val="nil"/>
              <w:bottom w:val="nil"/>
              <w:right w:val="nil"/>
            </w:tcBorders>
            <w:shd w:val="clear" w:color="auto" w:fill="auto"/>
            <w:noWrap/>
            <w:vAlign w:val="center"/>
          </w:tcPr>
          <w:p w14:paraId="57F544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w:t>
            </w:r>
          </w:p>
        </w:tc>
      </w:tr>
      <w:tr w14:paraId="68D05CF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8" w:hRule="atLeast"/>
        </w:trPr>
        <w:tc>
          <w:tcPr>
            <w:tcW w:w="1818" w:type="dxa"/>
            <w:tcBorders>
              <w:top w:val="nil"/>
              <w:left w:val="nil"/>
              <w:bottom w:val="nil"/>
              <w:right w:val="nil"/>
            </w:tcBorders>
            <w:shd w:val="clear" w:color="auto" w:fill="auto"/>
            <w:noWrap/>
            <w:vAlign w:val="center"/>
          </w:tcPr>
          <w:p w14:paraId="260CFE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2882" w:type="dxa"/>
            <w:tcBorders>
              <w:top w:val="nil"/>
              <w:left w:val="nil"/>
              <w:bottom w:val="nil"/>
              <w:right w:val="nil"/>
            </w:tcBorders>
            <w:shd w:val="clear" w:color="auto" w:fill="auto"/>
            <w:noWrap/>
            <w:vAlign w:val="center"/>
          </w:tcPr>
          <w:p w14:paraId="1318C0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2884" w:type="dxa"/>
            <w:tcBorders>
              <w:top w:val="nil"/>
              <w:left w:val="nil"/>
              <w:bottom w:val="nil"/>
              <w:right w:val="nil"/>
            </w:tcBorders>
            <w:shd w:val="clear" w:color="auto" w:fill="auto"/>
            <w:noWrap/>
            <w:vAlign w:val="center"/>
          </w:tcPr>
          <w:p w14:paraId="1B8088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268.9</w:t>
            </w:r>
          </w:p>
        </w:tc>
        <w:tc>
          <w:tcPr>
            <w:tcW w:w="2483" w:type="dxa"/>
            <w:tcBorders>
              <w:top w:val="nil"/>
              <w:left w:val="nil"/>
              <w:bottom w:val="nil"/>
              <w:right w:val="nil"/>
            </w:tcBorders>
            <w:shd w:val="clear" w:color="auto" w:fill="auto"/>
            <w:noWrap/>
            <w:vAlign w:val="center"/>
          </w:tcPr>
          <w:p w14:paraId="71A083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0.0013%</w:t>
            </w:r>
          </w:p>
        </w:tc>
      </w:tr>
      <w:tr w14:paraId="022CA7D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00AC0F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2882" w:type="dxa"/>
            <w:tcBorders>
              <w:top w:val="nil"/>
              <w:left w:val="nil"/>
              <w:bottom w:val="nil"/>
              <w:right w:val="nil"/>
            </w:tcBorders>
            <w:shd w:val="clear" w:color="auto" w:fill="auto"/>
            <w:noWrap/>
            <w:vAlign w:val="center"/>
          </w:tcPr>
          <w:p w14:paraId="1718FC5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884" w:type="dxa"/>
            <w:tcBorders>
              <w:top w:val="nil"/>
              <w:left w:val="nil"/>
              <w:bottom w:val="nil"/>
              <w:right w:val="nil"/>
            </w:tcBorders>
            <w:shd w:val="clear" w:color="auto" w:fill="auto"/>
            <w:noWrap/>
            <w:vAlign w:val="center"/>
          </w:tcPr>
          <w:p w14:paraId="64AA7B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1513303.61</w:t>
            </w:r>
          </w:p>
        </w:tc>
        <w:tc>
          <w:tcPr>
            <w:tcW w:w="2483" w:type="dxa"/>
            <w:tcBorders>
              <w:top w:val="nil"/>
              <w:left w:val="nil"/>
              <w:bottom w:val="nil"/>
              <w:right w:val="nil"/>
            </w:tcBorders>
            <w:shd w:val="clear" w:color="auto" w:fill="auto"/>
            <w:noWrap/>
            <w:vAlign w:val="center"/>
          </w:tcPr>
          <w:p w14:paraId="0AA0037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7.59%</w:t>
            </w:r>
          </w:p>
        </w:tc>
      </w:tr>
      <w:tr w14:paraId="6018817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FE8EB6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2882" w:type="dxa"/>
            <w:tcBorders>
              <w:top w:val="nil"/>
              <w:left w:val="nil"/>
              <w:bottom w:val="nil"/>
              <w:right w:val="nil"/>
            </w:tcBorders>
            <w:shd w:val="clear" w:color="auto" w:fill="auto"/>
            <w:noWrap/>
            <w:vAlign w:val="center"/>
          </w:tcPr>
          <w:p w14:paraId="688D6FB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884" w:type="dxa"/>
            <w:tcBorders>
              <w:top w:val="nil"/>
              <w:left w:val="nil"/>
              <w:bottom w:val="nil"/>
              <w:right w:val="nil"/>
            </w:tcBorders>
            <w:shd w:val="clear" w:color="auto" w:fill="auto"/>
            <w:noWrap/>
            <w:vAlign w:val="center"/>
          </w:tcPr>
          <w:p w14:paraId="2C989A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1052547.96</w:t>
            </w:r>
          </w:p>
        </w:tc>
        <w:tc>
          <w:tcPr>
            <w:tcW w:w="2483" w:type="dxa"/>
            <w:tcBorders>
              <w:top w:val="nil"/>
              <w:left w:val="nil"/>
              <w:bottom w:val="nil"/>
              <w:right w:val="nil"/>
            </w:tcBorders>
            <w:shd w:val="clear" w:color="auto" w:fill="auto"/>
            <w:noWrap/>
            <w:vAlign w:val="center"/>
          </w:tcPr>
          <w:p w14:paraId="3B9C71C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5.28%</w:t>
            </w:r>
          </w:p>
        </w:tc>
      </w:tr>
      <w:tr w14:paraId="1AB4C7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1" w:hRule="atLeast"/>
        </w:trPr>
        <w:tc>
          <w:tcPr>
            <w:tcW w:w="1818" w:type="dxa"/>
            <w:tcBorders>
              <w:top w:val="nil"/>
              <w:left w:val="nil"/>
              <w:bottom w:val="nil"/>
              <w:right w:val="nil"/>
            </w:tcBorders>
            <w:shd w:val="clear" w:color="auto" w:fill="auto"/>
            <w:noWrap/>
            <w:vAlign w:val="center"/>
          </w:tcPr>
          <w:p w14:paraId="5F9F17D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2882" w:type="dxa"/>
            <w:tcBorders>
              <w:top w:val="nil"/>
              <w:left w:val="nil"/>
              <w:bottom w:val="nil"/>
              <w:right w:val="nil"/>
            </w:tcBorders>
            <w:shd w:val="clear" w:color="auto" w:fill="auto"/>
            <w:noWrap/>
            <w:vAlign w:val="center"/>
          </w:tcPr>
          <w:p w14:paraId="6D3AE34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2884" w:type="dxa"/>
            <w:tcBorders>
              <w:top w:val="nil"/>
              <w:left w:val="nil"/>
              <w:bottom w:val="nil"/>
              <w:right w:val="nil"/>
            </w:tcBorders>
            <w:shd w:val="clear" w:color="auto" w:fill="auto"/>
            <w:noWrap/>
            <w:vAlign w:val="center"/>
          </w:tcPr>
          <w:p w14:paraId="3C019E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413367.35</w:t>
            </w:r>
          </w:p>
        </w:tc>
        <w:tc>
          <w:tcPr>
            <w:tcW w:w="2483" w:type="dxa"/>
            <w:tcBorders>
              <w:top w:val="nil"/>
              <w:left w:val="nil"/>
              <w:bottom w:val="nil"/>
              <w:right w:val="nil"/>
            </w:tcBorders>
            <w:shd w:val="clear" w:color="auto" w:fill="auto"/>
            <w:noWrap/>
            <w:vAlign w:val="center"/>
          </w:tcPr>
          <w:p w14:paraId="74099E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2.07%</w:t>
            </w:r>
          </w:p>
        </w:tc>
      </w:tr>
      <w:tr w14:paraId="108E8F2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212A1E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2882" w:type="dxa"/>
            <w:tcBorders>
              <w:top w:val="nil"/>
              <w:left w:val="nil"/>
              <w:bottom w:val="nil"/>
              <w:right w:val="nil"/>
            </w:tcBorders>
            <w:shd w:val="clear" w:color="auto" w:fill="auto"/>
            <w:noWrap/>
            <w:vAlign w:val="center"/>
          </w:tcPr>
          <w:p w14:paraId="51AB81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2884" w:type="dxa"/>
            <w:tcBorders>
              <w:top w:val="nil"/>
              <w:left w:val="nil"/>
              <w:bottom w:val="nil"/>
              <w:right w:val="nil"/>
            </w:tcBorders>
            <w:shd w:val="clear" w:color="auto" w:fill="auto"/>
            <w:noWrap/>
            <w:vAlign w:val="center"/>
          </w:tcPr>
          <w:p w14:paraId="2A01B3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145123.36</w:t>
            </w:r>
          </w:p>
        </w:tc>
        <w:tc>
          <w:tcPr>
            <w:tcW w:w="2483" w:type="dxa"/>
            <w:tcBorders>
              <w:top w:val="nil"/>
              <w:left w:val="nil"/>
              <w:bottom w:val="nil"/>
              <w:right w:val="nil"/>
            </w:tcBorders>
            <w:shd w:val="clear" w:color="auto" w:fill="auto"/>
            <w:noWrap/>
            <w:vAlign w:val="center"/>
          </w:tcPr>
          <w:p w14:paraId="16230C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0.73%</w:t>
            </w:r>
          </w:p>
        </w:tc>
      </w:tr>
      <w:tr w14:paraId="59BA98C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7B241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2882" w:type="dxa"/>
            <w:tcBorders>
              <w:top w:val="nil"/>
              <w:left w:val="nil"/>
              <w:bottom w:val="nil"/>
              <w:right w:val="nil"/>
            </w:tcBorders>
            <w:shd w:val="clear" w:color="auto" w:fill="auto"/>
            <w:noWrap/>
            <w:vAlign w:val="center"/>
          </w:tcPr>
          <w:p w14:paraId="4304405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2884" w:type="dxa"/>
            <w:tcBorders>
              <w:top w:val="nil"/>
              <w:left w:val="nil"/>
              <w:bottom w:val="nil"/>
              <w:right w:val="nil"/>
            </w:tcBorders>
            <w:shd w:val="clear" w:color="auto" w:fill="auto"/>
            <w:noWrap/>
            <w:vAlign w:val="center"/>
          </w:tcPr>
          <w:p w14:paraId="6D6B136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60169.55</w:t>
            </w:r>
          </w:p>
        </w:tc>
        <w:tc>
          <w:tcPr>
            <w:tcW w:w="2483" w:type="dxa"/>
            <w:tcBorders>
              <w:top w:val="nil"/>
              <w:left w:val="nil"/>
              <w:bottom w:val="nil"/>
              <w:right w:val="nil"/>
            </w:tcBorders>
            <w:shd w:val="clear" w:color="auto" w:fill="auto"/>
            <w:noWrap/>
            <w:vAlign w:val="center"/>
          </w:tcPr>
          <w:p w14:paraId="71CC27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0.30%</w:t>
            </w:r>
          </w:p>
        </w:tc>
      </w:tr>
      <w:tr w14:paraId="0028FB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331B977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2882" w:type="dxa"/>
            <w:tcBorders>
              <w:top w:val="nil"/>
              <w:left w:val="nil"/>
              <w:bottom w:val="nil"/>
              <w:right w:val="nil"/>
            </w:tcBorders>
            <w:shd w:val="clear" w:color="auto" w:fill="auto"/>
            <w:noWrap/>
            <w:vAlign w:val="center"/>
          </w:tcPr>
          <w:p w14:paraId="2AF4DC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2884" w:type="dxa"/>
            <w:tcBorders>
              <w:top w:val="nil"/>
              <w:left w:val="nil"/>
              <w:bottom w:val="nil"/>
              <w:right w:val="nil"/>
            </w:tcBorders>
            <w:shd w:val="clear" w:color="auto" w:fill="auto"/>
            <w:noWrap/>
            <w:vAlign w:val="center"/>
          </w:tcPr>
          <w:p w14:paraId="675807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76770.97</w:t>
            </w:r>
          </w:p>
        </w:tc>
        <w:tc>
          <w:tcPr>
            <w:tcW w:w="2483" w:type="dxa"/>
            <w:tcBorders>
              <w:top w:val="nil"/>
              <w:left w:val="nil"/>
              <w:bottom w:val="nil"/>
              <w:right w:val="nil"/>
            </w:tcBorders>
            <w:shd w:val="clear" w:color="auto" w:fill="auto"/>
            <w:noWrap/>
            <w:vAlign w:val="center"/>
          </w:tcPr>
          <w:p w14:paraId="3187CFA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762231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58AA031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2882" w:type="dxa"/>
            <w:tcBorders>
              <w:top w:val="nil"/>
              <w:left w:val="nil"/>
              <w:bottom w:val="nil"/>
              <w:right w:val="nil"/>
            </w:tcBorders>
            <w:shd w:val="clear" w:color="auto" w:fill="auto"/>
            <w:noWrap/>
            <w:vAlign w:val="center"/>
          </w:tcPr>
          <w:p w14:paraId="2BBDA8A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2884" w:type="dxa"/>
            <w:tcBorders>
              <w:top w:val="nil"/>
              <w:left w:val="nil"/>
              <w:bottom w:val="nil"/>
              <w:right w:val="nil"/>
            </w:tcBorders>
            <w:shd w:val="clear" w:color="auto" w:fill="auto"/>
            <w:noWrap/>
            <w:vAlign w:val="center"/>
          </w:tcPr>
          <w:p w14:paraId="7D97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39499.73</w:t>
            </w:r>
          </w:p>
        </w:tc>
        <w:tc>
          <w:tcPr>
            <w:tcW w:w="2483" w:type="dxa"/>
            <w:tcBorders>
              <w:top w:val="nil"/>
              <w:left w:val="nil"/>
              <w:bottom w:val="nil"/>
              <w:right w:val="nil"/>
            </w:tcBorders>
            <w:shd w:val="clear" w:color="auto" w:fill="auto"/>
            <w:noWrap/>
            <w:vAlign w:val="center"/>
          </w:tcPr>
          <w:p w14:paraId="6FC734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0.20%</w:t>
            </w:r>
          </w:p>
        </w:tc>
      </w:tr>
      <w:tr w14:paraId="7BB505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6E3044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2882" w:type="dxa"/>
            <w:tcBorders>
              <w:top w:val="nil"/>
              <w:left w:val="nil"/>
              <w:bottom w:val="nil"/>
              <w:right w:val="nil"/>
            </w:tcBorders>
            <w:shd w:val="clear" w:color="auto" w:fill="auto"/>
            <w:noWrap/>
            <w:vAlign w:val="center"/>
          </w:tcPr>
          <w:p w14:paraId="601796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884" w:type="dxa"/>
            <w:tcBorders>
              <w:top w:val="nil"/>
              <w:left w:val="nil"/>
              <w:bottom w:val="nil"/>
              <w:right w:val="nil"/>
            </w:tcBorders>
            <w:shd w:val="clear" w:color="auto" w:fill="auto"/>
            <w:noWrap/>
            <w:vAlign w:val="center"/>
          </w:tcPr>
          <w:p w14:paraId="7B8201D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5276976.99</w:t>
            </w:r>
          </w:p>
        </w:tc>
        <w:tc>
          <w:tcPr>
            <w:tcW w:w="2483" w:type="dxa"/>
            <w:tcBorders>
              <w:top w:val="nil"/>
              <w:left w:val="nil"/>
              <w:bottom w:val="nil"/>
              <w:right w:val="nil"/>
            </w:tcBorders>
            <w:shd w:val="clear" w:color="auto" w:fill="auto"/>
            <w:noWrap/>
            <w:vAlign w:val="center"/>
          </w:tcPr>
          <w:p w14:paraId="40F504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26.46%</w:t>
            </w:r>
          </w:p>
        </w:tc>
      </w:tr>
      <w:tr w14:paraId="5E85BD8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3156D4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2882" w:type="dxa"/>
            <w:tcBorders>
              <w:top w:val="nil"/>
              <w:left w:val="nil"/>
              <w:bottom w:val="nil"/>
              <w:right w:val="nil"/>
            </w:tcBorders>
            <w:shd w:val="clear" w:color="auto" w:fill="auto"/>
            <w:noWrap/>
            <w:vAlign w:val="center"/>
          </w:tcPr>
          <w:p w14:paraId="11AF2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2884" w:type="dxa"/>
            <w:tcBorders>
              <w:top w:val="nil"/>
              <w:left w:val="nil"/>
              <w:bottom w:val="nil"/>
              <w:right w:val="nil"/>
            </w:tcBorders>
            <w:shd w:val="clear" w:color="auto" w:fill="auto"/>
            <w:noWrap/>
            <w:vAlign w:val="center"/>
          </w:tcPr>
          <w:p w14:paraId="213C9A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2683</w:t>
            </w:r>
          </w:p>
        </w:tc>
        <w:tc>
          <w:tcPr>
            <w:tcW w:w="2483" w:type="dxa"/>
            <w:tcBorders>
              <w:top w:val="nil"/>
              <w:left w:val="nil"/>
              <w:bottom w:val="nil"/>
              <w:right w:val="nil"/>
            </w:tcBorders>
            <w:shd w:val="clear" w:color="auto" w:fill="auto"/>
            <w:noWrap/>
            <w:vAlign w:val="center"/>
          </w:tcPr>
          <w:p w14:paraId="48FD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0.01%</w:t>
            </w:r>
          </w:p>
        </w:tc>
      </w:tr>
      <w:tr w14:paraId="424BA8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F00566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2882" w:type="dxa"/>
            <w:tcBorders>
              <w:top w:val="nil"/>
              <w:left w:val="nil"/>
              <w:bottom w:val="nil"/>
              <w:right w:val="nil"/>
            </w:tcBorders>
            <w:shd w:val="clear" w:color="auto" w:fill="auto"/>
            <w:noWrap/>
            <w:vAlign w:val="center"/>
          </w:tcPr>
          <w:p w14:paraId="038CD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884" w:type="dxa"/>
            <w:tcBorders>
              <w:top w:val="nil"/>
              <w:left w:val="nil"/>
              <w:bottom w:val="nil"/>
              <w:right w:val="nil"/>
            </w:tcBorders>
            <w:shd w:val="clear" w:color="auto" w:fill="auto"/>
            <w:noWrap/>
            <w:vAlign w:val="center"/>
          </w:tcPr>
          <w:p w14:paraId="175B716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3594422.66</w:t>
            </w:r>
          </w:p>
        </w:tc>
        <w:tc>
          <w:tcPr>
            <w:tcW w:w="2483" w:type="dxa"/>
            <w:tcBorders>
              <w:top w:val="nil"/>
              <w:left w:val="nil"/>
              <w:bottom w:val="nil"/>
              <w:right w:val="nil"/>
            </w:tcBorders>
            <w:shd w:val="clear" w:color="auto" w:fill="auto"/>
            <w:noWrap/>
            <w:vAlign w:val="center"/>
          </w:tcPr>
          <w:p w14:paraId="17B05F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18.03%</w:t>
            </w:r>
          </w:p>
        </w:tc>
      </w:tr>
      <w:tr w14:paraId="6C76B8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79377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2882" w:type="dxa"/>
            <w:tcBorders>
              <w:top w:val="nil"/>
              <w:left w:val="nil"/>
              <w:bottom w:val="nil"/>
              <w:right w:val="nil"/>
            </w:tcBorders>
            <w:shd w:val="clear" w:color="auto" w:fill="auto"/>
            <w:noWrap/>
            <w:vAlign w:val="center"/>
          </w:tcPr>
          <w:p w14:paraId="71604E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2884" w:type="dxa"/>
            <w:tcBorders>
              <w:top w:val="nil"/>
              <w:left w:val="nil"/>
              <w:bottom w:val="nil"/>
              <w:right w:val="nil"/>
            </w:tcBorders>
            <w:shd w:val="clear" w:color="auto" w:fill="auto"/>
            <w:noWrap/>
            <w:vAlign w:val="center"/>
          </w:tcPr>
          <w:p w14:paraId="04D20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10371.6</w:t>
            </w:r>
          </w:p>
        </w:tc>
        <w:tc>
          <w:tcPr>
            <w:tcW w:w="2483" w:type="dxa"/>
            <w:tcBorders>
              <w:top w:val="nil"/>
              <w:left w:val="nil"/>
              <w:bottom w:val="nil"/>
              <w:right w:val="nil"/>
            </w:tcBorders>
            <w:shd w:val="clear" w:color="auto" w:fill="auto"/>
            <w:noWrap/>
            <w:vAlign w:val="center"/>
          </w:tcPr>
          <w:p w14:paraId="4D077F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w:t>
            </w:r>
          </w:p>
        </w:tc>
      </w:tr>
      <w:tr w14:paraId="75B6351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trPr>
        <w:tc>
          <w:tcPr>
            <w:tcW w:w="1818" w:type="dxa"/>
            <w:tcBorders>
              <w:top w:val="nil"/>
              <w:left w:val="nil"/>
              <w:bottom w:val="nil"/>
              <w:right w:val="nil"/>
            </w:tcBorders>
            <w:shd w:val="clear" w:color="auto" w:fill="auto"/>
            <w:noWrap/>
            <w:vAlign w:val="center"/>
          </w:tcPr>
          <w:p w14:paraId="5BE35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2882" w:type="dxa"/>
            <w:tcBorders>
              <w:top w:val="nil"/>
              <w:left w:val="nil"/>
              <w:bottom w:val="nil"/>
              <w:right w:val="nil"/>
            </w:tcBorders>
            <w:shd w:val="clear" w:color="auto" w:fill="auto"/>
            <w:noWrap/>
            <w:vAlign w:val="center"/>
          </w:tcPr>
          <w:p w14:paraId="145A3C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2884" w:type="dxa"/>
            <w:tcBorders>
              <w:top w:val="nil"/>
              <w:left w:val="nil"/>
              <w:bottom w:val="nil"/>
              <w:right w:val="nil"/>
            </w:tcBorders>
            <w:shd w:val="clear" w:color="auto" w:fill="auto"/>
            <w:noWrap/>
            <w:vAlign w:val="center"/>
          </w:tcPr>
          <w:p w14:paraId="0C4478C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76487.39</w:t>
            </w:r>
          </w:p>
        </w:tc>
        <w:tc>
          <w:tcPr>
            <w:tcW w:w="2483" w:type="dxa"/>
            <w:tcBorders>
              <w:top w:val="nil"/>
              <w:left w:val="nil"/>
              <w:bottom w:val="nil"/>
              <w:right w:val="nil"/>
            </w:tcBorders>
            <w:shd w:val="clear" w:color="auto" w:fill="auto"/>
            <w:noWrap/>
            <w:vAlign w:val="center"/>
          </w:tcPr>
          <w:p w14:paraId="48583F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3F7D311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4D7D704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2882" w:type="dxa"/>
            <w:tcBorders>
              <w:top w:val="nil"/>
              <w:left w:val="nil"/>
              <w:bottom w:val="nil"/>
              <w:right w:val="nil"/>
            </w:tcBorders>
            <w:shd w:val="clear" w:color="auto" w:fill="auto"/>
            <w:noWrap/>
            <w:vAlign w:val="center"/>
          </w:tcPr>
          <w:p w14:paraId="105FEED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2884" w:type="dxa"/>
            <w:tcBorders>
              <w:top w:val="nil"/>
              <w:left w:val="nil"/>
              <w:bottom w:val="nil"/>
              <w:right w:val="nil"/>
            </w:tcBorders>
            <w:shd w:val="clear" w:color="auto" w:fill="auto"/>
            <w:noWrap/>
            <w:vAlign w:val="center"/>
          </w:tcPr>
          <w:p w14:paraId="40E339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30888.73</w:t>
            </w:r>
          </w:p>
        </w:tc>
        <w:tc>
          <w:tcPr>
            <w:tcW w:w="2483" w:type="dxa"/>
            <w:tcBorders>
              <w:top w:val="nil"/>
              <w:left w:val="nil"/>
              <w:bottom w:val="nil"/>
              <w:right w:val="nil"/>
            </w:tcBorders>
            <w:shd w:val="clear" w:color="auto" w:fill="auto"/>
            <w:noWrap/>
            <w:vAlign w:val="center"/>
          </w:tcPr>
          <w:p w14:paraId="1B92B49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0.15%</w:t>
            </w:r>
          </w:p>
        </w:tc>
      </w:tr>
      <w:tr w14:paraId="0A8E67D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9" w:hRule="atLeast"/>
        </w:trPr>
        <w:tc>
          <w:tcPr>
            <w:tcW w:w="1818" w:type="dxa"/>
            <w:tcBorders>
              <w:top w:val="nil"/>
              <w:left w:val="nil"/>
              <w:right w:val="nil"/>
            </w:tcBorders>
            <w:shd w:val="clear" w:color="auto" w:fill="auto"/>
            <w:noWrap/>
            <w:vAlign w:val="center"/>
          </w:tcPr>
          <w:p w14:paraId="0B8598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2882" w:type="dxa"/>
            <w:tcBorders>
              <w:top w:val="nil"/>
              <w:left w:val="nil"/>
              <w:right w:val="nil"/>
            </w:tcBorders>
            <w:shd w:val="clear" w:color="auto" w:fill="auto"/>
            <w:noWrap/>
            <w:vAlign w:val="center"/>
          </w:tcPr>
          <w:p w14:paraId="07D63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2884" w:type="dxa"/>
            <w:tcBorders>
              <w:top w:val="nil"/>
              <w:left w:val="nil"/>
              <w:right w:val="nil"/>
            </w:tcBorders>
            <w:shd w:val="clear" w:color="auto" w:fill="auto"/>
            <w:noWrap/>
            <w:vAlign w:val="center"/>
          </w:tcPr>
          <w:p w14:paraId="6ADC246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5160.82</w:t>
            </w:r>
          </w:p>
        </w:tc>
        <w:tc>
          <w:tcPr>
            <w:tcW w:w="2483" w:type="dxa"/>
            <w:tcBorders>
              <w:top w:val="nil"/>
              <w:left w:val="nil"/>
              <w:right w:val="nil"/>
            </w:tcBorders>
            <w:shd w:val="clear" w:color="auto" w:fill="auto"/>
            <w:noWrap/>
            <w:vAlign w:val="center"/>
          </w:tcPr>
          <w:p w14:paraId="51FC1197">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w:t>
            </w:r>
          </w:p>
        </w:tc>
      </w:tr>
    </w:tbl>
    <w:p w14:paraId="13F37436">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05450" cy="3895725"/>
            <wp:effectExtent l="0" t="0" r="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505450" cy="3895725"/>
                    </a:xfrm>
                    <a:prstGeom prst="rect">
                      <a:avLst/>
                    </a:prstGeom>
                    <a:noFill/>
                    <a:ln w="9525">
                      <a:noFill/>
                    </a:ln>
                  </pic:spPr>
                </pic:pic>
              </a:graphicData>
            </a:graphic>
          </wp:inline>
        </w:drawing>
      </w:r>
    </w:p>
    <w:p w14:paraId="3F14D581">
      <w:pPr>
        <w:bidi w:val="0"/>
        <w:ind w:firstLine="2741" w:firstLineChars="13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图5.5  二级品类销售额（TOP15）</w:t>
      </w:r>
    </w:p>
    <w:p w14:paraId="085E5458">
      <w:pPr>
        <w:bidi w:val="0"/>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5246370" cy="4135755"/>
            <wp:effectExtent l="0" t="0" r="11430" b="1714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246370" cy="4135755"/>
                    </a:xfrm>
                    <a:prstGeom prst="rect">
                      <a:avLst/>
                    </a:prstGeom>
                    <a:noFill/>
                    <a:ln w="9525">
                      <a:noFill/>
                    </a:ln>
                  </pic:spPr>
                </pic:pic>
              </a:graphicData>
            </a:graphic>
          </wp:inline>
        </w:drawing>
      </w:r>
    </w:p>
    <w:p w14:paraId="51972A0A">
      <w:pPr>
        <w:bidi w:val="0"/>
        <w:ind w:firstLine="2530" w:firstLineChars="12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图5.6  二级品类销售额百分比</w:t>
      </w:r>
    </w:p>
    <w:p w14:paraId="2221E05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sz w:val="24"/>
          <w:szCs w:val="24"/>
        </w:rPr>
      </w:pPr>
      <w:r>
        <w:rPr>
          <w:rFonts w:hint="eastAsia" w:ascii="黑体" w:hAnsi="黑体" w:eastAsia="黑体" w:cs="黑体"/>
          <w:b w:val="0"/>
          <w:bCs w:val="0"/>
          <w:sz w:val="24"/>
          <w:szCs w:val="24"/>
          <w:lang w:val="en-US" w:eastAsia="zh-CN"/>
        </w:rPr>
        <w:t>从研究数据中我们可以直观了解到：</w:t>
      </w:r>
      <w:r>
        <w:rPr>
          <w:rFonts w:hint="eastAsia" w:ascii="黑体" w:hAnsi="黑体" w:eastAsia="黑体" w:cs="黑体"/>
          <w:sz w:val="24"/>
          <w:szCs w:val="24"/>
        </w:rPr>
        <w:t>烟酒水饮（占比26.46%）、粮油调味（18.03%）、休闲食品（11.56%）、家居用品（7.59%）</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冷藏乳制品（5.44%）、</w:t>
      </w:r>
      <w:r>
        <w:rPr>
          <w:rFonts w:hint="eastAsia" w:ascii="黑体" w:hAnsi="黑体" w:eastAsia="黑体" w:cs="黑体"/>
          <w:sz w:val="24"/>
          <w:szCs w:val="24"/>
        </w:rPr>
        <w:t>卫生用品（6.50%）</w:t>
      </w:r>
      <w:r>
        <w:rPr>
          <w:rFonts w:hint="eastAsia" w:ascii="黑体" w:hAnsi="黑体" w:eastAsia="黑体" w:cs="黑体"/>
          <w:sz w:val="24"/>
          <w:szCs w:val="24"/>
          <w:lang w:val="en-US" w:eastAsia="zh-CN"/>
        </w:rPr>
        <w:t>和个人清洁（5.09%）七</w:t>
      </w:r>
      <w:r>
        <w:rPr>
          <w:rFonts w:hint="eastAsia" w:ascii="黑体" w:hAnsi="黑体" w:eastAsia="黑体" w:cs="黑体"/>
          <w:sz w:val="24"/>
          <w:szCs w:val="24"/>
        </w:rPr>
        <w:t>大品类合计贡献约</w:t>
      </w:r>
      <w:r>
        <w:rPr>
          <w:rFonts w:hint="eastAsia" w:ascii="黑体" w:hAnsi="黑体" w:eastAsia="黑体" w:cs="黑体"/>
          <w:sz w:val="24"/>
          <w:szCs w:val="24"/>
          <w:lang w:val="en-US" w:eastAsia="zh-CN"/>
        </w:rPr>
        <w:t>8</w:t>
      </w:r>
      <w:r>
        <w:rPr>
          <w:rFonts w:hint="eastAsia" w:ascii="黑体" w:hAnsi="黑体" w:eastAsia="黑体" w:cs="黑体"/>
          <w:sz w:val="24"/>
          <w:szCs w:val="24"/>
        </w:rPr>
        <w:t>0%的销售额，显著符合帕累托法则中“20%品类驱动大部分业绩”的特征。这些高频刚需或高毛利品类应作为关键品类重点管理，其中烟酒水饮和粮油调味作为绝对核心，需确保库存深度并设计组合促销；休闲食品和卫生用品适合通过爆品折扣拉动客流；家居用品则适合搭配节庆主题促销。相反，宠物食品、医疗用品、婴童食品等低贡献品类可减少资源投入，或尝试与高流量品类捆绑促销以测试增量机会。</w:t>
      </w:r>
    </w:p>
    <w:p w14:paraId="6685AAC9">
      <w:pPr>
        <w:bidi w:val="0"/>
        <w:rPr>
          <w:rFonts w:hint="eastAsia" w:ascii="黑体" w:hAnsi="黑体" w:eastAsia="黑体" w:cs="黑体"/>
          <w:sz w:val="24"/>
          <w:szCs w:val="24"/>
        </w:rPr>
      </w:pPr>
    </w:p>
    <w:p w14:paraId="3AB5D36D">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5.1.2 促销活动分析</w:t>
      </w:r>
    </w:p>
    <w:p w14:paraId="63EF6A0C">
      <w:pPr>
        <w:bidi w:val="0"/>
        <w:ind w:firstLine="480" w:firstLineChars="200"/>
        <w:rPr>
          <w:rFonts w:hint="eastAsia" w:ascii="黑体" w:hAnsi="黑体" w:eastAsia="黑体" w:cs="黑体"/>
          <w:sz w:val="24"/>
          <w:szCs w:val="24"/>
          <w:lang w:eastAsia="zh-CN"/>
        </w:rPr>
      </w:pPr>
      <w:r>
        <w:rPr>
          <w:rFonts w:hint="eastAsia" w:ascii="黑体" w:hAnsi="黑体" w:eastAsia="黑体" w:cs="黑体"/>
          <w:sz w:val="24"/>
          <w:szCs w:val="24"/>
          <w:lang w:val="en-US" w:eastAsia="zh-CN"/>
        </w:rPr>
        <w:t>我们延续上述分析的数据和思路，希望能找出该零售店的关键商品，并且关注关键商品的单价变化情况，依次来确定零售店爆品折扣促销活动；我们还重点关注节假日时期商品的单价变化情况，依次来确定零售店节假日折扣促销活动。基于对商品的关键品类分析，我们得知：烟酒水饮、粮油调味、休闲食品等关键品类为零售店的销售额做出了卓越的贡献，这为我们提供了研究方向，</w:t>
      </w:r>
      <w:r>
        <w:rPr>
          <w:rFonts w:hint="eastAsia" w:ascii="黑体" w:hAnsi="黑体" w:eastAsia="黑体" w:cs="黑体"/>
          <w:sz w:val="24"/>
          <w:szCs w:val="24"/>
        </w:rPr>
        <w:t>要真正识别出驱动销售的</w:t>
      </w:r>
      <w:r>
        <w:rPr>
          <w:rFonts w:hint="eastAsia" w:ascii="黑体" w:hAnsi="黑体" w:eastAsia="黑体" w:cs="黑体"/>
          <w:sz w:val="24"/>
          <w:szCs w:val="24"/>
          <w:lang w:val="en-US" w:eastAsia="zh-CN"/>
        </w:rPr>
        <w:t>灯塔商品</w:t>
      </w:r>
      <w:r>
        <w:rPr>
          <w:rFonts w:hint="eastAsia" w:ascii="黑体" w:hAnsi="黑体" w:eastAsia="黑体" w:cs="黑体"/>
          <w:sz w:val="24"/>
          <w:szCs w:val="24"/>
        </w:rPr>
        <w:t>并制定有效的价格促销策略，我们必须将分析粒度</w:t>
      </w:r>
      <w:r>
        <w:rPr>
          <w:rFonts w:hint="eastAsia" w:ascii="黑体" w:hAnsi="黑体" w:eastAsia="黑体" w:cs="黑体"/>
          <w:sz w:val="24"/>
          <w:szCs w:val="24"/>
          <w:lang w:val="en-US" w:eastAsia="zh-CN"/>
        </w:rPr>
        <w:t>从</w:t>
      </w:r>
      <w:r>
        <w:rPr>
          <w:rFonts w:hint="eastAsia" w:ascii="黑体" w:hAnsi="黑体" w:eastAsia="黑体" w:cs="黑体"/>
          <w:sz w:val="24"/>
          <w:szCs w:val="24"/>
        </w:rPr>
        <w:t>“品类”细化到“商品”层面，并深度洞察其价格弹性和促销敏感度</w:t>
      </w:r>
      <w:r>
        <w:rPr>
          <w:rFonts w:hint="eastAsia" w:ascii="黑体" w:hAnsi="黑体" w:eastAsia="黑体" w:cs="黑体"/>
          <w:sz w:val="24"/>
          <w:szCs w:val="24"/>
          <w:lang w:eastAsia="zh-CN"/>
        </w:rPr>
        <w:t>。</w:t>
      </w:r>
    </w:p>
    <w:p w14:paraId="51A7A618">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我们在“烟酒水饮”、“粮油调味”品类中分别找出关键的商品“剑光黄酒”、“味极鲜酱油”来进行促销活动分析，这两件商品的销售额在相应品类中均具有代表性作用。</w:t>
      </w:r>
    </w:p>
    <w:p w14:paraId="48222386">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我们将相应商品分别提取至不同的文件中进行分析，通过观察数据集我们可以发现，“剑光黄酒”和“味极鲜酱油”均在6月7日进行了折扣活动，我们将这次折扣活动视为一个对象来进行分析。</w:t>
      </w:r>
    </w:p>
    <w:p w14:paraId="3349F584">
      <w:pPr>
        <w:bidi w:val="0"/>
        <w:ind w:firstLine="480" w:firstLineChars="200"/>
        <w:rPr>
          <w:rFonts w:hint="eastAsia" w:ascii="黑体" w:hAnsi="黑体" w:eastAsia="黑体" w:cs="黑体"/>
          <w:sz w:val="24"/>
          <w:szCs w:val="24"/>
          <w:lang w:val="en-US" w:eastAsia="zh-CN"/>
        </w:rPr>
      </w:pPr>
    </w:p>
    <w:p w14:paraId="391BD85C">
      <w:pPr>
        <w:bidi w:val="0"/>
        <w:ind w:firstLine="3162" w:firstLineChars="1500"/>
        <w:jc w:val="both"/>
        <w:rPr>
          <w:rFonts w:hint="eastAsia" w:ascii="黑体" w:hAnsi="黑体" w:eastAsia="黑体" w:cs="黑体"/>
          <w:b w:val="0"/>
          <w:bCs/>
          <w:sz w:val="24"/>
          <w:szCs w:val="24"/>
          <w:lang w:val="en-US" w:eastAsia="zh-CN"/>
        </w:rPr>
      </w:pPr>
      <w:r>
        <w:rPr>
          <w:rFonts w:hint="eastAsia" w:ascii="黑体" w:hAnsi="黑体" w:eastAsia="黑体" w:cs="黑体"/>
          <w:b/>
          <w:bCs/>
          <w:color w:val="auto"/>
          <w:kern w:val="2"/>
          <w:sz w:val="21"/>
          <w:szCs w:val="21"/>
          <w:lang w:val="en-US" w:eastAsia="zh-CN" w:bidi="ar-SA"/>
        </w:rPr>
        <w:t>表5.5  味极鲜酱油促销活动</w:t>
      </w:r>
    </w:p>
    <w:tbl>
      <w:tblPr>
        <w:tblStyle w:val="9"/>
        <w:tblW w:w="9307" w:type="dxa"/>
        <w:tblInd w:w="93"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07"/>
        <w:gridCol w:w="3150"/>
        <w:gridCol w:w="3250"/>
      </w:tblGrid>
      <w:tr w14:paraId="34F4678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78" w:hRule="atLeast"/>
        </w:trPr>
        <w:tc>
          <w:tcPr>
            <w:tcW w:w="2907" w:type="dxa"/>
            <w:tcBorders>
              <w:left w:val="nil"/>
              <w:bottom w:val="single" w:color="auto" w:sz="4" w:space="0"/>
              <w:right w:val="nil"/>
            </w:tcBorders>
            <w:shd w:val="clear" w:color="auto" w:fill="auto"/>
            <w:noWrap/>
            <w:vAlign w:val="center"/>
          </w:tcPr>
          <w:p w14:paraId="004E0EC8">
            <w:pPr>
              <w:keepNext w:val="0"/>
              <w:keepLines w:val="0"/>
              <w:widowControl/>
              <w:suppressLineNumbers w:val="0"/>
              <w:jc w:val="center"/>
              <w:textAlignment w:val="center"/>
              <w:rPr>
                <w:rFonts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销售日期</w:t>
            </w:r>
          </w:p>
        </w:tc>
        <w:tc>
          <w:tcPr>
            <w:tcW w:w="3150" w:type="dxa"/>
            <w:tcBorders>
              <w:left w:val="nil"/>
              <w:bottom w:val="single" w:color="auto" w:sz="4" w:space="0"/>
              <w:right w:val="nil"/>
            </w:tcBorders>
            <w:shd w:val="clear" w:color="auto" w:fill="auto"/>
            <w:noWrap/>
            <w:vAlign w:val="center"/>
          </w:tcPr>
          <w:p w14:paraId="3D1B3FC8">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单价</w:t>
            </w:r>
          </w:p>
        </w:tc>
        <w:tc>
          <w:tcPr>
            <w:tcW w:w="3250" w:type="dxa"/>
            <w:tcBorders>
              <w:left w:val="nil"/>
              <w:bottom w:val="single" w:color="auto" w:sz="4" w:space="0"/>
              <w:right w:val="nil"/>
            </w:tcBorders>
            <w:shd w:val="clear" w:color="auto" w:fill="auto"/>
            <w:noWrap/>
            <w:vAlign w:val="center"/>
          </w:tcPr>
          <w:p w14:paraId="5073C480">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单品名称</w:t>
            </w:r>
          </w:p>
        </w:tc>
      </w:tr>
      <w:tr w14:paraId="67AA9C2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single" w:color="auto" w:sz="4" w:space="0"/>
              <w:left w:val="nil"/>
              <w:bottom w:val="nil"/>
              <w:right w:val="nil"/>
            </w:tcBorders>
            <w:shd w:val="clear" w:color="auto" w:fill="auto"/>
            <w:noWrap/>
            <w:vAlign w:val="center"/>
          </w:tcPr>
          <w:p w14:paraId="3FEF117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single" w:color="auto" w:sz="4" w:space="0"/>
              <w:left w:val="nil"/>
              <w:bottom w:val="nil"/>
              <w:right w:val="nil"/>
            </w:tcBorders>
            <w:shd w:val="clear" w:color="auto" w:fill="auto"/>
            <w:noWrap/>
            <w:vAlign w:val="center"/>
          </w:tcPr>
          <w:p w14:paraId="31C9137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single" w:color="auto" w:sz="4" w:space="0"/>
              <w:left w:val="nil"/>
              <w:bottom w:val="nil"/>
              <w:right w:val="nil"/>
            </w:tcBorders>
            <w:shd w:val="clear" w:color="auto" w:fill="auto"/>
            <w:noWrap/>
            <w:vAlign w:val="center"/>
          </w:tcPr>
          <w:p w14:paraId="745CB85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94C23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993988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05D4721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6F89CC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1F13C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52CA90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7957EE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454DCA3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8704E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128A9F1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D8E6AE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2F02BC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D255FE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CCBE52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5F103C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5F84AAD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712F4E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53085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276C444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9BF43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99CA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D5C522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7D7F7F1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362C697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4BFEEA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38DB92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2BD7B17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2234742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9929C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FB9D1A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401DCCA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C54118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E660F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7D8122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58E72D5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6457F18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2A289E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FED2D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39E0D6D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467BE16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371885E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C58D89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1EA09C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B8B24B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0B4223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54D1030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6613795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22D1822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0F11439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14436C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1C48B7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BCF4F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8DF8B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4BAD4C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47D460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4759B3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0FDFB4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815358A">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EA1D2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A27BD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AA2127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63BD003">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151812A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4EC586A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F168E8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39655D2">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5DA918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6DCE446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E77F7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AE41794">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B976A9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012B5BB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439C35F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4903B2C">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691F2F0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15A5554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1833723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right w:val="nil"/>
            </w:tcBorders>
            <w:shd w:val="clear" w:color="auto" w:fill="auto"/>
            <w:noWrap/>
            <w:vAlign w:val="center"/>
          </w:tcPr>
          <w:p w14:paraId="05B8D3AE">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right w:val="nil"/>
            </w:tcBorders>
            <w:shd w:val="clear" w:color="auto" w:fill="auto"/>
            <w:noWrap/>
            <w:vAlign w:val="center"/>
          </w:tcPr>
          <w:p w14:paraId="4DEB3A7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right w:val="nil"/>
            </w:tcBorders>
            <w:shd w:val="clear" w:color="auto" w:fill="auto"/>
            <w:noWrap/>
            <w:vAlign w:val="center"/>
          </w:tcPr>
          <w:p w14:paraId="63A6C2C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bl>
    <w:p w14:paraId="1D5C0551">
      <w:pPr>
        <w:pStyle w:val="2"/>
        <w:keepNext/>
        <w:keepLines/>
        <w:pageBreakBefore w:val="0"/>
        <w:widowControl w:val="0"/>
        <w:kinsoku/>
        <w:wordWrap/>
        <w:overflowPunct/>
        <w:topLinePunct w:val="0"/>
        <w:autoSpaceDE/>
        <w:autoSpaceDN/>
        <w:bidi w:val="0"/>
        <w:adjustRightInd/>
        <w:snapToGrid/>
        <w:spacing w:line="240" w:lineRule="auto"/>
        <w:ind w:firstLine="482"/>
        <w:jc w:val="both"/>
        <w:textAlignment w:val="auto"/>
        <w:rPr>
          <w:rFonts w:hint="default" w:ascii="黑体" w:hAnsi="黑体" w:eastAsia="黑体" w:cs="黑体"/>
          <w:b w:val="0"/>
          <w:bCs/>
          <w:sz w:val="24"/>
          <w:szCs w:val="24"/>
          <w:lang w:val="en-US" w:eastAsia="zh-CN"/>
        </w:rPr>
      </w:pPr>
    </w:p>
    <w:p w14:paraId="1E261786">
      <w:pPr>
        <w:bidi w:val="0"/>
        <w:ind w:firstLine="480" w:firstLineChars="20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通过相关数据集我们可有发现，味极鲜酱油在6月7日进行了促销活动，促销活动连续进行了6日，依此我们构建需求-价格弹性模型，我们取促销前相同时间的时间段来进行对照，即该零售店6月1日至6月6日的销售数据，分别计算促销前后的销售额，来说明促销活动对销售业绩的影响。</w:t>
      </w:r>
    </w:p>
    <w:p w14:paraId="358323ED">
      <w:pPr>
        <w:bidi w:val="0"/>
        <w:rPr>
          <w:rFonts w:hint="eastAsia"/>
          <w:lang w:val="en-US" w:eastAsia="zh-CN"/>
        </w:rPr>
      </w:pPr>
    </w:p>
    <w:p w14:paraId="0B8C1A9B">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需求-价格弹性模型：</w:t>
      </w:r>
    </w:p>
    <w:p w14:paraId="5F643C52">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我们首先引入促销敏感度R，该指标用于衡量商品的销量上涨情况，设Qh_amount为促销期间的平均销售数量，Qd_amount为促销活动前与促销活动相同一段时间内的平均销售数量，t为促销时间（天）。</w:t>
      </w:r>
    </w:p>
    <w:p w14:paraId="332A1DC0">
      <w:pPr>
        <w:bidi w:val="0"/>
        <w:rPr>
          <w:rFonts w:hint="eastAsia" w:ascii="黑体" w:hAnsi="黑体" w:eastAsia="黑体" w:cs="黑体"/>
          <w:sz w:val="24"/>
          <w:szCs w:val="24"/>
          <w:lang w:val="en-US" w:eastAsia="zh-CN"/>
        </w:rPr>
      </w:pPr>
    </w:p>
    <w:p w14:paraId="0C5FA65F">
      <w:pPr>
        <w:bidi w:val="0"/>
        <w:rPr>
          <w:rFonts w:hint="eastAsia" w:ascii="黑体" w:hAnsi="黑体" w:eastAsia="黑体" w:cs="黑体"/>
          <w:sz w:val="24"/>
          <w:szCs w:val="24"/>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r>
                    <m:rPr/>
                    <w:rPr>
                      <w:rFonts w:hint="default" w:ascii="Cambria Math" w:hAnsi="Cambria Math"/>
                      <w:sz w:val="28"/>
                      <w:szCs w:val="28"/>
                      <w:lang w:val="en-US" w:eastAsia="zh-CN"/>
                    </w:rPr>
                    <m:t>t</m:t>
                  </m:r>
                  <m:ctrlPr>
                    <w:rPr>
                      <w:rFonts w:hint="default" w:ascii="Cambria Math" w:hAnsi="Cambria Math" w:eastAsia="Courier New"/>
                      <w:sz w:val="28"/>
                      <w:szCs w:val="28"/>
                    </w:rPr>
                  </m:ctrlPr>
                </m:den>
              </m:f>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5</m:t>
        </m:r>
        <m:r>
          <m:rPr/>
          <w:rPr>
            <w:rFonts w:hint="default" w:ascii="Cambria Math" w:hAnsi="Cambria Math"/>
            <w:sz w:val="28"/>
          </w:rPr>
          <m:t>)</m:t>
        </m:r>
      </m:oMath>
      <w:r>
        <w:rPr>
          <w:rFonts w:hint="eastAsia" w:hAnsi="Cambria Math"/>
          <w:i w:val="0"/>
          <w:sz w:val="28"/>
          <w:szCs w:val="28"/>
          <w:lang w:val="en-US" w:eastAsia="zh-CN"/>
        </w:rPr>
        <w:t xml:space="preserve">            </w:t>
      </w:r>
    </w:p>
    <w:p w14:paraId="782BBF94">
      <w:pPr>
        <w:bidi w:val="0"/>
        <w:rPr>
          <w:rFonts w:hint="eastAsia" w:ascii="黑体" w:hAnsi="黑体" w:eastAsia="黑体" w:cs="黑体"/>
          <w:sz w:val="24"/>
          <w:szCs w:val="24"/>
          <w:lang w:val="en-US" w:eastAsia="zh-CN"/>
        </w:rPr>
      </w:pPr>
    </w:p>
    <w:p w14:paraId="6B2306C6">
      <w:pPr>
        <w:bidi w:val="0"/>
        <w:rPr>
          <w:rFonts w:hint="eastAsia" w:ascii="黑体" w:hAnsi="黑体" w:eastAsia="黑体" w:cs="黑体"/>
          <w:sz w:val="24"/>
          <w:szCs w:val="24"/>
          <w:lang w:val="en-US" w:eastAsia="zh-CN"/>
        </w:rPr>
      </w:pPr>
    </w:p>
    <w:p w14:paraId="674F2F96">
      <w:pPr>
        <w:bidi w:val="0"/>
        <w:rPr>
          <w:rFonts w:hint="default" w:ascii="黑体" w:hAnsi="黑体" w:eastAsia="宋体" w:cs="黑体"/>
          <w:sz w:val="24"/>
          <w:szCs w:val="24"/>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r>
                    <m:rPr>
                      <m:sty m:val="p"/>
                    </m:rPr>
                    <w:rPr>
                      <w:rFonts w:hint="default" w:ascii="Cambria Math" w:hAnsi="Cambria Math"/>
                      <w:sz w:val="28"/>
                      <w:szCs w:val="28"/>
                      <w:lang w:val="en-US" w:eastAsia="zh-CN"/>
                    </w:rPr>
                    <m:t>t</m:t>
                  </m:r>
                  <m:ctrlPr>
                    <w:rPr>
                      <w:rFonts w:hint="default" w:ascii="Cambria Math" w:hAnsi="Cambria Math" w:eastAsia="Courier New"/>
                      <w:sz w:val="28"/>
                      <w:szCs w:val="28"/>
                    </w:rPr>
                  </m:ctrlPr>
                </m:den>
              </m:f>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6</m:t>
        </m:r>
        <m:r>
          <m:rPr/>
          <w:rPr>
            <w:rFonts w:hint="default" w:ascii="Cambria Math" w:hAnsi="Cambria Math"/>
            <w:sz w:val="28"/>
          </w:rPr>
          <m:t>)</m:t>
        </m:r>
      </m:oMath>
    </w:p>
    <w:p w14:paraId="308DACC8">
      <w:pPr>
        <w:bidi w:val="0"/>
        <w:rPr>
          <w:rFonts w:hint="eastAsia" w:ascii="黑体" w:hAnsi="黑体" w:eastAsia="黑体" w:cs="黑体"/>
          <w:sz w:val="24"/>
          <w:szCs w:val="24"/>
          <w:lang w:val="en-US" w:eastAsia="zh-CN"/>
        </w:rPr>
      </w:pPr>
    </w:p>
    <w:p w14:paraId="0A6707C7">
      <w:pPr>
        <w:bidi w:val="0"/>
        <w:rPr>
          <w:rFonts w:hint="eastAsia" w:ascii="黑体" w:hAnsi="黑体" w:eastAsia="黑体" w:cs="黑体"/>
          <w:sz w:val="24"/>
          <w:szCs w:val="24"/>
          <w:lang w:val="en-US" w:eastAsia="zh-CN"/>
        </w:rPr>
      </w:pPr>
    </w:p>
    <w:p w14:paraId="244778D6">
      <w:pPr>
        <w:bidi w:val="0"/>
        <w:rPr>
          <w:rFonts w:hint="eastAsia" w:ascii="黑体" w:hAnsi="黑体" w:eastAsia="黑体" w:cs="黑体"/>
          <w:sz w:val="24"/>
          <w:szCs w:val="24"/>
          <w:lang w:val="en-US" w:eastAsia="zh-CN"/>
        </w:rPr>
      </w:pPr>
    </w:p>
    <w:p w14:paraId="487E0ECE">
      <w:pPr>
        <w:bidi w:val="0"/>
        <w:rPr>
          <w:rFonts w:hint="default" w:ascii="黑体" w:hAnsi="黑体" w:eastAsia="宋体" w:cs="黑体"/>
          <w:sz w:val="24"/>
          <w:szCs w:val="24"/>
          <w:lang w:val="en-US" w:eastAsia="zh-CN"/>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m:t>
                </m:r>
                <m:r>
                  <m:rPr/>
                  <w:rPr>
                    <w:rFonts w:hint="default" w:ascii="Cambria Math" w:hAnsi="Cambria Math" w:eastAsia="Courier New"/>
                    <w:sz w:val="28"/>
                    <w:szCs w:val="28"/>
                  </w:rPr>
                  <m:t>R=</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den>
                </m:f>
                <m:r>
                  <m:rPr>
                    <m:sty m:val="p"/>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7</m:t>
          </m:r>
          <m:r>
            <m:rPr/>
            <w:rPr>
              <w:rFonts w:hint="default" w:ascii="Cambria Math" w:hAnsi="Cambria Math"/>
              <w:sz w:val="28"/>
            </w:rPr>
            <m:t>)</m:t>
          </m:r>
        </m:oMath>
      </m:oMathPara>
    </w:p>
    <w:p w14:paraId="34F37591">
      <w:pPr>
        <w:bidi w:val="0"/>
        <w:rPr>
          <w:rFonts w:hint="eastAsia" w:ascii="黑体" w:hAnsi="黑体" w:eastAsia="黑体" w:cs="黑体"/>
          <w:sz w:val="24"/>
          <w:szCs w:val="24"/>
          <w:lang w:val="en-US" w:eastAsia="zh-CN"/>
        </w:rPr>
      </w:pPr>
    </w:p>
    <w:p w14:paraId="759B717E">
      <w:pPr>
        <w:bidi w:val="0"/>
        <w:rPr>
          <w:rFonts w:hint="eastAsia" w:ascii="黑体" w:hAnsi="黑体" w:eastAsia="黑体" w:cs="黑体"/>
          <w:sz w:val="24"/>
          <w:szCs w:val="24"/>
          <w:lang w:val="en-US" w:eastAsia="zh-CN"/>
        </w:rPr>
      </w:pPr>
    </w:p>
    <w:p w14:paraId="3DB49B7B">
      <w:pPr>
        <w:bidi w:val="0"/>
        <w:rPr>
          <w:rFonts w:hint="eastAsia" w:ascii="黑体" w:hAnsi="黑体" w:eastAsia="黑体" w:cs="黑体"/>
          <w:sz w:val="24"/>
          <w:szCs w:val="24"/>
          <w:lang w:val="en-US" w:eastAsia="zh-CN"/>
        </w:rPr>
      </w:pPr>
    </w:p>
    <w:p w14:paraId="7516DF1F">
      <w:pPr>
        <w:bidi w:val="0"/>
        <w:rPr>
          <w:rFonts w:hint="eastAsia" w:ascii="黑体" w:hAnsi="黑体" w:eastAsia="黑体" w:cs="黑体"/>
          <w:i w:val="0"/>
          <w:iCs w:val="0"/>
          <w:color w:val="000000"/>
          <w:kern w:val="0"/>
          <w:sz w:val="24"/>
          <w:szCs w:val="24"/>
          <w:u w:val="none"/>
          <w:lang w:val="en-US" w:eastAsia="zh-CN" w:bidi="ar"/>
        </w:rPr>
      </w:pPr>
      <w:r>
        <w:rPr>
          <w:rFonts w:hint="eastAsia" w:ascii="黑体" w:hAnsi="黑体" w:eastAsia="黑体" w:cs="黑体"/>
          <w:sz w:val="24"/>
          <w:szCs w:val="24"/>
          <w:lang w:val="en-US" w:eastAsia="zh-CN"/>
        </w:rPr>
        <w:t>其中，h_amount,d_amount分别为促销期间销售数量、</w:t>
      </w:r>
      <w:r>
        <w:rPr>
          <w:rFonts w:hint="eastAsia" w:ascii="黑体" w:hAnsi="黑体" w:eastAsia="黑体" w:cs="黑体"/>
          <w:i w:val="0"/>
          <w:iCs w:val="0"/>
          <w:color w:val="000000"/>
          <w:kern w:val="0"/>
          <w:sz w:val="24"/>
          <w:szCs w:val="24"/>
          <w:u w:val="none"/>
          <w:lang w:val="en-US" w:eastAsia="zh-CN" w:bidi="ar"/>
        </w:rPr>
        <w:t>日常销售数量</w:t>
      </w:r>
    </w:p>
    <w:p w14:paraId="0A57246F">
      <w:pPr>
        <w:bidi w:val="0"/>
        <w:rPr>
          <w:rFonts w:hint="eastAsia" w:ascii="黑体" w:hAnsi="黑体" w:eastAsia="黑体" w:cs="黑体"/>
          <w:i w:val="0"/>
          <w:iCs w:val="0"/>
          <w:color w:val="000000"/>
          <w:kern w:val="0"/>
          <w:sz w:val="24"/>
          <w:szCs w:val="24"/>
          <w:u w:val="none"/>
          <w:lang w:val="en-US" w:eastAsia="zh-CN" w:bidi="ar"/>
        </w:rPr>
      </w:pPr>
    </w:p>
    <w:p w14:paraId="720BD086">
      <w:pPr>
        <w:bidi w:val="0"/>
        <w:rPr>
          <w:rFonts w:hint="eastAsia" w:ascii="黑体" w:hAnsi="黑体" w:eastAsia="黑体" w:cs="黑体"/>
          <w:i w:val="0"/>
          <w:iCs w:val="0"/>
          <w:color w:val="000000"/>
          <w:kern w:val="0"/>
          <w:sz w:val="24"/>
          <w:szCs w:val="24"/>
          <w:u w:val="none"/>
          <w:lang w:val="en-US" w:eastAsia="zh-CN" w:bidi="ar"/>
        </w:rPr>
      </w:pPr>
    </w:p>
    <w:p w14:paraId="4E41269C">
      <w:pPr>
        <w:bidi w:val="0"/>
        <w:ind w:firstLine="2240" w:firstLineChars="800"/>
        <w:rPr>
          <w:rFonts w:hint="default" w:ascii="黑体" w:hAnsi="黑体" w:eastAsia="黑体" w:cs="黑体"/>
          <w:i w:val="0"/>
          <w:iCs w:val="0"/>
          <w:color w:val="000000"/>
          <w:kern w:val="0"/>
          <w:sz w:val="24"/>
          <w:szCs w:val="24"/>
          <w:u w:val="none"/>
          <w:lang w:val="en-US" w:eastAsia="zh-CN" w:bidi="ar"/>
        </w:rPr>
      </w:pPr>
      <m:oMath>
        <m:m>
          <m:mPr>
            <m:mcs>
              <m:mc>
                <m:mcPr>
                  <m:count m:val="2"/>
                  <m:mcJc m:val="left"/>
                </m:mcPr>
              </m:mc>
            </m:mcs>
            <m:plcHide m:val="1"/>
            <m:ctrlPr>
              <w:rPr>
                <w:rFonts w:hint="default" w:ascii="Cambria Math" w:hAnsi="Cambria Math" w:eastAsia="Courier New"/>
                <w:i w:val="0"/>
                <w:iCs w:val="0"/>
                <w:sz w:val="28"/>
                <w:szCs w:val="28"/>
              </w:rPr>
            </m:ctrlPr>
          </m:mPr>
          <m:mr>
            <m:e>
              <m:r>
                <m:rPr>
                  <m:sty m:val="p"/>
                </m:rPr>
                <w:rPr>
                  <w:rFonts w:hint="default" w:ascii="Cambria Math" w:hAnsi="Cambria Math" w:eastAsia="Courier New"/>
                  <w:sz w:val="28"/>
                  <w:szCs w:val="28"/>
                </w:rPr>
                <m:t xml:space="preserve"> R</m:t>
              </m:r>
              <m:ctrlPr>
                <w:rPr>
                  <w:rFonts w:ascii="Cambria Math" w:hAnsi="Cambria Math" w:eastAsia="Courier New"/>
                  <w:i w:val="0"/>
                  <w:iCs w:val="0"/>
                  <w:sz w:val="28"/>
                  <w:szCs w:val="28"/>
                </w:rPr>
              </m:ctrlPr>
            </m:e>
            <m:e>
              <m:r>
                <m:rPr>
                  <m:sty m:val="p"/>
                </m:rPr>
                <w:rPr>
                  <w:rFonts w:hint="default" w:ascii="Cambria Math" w:hAnsi="Cambria Math" w:eastAsia="Courier New"/>
                  <w:sz w:val="28"/>
                  <w:szCs w:val="28"/>
                </w:rPr>
                <m:t>&gt;0, </m:t>
              </m:r>
              <m:r>
                <m:rPr>
                  <m:sty m:val="p"/>
                </m:rPr>
                <w:rPr>
                  <w:rFonts w:hint="eastAsia" w:ascii="Cambria Math" w:hAnsi="Cambria Math"/>
                  <w:sz w:val="28"/>
                  <w:szCs w:val="28"/>
                  <w:lang w:val="en-US" w:eastAsia="zh-CN"/>
                </w:rPr>
                <m:t>促销</m:t>
              </m:r>
              <m:r>
                <m:rPr>
                  <m:sty m:val="p"/>
                </m:rPr>
                <w:rPr>
                  <w:rFonts w:hint="default" w:ascii="Cambria Math" w:hAnsi="Cambria Math" w:eastAsia="Courier New"/>
                  <w:sz w:val="28"/>
                  <w:szCs w:val="28"/>
                </w:rPr>
                <m:t>日销量高于平日</m:t>
              </m:r>
              <m:ctrlPr>
                <w:rPr>
                  <w:rFonts w:ascii="Cambria Math" w:hAnsi="Cambria Math" w:eastAsia="Courier New"/>
                  <w:i w:val="0"/>
                  <w:iCs w:val="0"/>
                  <w:sz w:val="28"/>
                  <w:szCs w:val="28"/>
                </w:rPr>
              </m:ctrlPr>
            </m:e>
          </m:mr>
          <m:mr>
            <m:e>
              <m:r>
                <m:rPr>
                  <m:sty m:val="p"/>
                </m:rPr>
                <w:rPr>
                  <w:rFonts w:hint="default" w:ascii="Cambria Math" w:hAnsi="Cambria Math" w:eastAsia="Courier New"/>
                  <w:sz w:val="28"/>
                  <w:szCs w:val="28"/>
                </w:rPr>
                <m:t xml:space="preserve"> R</m:t>
              </m:r>
              <m:ctrlPr>
                <w:rPr>
                  <w:rFonts w:ascii="Cambria Math" w:hAnsi="Cambria Math" w:eastAsia="Courier New"/>
                  <w:i w:val="0"/>
                  <w:iCs w:val="0"/>
                  <w:sz w:val="28"/>
                  <w:szCs w:val="28"/>
                </w:rPr>
              </m:ctrlPr>
            </m:e>
            <m:e>
              <m:r>
                <m:rPr>
                  <m:sty m:val="p"/>
                </m:rPr>
                <w:rPr>
                  <w:rFonts w:hint="default" w:ascii="Cambria Math" w:hAnsi="Cambria Math" w:eastAsia="Courier New"/>
                  <w:sz w:val="28"/>
                  <w:szCs w:val="28"/>
                </w:rPr>
                <m:t>=0, </m:t>
              </m:r>
              <m:r>
                <m:rPr>
                  <m:sty m:val="p"/>
                </m:rPr>
                <w:rPr>
                  <w:rFonts w:hint="eastAsia" w:ascii="Cambria Math" w:hAnsi="Cambria Math"/>
                  <w:sz w:val="28"/>
                  <w:szCs w:val="28"/>
                  <w:lang w:val="en-US" w:eastAsia="zh-CN"/>
                </w:rPr>
                <m:t>促销</m:t>
              </m:r>
              <m:r>
                <m:rPr>
                  <m:sty m:val="p"/>
                </m:rPr>
                <w:rPr>
                  <w:rFonts w:hint="default" w:ascii="Cambria Math" w:hAnsi="Cambria Math" w:eastAsia="Courier New"/>
                  <w:sz w:val="28"/>
                  <w:szCs w:val="28"/>
                </w:rPr>
                <m:t>日销量与平日无异</m:t>
              </m:r>
              <m:ctrlPr>
                <w:rPr>
                  <w:rFonts w:ascii="Cambria Math" w:hAnsi="Cambria Math" w:eastAsia="Courier New"/>
                  <w:i w:val="0"/>
                  <w:iCs w:val="0"/>
                  <w:sz w:val="28"/>
                  <w:szCs w:val="28"/>
                </w:rPr>
              </m:ctrlPr>
            </m:e>
          </m:mr>
          <m:mr>
            <m:e>
              <m:r>
                <m:rPr>
                  <m:sty m:val="p"/>
                </m:rPr>
                <w:rPr>
                  <w:rFonts w:hint="default" w:ascii="Cambria Math" w:hAnsi="Cambria Math" w:eastAsia="Courier New"/>
                  <w:sz w:val="28"/>
                  <w:szCs w:val="28"/>
                </w:rPr>
                <m:t xml:space="preserve"> R</m:t>
              </m:r>
              <m:ctrlPr>
                <w:rPr>
                  <w:rFonts w:ascii="Cambria Math" w:hAnsi="Cambria Math" w:eastAsia="Courier New"/>
                  <w:i w:val="0"/>
                  <w:iCs w:val="0"/>
                  <w:sz w:val="28"/>
                  <w:szCs w:val="28"/>
                </w:rPr>
              </m:ctrlPr>
            </m:e>
            <m:e>
              <m:r>
                <m:rPr>
                  <m:sty m:val="p"/>
                </m:rPr>
                <w:rPr>
                  <w:rFonts w:hint="default" w:ascii="Cambria Math" w:hAnsi="Cambria Math" w:eastAsia="Courier New"/>
                  <w:sz w:val="28"/>
                  <w:szCs w:val="28"/>
                </w:rPr>
                <m:t>&lt;0, </m:t>
              </m:r>
              <m:r>
                <m:rPr>
                  <m:sty m:val="p"/>
                </m:rPr>
                <w:rPr>
                  <w:rFonts w:hint="eastAsia" w:ascii="Cambria Math" w:hAnsi="Cambria Math"/>
                  <w:sz w:val="28"/>
                  <w:szCs w:val="28"/>
                  <w:lang w:val="en-US" w:eastAsia="zh-CN"/>
                </w:rPr>
                <m:t>促销</m:t>
              </m:r>
              <m:r>
                <m:rPr>
                  <m:sty m:val="p"/>
                </m:rPr>
                <w:rPr>
                  <w:rFonts w:hint="default" w:ascii="Cambria Math" w:hAnsi="Cambria Math" w:eastAsia="Courier New"/>
                  <w:sz w:val="28"/>
                  <w:szCs w:val="28"/>
                </w:rPr>
                <m:t>日销量低于平日</m:t>
              </m:r>
              <m:ctrlPr>
                <w:rPr>
                  <w:rFonts w:ascii="Cambria Math" w:hAnsi="Cambria Math" w:eastAsia="Courier New"/>
                  <w:i w:val="0"/>
                  <w:iCs w:val="0"/>
                  <w:sz w:val="28"/>
                  <w:szCs w:val="28"/>
                </w:rPr>
              </m:ctrlPr>
            </m:e>
          </m:mr>
        </m:m>
      </m:oMath>
      <w:r>
        <w:rPr>
          <w:rFonts w:hint="default" w:ascii="Cambria Math" w:hAnsi="Cambria Math" w:eastAsia="Courier New"/>
          <w:i w:val="0"/>
          <w:sz w:val="28"/>
          <w:szCs w:val="28"/>
        </w:rPr>
        <w:t xml:space="preserve"> </w:t>
      </w:r>
    </w:p>
    <w:p w14:paraId="09B59E86">
      <w:pPr>
        <w:bidi w:val="0"/>
        <w:rPr>
          <w:rFonts w:hint="eastAsia" w:ascii="黑体" w:hAnsi="黑体" w:eastAsia="黑体" w:cs="黑体"/>
          <w:sz w:val="24"/>
          <w:szCs w:val="24"/>
          <w:lang w:val="en-US" w:eastAsia="zh-CN"/>
        </w:rPr>
      </w:pPr>
    </w:p>
    <w:p w14:paraId="3A3F0233">
      <w:pPr>
        <w:bidi w:val="0"/>
        <w:rPr>
          <w:rFonts w:hint="eastAsia" w:ascii="黑体" w:hAnsi="黑体" w:eastAsia="黑体" w:cs="黑体"/>
          <w:sz w:val="24"/>
          <w:szCs w:val="24"/>
          <w:lang w:val="en-US" w:eastAsia="zh-CN"/>
        </w:rPr>
      </w:pPr>
    </w:p>
    <w:p w14:paraId="0F767FD7">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经计算可得：</w:t>
      </w:r>
    </w:p>
    <w:p w14:paraId="1324746E">
      <w:pPr>
        <w:bidi w:val="0"/>
        <w:rPr>
          <w:rFonts w:hint="eastAsia" w:ascii="黑体" w:hAnsi="黑体" w:eastAsia="黑体" w:cs="黑体"/>
          <w:sz w:val="24"/>
          <w:szCs w:val="24"/>
          <w:lang w:val="en-US" w:eastAsia="zh-CN"/>
        </w:rPr>
      </w:pPr>
    </w:p>
    <w:p w14:paraId="697062FF">
      <w:pPr>
        <w:bidi w:val="0"/>
        <w:rPr>
          <w:rFonts w:hint="default" w:hAnsi="Cambria Math" w:eastAsia="宋体"/>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=289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w:r>
        <w:rPr>
          <w:rFonts w:hint="eastAsia" w:hAnsi="Cambria Math"/>
          <w:i w:val="0"/>
          <w:sz w:val="28"/>
          <w:szCs w:val="28"/>
          <w:lang w:val="en-US" w:eastAsia="zh-CN"/>
        </w:rPr>
        <w:t>=49</w:t>
      </w:r>
    </w:p>
    <w:p w14:paraId="1F9EA8D7">
      <w:pPr>
        <w:bidi w:val="0"/>
        <w:jc w:val="both"/>
        <w:rPr>
          <w:rFonts w:hint="default" w:hAnsi="Cambria Math" w:eastAsia="Courier New"/>
          <w:i w:val="0"/>
          <w:sz w:val="28"/>
          <w:szCs w:val="28"/>
        </w:rPr>
      </w:pPr>
    </w:p>
    <w:p w14:paraId="5DEBACD9">
      <w:pPr>
        <w:bidi w:val="0"/>
        <w:ind w:firstLine="1400" w:firstLineChars="500"/>
        <w:jc w:val="both"/>
        <w:rPr>
          <w:rFonts w:hint="eastAsia" w:hAnsi="Cambria Math"/>
          <w:i w:val="0"/>
          <w:sz w:val="28"/>
          <w:szCs w:val="28"/>
          <w:lang w:val="en-US" w:eastAsia="zh-CN"/>
        </w:rPr>
      </w:pPr>
      <m:oMath>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 xml:space="preserve">          </m:t>
            </m:r>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 =70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w:r>
        <w:rPr>
          <w:rFonts w:hint="eastAsia" w:hAnsi="Cambria Math"/>
          <w:i w:val="0"/>
          <w:sz w:val="28"/>
          <w:szCs w:val="28"/>
          <w:lang w:val="en-US" w:eastAsia="zh-CN"/>
        </w:rPr>
        <w:t>=12</w:t>
      </w:r>
    </w:p>
    <w:p w14:paraId="059182DF">
      <w:pPr>
        <w:bidi w:val="0"/>
        <w:ind w:firstLine="3640" w:firstLineChars="1300"/>
        <w:jc w:val="both"/>
        <w:rPr>
          <w:rFonts w:hint="eastAsia" w:hAnsi="Cambria Math"/>
          <w:i w:val="0"/>
          <w:sz w:val="28"/>
          <w:szCs w:val="28"/>
          <w:lang w:val="en-US" w:eastAsia="zh-CN"/>
        </w:rPr>
      </w:pPr>
    </w:p>
    <w:p w14:paraId="132EAA02">
      <w:pPr>
        <w:bidi w:val="0"/>
        <w:ind w:firstLine="3640" w:firstLineChars="1300"/>
        <w:jc w:val="both"/>
        <w:rPr>
          <w:rFonts w:hint="eastAsia" w:hAnsi="Cambria Math"/>
          <w:i w:val="0"/>
          <w:sz w:val="28"/>
          <w:szCs w:val="28"/>
          <w:lang w:val="en-US" w:eastAsia="zh-CN"/>
        </w:rPr>
      </w:pPr>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w:r>
        <w:rPr>
          <w:rFonts w:hint="eastAsia" w:hAnsi="Cambria Math"/>
          <w:i w:val="0"/>
          <w:sz w:val="28"/>
          <w:szCs w:val="28"/>
          <w:lang w:val="en-US" w:eastAsia="zh-CN"/>
        </w:rPr>
        <w:t>3.08</w:t>
      </w:r>
    </w:p>
    <w:p w14:paraId="3F12D915">
      <w:pPr>
        <w:bidi w:val="0"/>
        <w:jc w:val="both"/>
        <w:rPr>
          <w:rFonts w:hint="eastAsia" w:ascii="黑体" w:hAnsi="黑体" w:eastAsia="黑体" w:cs="黑体"/>
          <w:i w:val="0"/>
          <w:sz w:val="24"/>
          <w:szCs w:val="24"/>
          <w:lang w:val="en-US" w:eastAsia="zh-CN"/>
        </w:rPr>
      </w:pPr>
    </w:p>
    <w:p w14:paraId="476E7133">
      <w:pPr>
        <w:bidi w:val="0"/>
        <w:jc w:val="both"/>
        <w:rPr>
          <w:rFonts w:hint="eastAsia" w:ascii="黑体" w:hAnsi="黑体" w:eastAsia="黑体" w:cs="黑体"/>
          <w:i w:val="0"/>
          <w:sz w:val="24"/>
          <w:szCs w:val="24"/>
          <w:lang w:val="en-US" w:eastAsia="zh-CN"/>
        </w:rPr>
      </w:pPr>
    </w:p>
    <w:p w14:paraId="41C37587">
      <w:pPr>
        <w:bidi w:val="0"/>
        <w:jc w:val="both"/>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由计算结果可知，这次促销活动促销日销量显著高于平日</w:t>
      </w:r>
    </w:p>
    <w:p w14:paraId="6AFB2AD2">
      <w:pPr>
        <w:bidi w:val="0"/>
        <w:jc w:val="both"/>
        <w:rPr>
          <w:rFonts w:hint="eastAsia" w:ascii="黑体" w:hAnsi="黑体" w:eastAsia="黑体" w:cs="黑体"/>
          <w:i w:val="0"/>
          <w:sz w:val="24"/>
          <w:szCs w:val="24"/>
          <w:lang w:val="en-US" w:eastAsia="zh-CN"/>
        </w:rPr>
      </w:pPr>
    </w:p>
    <w:p w14:paraId="05EE9D36">
      <w:pPr>
        <w:bidi w:val="0"/>
        <w:jc w:val="both"/>
        <w:rPr>
          <w:rFonts w:hint="eastAsia" w:ascii="黑体" w:hAnsi="黑体" w:eastAsia="黑体" w:cs="黑体"/>
          <w:i w:val="0"/>
          <w:sz w:val="24"/>
          <w:szCs w:val="24"/>
          <w:lang w:val="en-US" w:eastAsia="zh-CN"/>
        </w:rPr>
      </w:pPr>
    </w:p>
    <w:p w14:paraId="297D5AD9">
      <w:pPr>
        <w:bidi w:val="0"/>
        <w:jc w:val="both"/>
        <w:rPr>
          <w:rFonts w:hint="eastAsia" w:ascii="黑体" w:hAnsi="黑体" w:eastAsia="黑体" w:cs="黑体"/>
          <w:i w:val="0"/>
          <w:sz w:val="24"/>
          <w:szCs w:val="24"/>
          <w:lang w:val="en-US" w:eastAsia="zh-CN"/>
        </w:rPr>
      </w:pPr>
    </w:p>
    <w:p w14:paraId="5B522CFE">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8</m:t>
        </m:r>
        <m:r>
          <m:rPr/>
          <w:rPr>
            <w:rFonts w:hint="default" w:ascii="Cambria Math" w:hAnsi="Cambria Math"/>
            <w:sz w:val="28"/>
          </w:rPr>
          <m:t>)</m:t>
        </m:r>
      </m:oMath>
    </w:p>
    <w:p w14:paraId="2B786C09">
      <w:pPr>
        <w:bidi w:val="0"/>
        <w:jc w:val="both"/>
        <w:rPr>
          <w:rFonts w:hint="default" w:hAnsi="Cambria Math"/>
          <w:i w:val="0"/>
          <w:sz w:val="28"/>
          <w:szCs w:val="28"/>
          <w:lang w:val="en-US" w:eastAsia="zh-CN"/>
        </w:rPr>
      </w:pPr>
    </w:p>
    <w:p w14:paraId="66061BD6">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9</m:t>
        </m:r>
        <m:r>
          <m:rPr/>
          <w:rPr>
            <w:rFonts w:hint="default" w:ascii="Cambria Math" w:hAnsi="Cambria Math"/>
            <w:sz w:val="28"/>
          </w:rPr>
          <m:t>)</m:t>
        </m:r>
      </m:oMath>
    </w:p>
    <w:p w14:paraId="4C1FAC1B">
      <w:pPr>
        <w:bidi w:val="0"/>
        <w:jc w:val="both"/>
        <w:rPr>
          <w:rFonts w:hint="eastAsia" w:ascii="黑体" w:hAnsi="黑体" w:eastAsia="黑体" w:cs="黑体"/>
          <w:i w:val="0"/>
          <w:sz w:val="24"/>
          <w:szCs w:val="24"/>
          <w:lang w:val="en-US" w:eastAsia="zh-CN"/>
        </w:rPr>
      </w:pPr>
    </w:p>
    <w:p w14:paraId="180DBB25">
      <w:pPr>
        <w:bidi w:val="0"/>
        <w:jc w:val="both"/>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其中</w:t>
      </w:r>
      <m:oMath>
        <m:sSub>
          <m:sSubPr>
            <m:ctrlPr>
              <w:rPr>
                <w:rFonts w:hint="eastAsia" w:ascii="Cambria Math" w:hAnsi="Cambria Math" w:eastAsia="黑体" w:cs="黑体"/>
                <w:sz w:val="24"/>
                <w:szCs w:val="24"/>
              </w:rPr>
            </m:ctrlPr>
          </m:sSubPr>
          <m:e>
            <m:r>
              <m:rPr>
                <m:sty m:val="p"/>
              </m:rPr>
              <w:rPr>
                <w:rFonts w:hint="eastAsia" w:ascii="Cambria Math" w:hAnsi="Cambria Math" w:eastAsia="黑体" w:cs="黑体"/>
                <w:sz w:val="24"/>
                <w:szCs w:val="24"/>
                <w:lang w:val="en-US" w:eastAsia="zh-CN"/>
              </w:rPr>
              <m:t>h</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revenue</m:t>
            </m:r>
            <m:ctrlPr>
              <w:rPr>
                <w:rFonts w:hint="eastAsia" w:ascii="Cambria Math" w:hAnsi="Cambria Math" w:eastAsia="黑体" w:cs="黑体"/>
                <w:sz w:val="24"/>
                <w:szCs w:val="24"/>
              </w:rPr>
            </m:ctrlPr>
          </m:sub>
        </m:sSub>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lang w:val="en-US" w:eastAsia="zh-CN"/>
              </w:rPr>
              <m:t xml:space="preserve"> ， d</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revenue</m:t>
            </m:r>
            <m:ctrlPr>
              <w:rPr>
                <w:rFonts w:hint="eastAsia" w:ascii="Cambria Math" w:hAnsi="Cambria Math" w:eastAsia="黑体" w:cs="黑体"/>
                <w:sz w:val="24"/>
                <w:szCs w:val="24"/>
              </w:rPr>
            </m:ctrlPr>
          </m:sub>
        </m:sSub>
      </m:oMath>
      <w:r>
        <w:rPr>
          <w:rFonts w:hint="eastAsia" w:ascii="黑体" w:hAnsi="黑体" w:eastAsia="黑体" w:cs="黑体"/>
          <w:i w:val="0"/>
          <w:sz w:val="24"/>
          <w:szCs w:val="24"/>
          <w:lang w:val="en-US" w:eastAsia="zh-CN"/>
        </w:rPr>
        <w:t xml:space="preserve"> 分别代表促销日、平日销售单价</w:t>
      </w:r>
    </w:p>
    <w:p w14:paraId="7C11F3B7">
      <w:pPr>
        <w:bidi w:val="0"/>
        <w:jc w:val="both"/>
        <w:rPr>
          <w:rFonts w:hint="eastAsia" w:ascii="黑体" w:hAnsi="黑体" w:eastAsia="黑体" w:cs="黑体"/>
          <w:i w:val="0"/>
          <w:sz w:val="24"/>
          <w:szCs w:val="24"/>
          <w:lang w:val="en-US" w:eastAsia="zh-CN"/>
        </w:rPr>
      </w:pPr>
    </w:p>
    <w:p w14:paraId="516E650B">
      <w:pPr>
        <w:bidi w:val="0"/>
        <w:jc w:val="both"/>
        <w:rPr>
          <w:rFonts w:hint="eastAsia" w:ascii="黑体" w:hAnsi="黑体" w:eastAsia="黑体" w:cs="黑体"/>
          <w:i w:val="0"/>
          <w:sz w:val="24"/>
          <w:szCs w:val="24"/>
          <w:lang w:val="en-US" w:eastAsia="zh-CN"/>
        </w:rPr>
      </w:pPr>
    </w:p>
    <w:p w14:paraId="641DB877">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经计算可得：</w:t>
      </w:r>
    </w:p>
    <w:p w14:paraId="41F4AA6E">
      <w:pPr>
        <w:bidi w:val="0"/>
        <w:rPr>
          <w:rFonts w:hint="eastAsia" w:ascii="黑体" w:hAnsi="黑体" w:eastAsia="黑体" w:cs="黑体"/>
          <w:sz w:val="24"/>
          <w:szCs w:val="24"/>
          <w:lang w:val="en-US" w:eastAsia="zh-CN"/>
        </w:rPr>
      </w:pPr>
    </w:p>
    <w:p w14:paraId="17B4FFB3">
      <w:pPr>
        <w:bidi w:val="0"/>
        <w:rPr>
          <w:rFonts w:hint="eastAsia" w:ascii="黑体" w:hAnsi="黑体" w:eastAsia="黑体" w:cs="黑体"/>
          <w:sz w:val="24"/>
          <w:szCs w:val="24"/>
          <w:lang w:val="en-US" w:eastAsia="zh-CN"/>
        </w:rPr>
      </w:pPr>
    </w:p>
    <w:p w14:paraId="7AE058E1">
      <w:pPr>
        <w:bidi w:val="0"/>
        <w:rPr>
          <w:rFonts w:hint="default" w:hAnsi="Cambria Math" w:eastAsia="宋体"/>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=5346.5                      </m:t>
        </m:r>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=1386</w:t>
      </w:r>
    </w:p>
    <w:p w14:paraId="2CB9A0DA">
      <w:pPr>
        <w:bidi w:val="0"/>
        <w:jc w:val="both"/>
        <w:rPr>
          <w:rFonts w:hint="eastAsia" w:ascii="黑体" w:hAnsi="黑体" w:eastAsia="黑体" w:cs="黑体"/>
          <w:i w:val="0"/>
          <w:sz w:val="24"/>
          <w:szCs w:val="24"/>
          <w:lang w:val="en-US" w:eastAsia="zh-CN"/>
        </w:rPr>
      </w:pPr>
    </w:p>
    <w:p w14:paraId="665C581B">
      <w:pPr>
        <w:bidi w:val="0"/>
        <w:jc w:val="both"/>
        <w:rPr>
          <w:rFonts w:hint="eastAsia" w:ascii="黑体" w:hAnsi="黑体" w:eastAsia="黑体" w:cs="黑体"/>
          <w:b w:val="0"/>
          <w:bCs w:val="0"/>
          <w:sz w:val="24"/>
          <w:szCs w:val="24"/>
          <w:lang w:val="en-US" w:eastAsia="zh-CN"/>
        </w:rPr>
      </w:pPr>
      <w:r>
        <w:rPr>
          <w:rFonts w:hint="eastAsia" w:ascii="黑体" w:hAnsi="黑体" w:eastAsia="黑体" w:cs="黑体"/>
          <w:i w:val="0"/>
          <w:sz w:val="24"/>
          <w:szCs w:val="24"/>
          <w:lang w:val="en-US" w:eastAsia="zh-CN"/>
        </w:rPr>
        <w:t>由计算结果可知：</w:t>
      </w:r>
      <w:r>
        <w:rPr>
          <w:rFonts w:hint="eastAsia" w:ascii="黑体" w:hAnsi="黑体" w:eastAsia="黑体" w:cs="黑体"/>
          <w:b w:val="0"/>
          <w:bCs w:val="0"/>
          <w:sz w:val="24"/>
          <w:szCs w:val="24"/>
          <w:lang w:val="en-US" w:eastAsia="zh-CN"/>
        </w:rPr>
        <w:t>促销后的销售额为促销前销售额的3.857倍，较促销前增长了285.7%，对销售业绩有非常显著的影响。</w:t>
      </w:r>
    </w:p>
    <w:p w14:paraId="1890011B">
      <w:pPr>
        <w:bidi w:val="0"/>
        <w:jc w:val="both"/>
        <w:rPr>
          <w:rFonts w:hint="eastAsia" w:ascii="黑体" w:hAnsi="黑体" w:eastAsia="黑体" w:cs="黑体"/>
          <w:b w:val="0"/>
          <w:bCs w:val="0"/>
          <w:sz w:val="24"/>
          <w:szCs w:val="24"/>
          <w:lang w:val="en-US" w:eastAsia="zh-CN"/>
        </w:rPr>
      </w:pPr>
    </w:p>
    <w:p w14:paraId="0091C1E6">
      <w:pPr>
        <w:bidi w:val="0"/>
        <w:jc w:val="both"/>
        <w:rPr>
          <w:rFonts w:hint="eastAsia" w:ascii="黑体" w:hAnsi="黑体" w:eastAsia="黑体" w:cs="黑体"/>
          <w:b w:val="0"/>
          <w:bCs w:val="0"/>
          <w:sz w:val="24"/>
          <w:szCs w:val="24"/>
          <w:lang w:val="en-US" w:eastAsia="zh-CN"/>
        </w:rPr>
      </w:pPr>
    </w:p>
    <w:p w14:paraId="6F6385B4">
      <w:pPr>
        <w:bidi w:val="0"/>
        <w:jc w:val="both"/>
        <w:rPr>
          <w:rFonts w:hint="eastAsia" w:ascii="黑体" w:hAnsi="黑体" w:eastAsia="黑体" w:cs="黑体"/>
          <w:b w:val="0"/>
          <w:bCs w:val="0"/>
          <w:sz w:val="24"/>
          <w:szCs w:val="24"/>
          <w:lang w:val="en-US" w:eastAsia="zh-CN"/>
        </w:rPr>
      </w:pPr>
    </w:p>
    <w:p w14:paraId="72596FBA">
      <w:pPr>
        <w:bidi w:val="0"/>
        <w:jc w:val="both"/>
        <w:rPr>
          <w:rFonts w:hint="eastAsia" w:ascii="黑体" w:hAnsi="黑体" w:eastAsia="黑体" w:cs="黑体"/>
          <w:b w:val="0"/>
          <w:bCs w:val="0"/>
          <w:sz w:val="24"/>
          <w:szCs w:val="24"/>
          <w:lang w:val="en-US" w:eastAsia="zh-CN"/>
        </w:rPr>
      </w:pPr>
    </w:p>
    <w:p w14:paraId="0EA6CC74">
      <w:pPr>
        <w:bidi w:val="0"/>
        <w:jc w:val="both"/>
        <w:rPr>
          <w:rFonts w:hint="eastAsia" w:ascii="黑体" w:hAnsi="黑体" w:eastAsia="黑体" w:cs="黑体"/>
          <w:b w:val="0"/>
          <w:bCs w:val="0"/>
          <w:sz w:val="24"/>
          <w:szCs w:val="24"/>
          <w:lang w:val="en-US" w:eastAsia="zh-CN"/>
        </w:rPr>
      </w:pPr>
    </w:p>
    <w:p w14:paraId="5B80830F">
      <w:pPr>
        <w:bidi w:val="0"/>
        <w:jc w:val="both"/>
        <w:rPr>
          <w:rFonts w:hint="eastAsia" w:ascii="黑体" w:hAnsi="黑体" w:eastAsia="黑体" w:cs="黑体"/>
          <w:b w:val="0"/>
          <w:bCs w:val="0"/>
          <w:sz w:val="24"/>
          <w:szCs w:val="24"/>
          <w:lang w:val="en-US" w:eastAsia="zh-CN"/>
        </w:rPr>
      </w:pPr>
    </w:p>
    <w:p w14:paraId="7F9D23AF">
      <w:pPr>
        <w:bidi w:val="0"/>
        <w:jc w:val="both"/>
        <w:rPr>
          <w:rFonts w:hint="eastAsia" w:ascii="黑体" w:hAnsi="黑体" w:eastAsia="黑体" w:cs="黑体"/>
          <w:b w:val="0"/>
          <w:bCs w:val="0"/>
          <w:sz w:val="24"/>
          <w:szCs w:val="24"/>
          <w:lang w:val="en-US" w:eastAsia="zh-CN"/>
        </w:rPr>
      </w:pPr>
    </w:p>
    <w:p w14:paraId="44D17285">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 问题二模型的建立与求解</w:t>
      </w:r>
    </w:p>
    <w:p w14:paraId="48E49F32">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5.2.1 碳酸饮料品类分析</w:t>
      </w:r>
    </w:p>
    <w:p w14:paraId="75FF71B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0" name="椭圆 1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5926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6Phy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3o+HI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数据预处理</w:t>
      </w:r>
    </w:p>
    <w:p w14:paraId="7E6C5E05">
      <w:pPr>
        <w:bidi w:val="0"/>
        <w:jc w:val="both"/>
        <w:rPr>
          <w:rFonts w:hint="default" w:ascii="黑体" w:hAnsi="黑体" w:eastAsia="黑体" w:cs="黑体"/>
          <w:b w:val="0"/>
          <w:bCs w:val="0"/>
          <w:sz w:val="24"/>
          <w:szCs w:val="24"/>
          <w:lang w:val="en-US" w:eastAsia="zh-CN"/>
        </w:rPr>
      </w:pPr>
    </w:p>
    <w:p w14:paraId="34E5BD02">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使用函数将字符串格式的销售日期（如20210601）转换为Pandas的datetime类型，这是时间序列分析的基础；然后提取出每个日期对应的年月周期信息（如2021-06），将具体日期聚合到月度维度；接着运用groupby()方法按年月分组，并对每个组内的销售金额使用函数进行求和计算，得到各月的总销售额；最后将分组结果转换为规整的DataFrame格式</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即完成数据预处理工作</w:t>
      </w:r>
      <w:r>
        <w:rPr>
          <w:rFonts w:hint="eastAsia" w:ascii="黑体" w:hAnsi="黑体" w:eastAsia="黑体" w:cs="黑体"/>
          <w:sz w:val="24"/>
          <w:szCs w:val="24"/>
        </w:rPr>
        <w:t>。</w:t>
      </w:r>
    </w:p>
    <w:p w14:paraId="7F9973F8">
      <w:pPr>
        <w:bidi w:val="0"/>
        <w:ind w:firstLine="480" w:firstLineChars="200"/>
        <w:rPr>
          <w:rFonts w:hint="eastAsia" w:ascii="黑体" w:hAnsi="黑体" w:eastAsia="黑体" w:cs="黑体"/>
          <w:sz w:val="24"/>
          <w:szCs w:val="24"/>
        </w:rPr>
      </w:pPr>
    </w:p>
    <w:p w14:paraId="7FD78B71">
      <w:pPr>
        <w:bidi w:val="0"/>
        <w:rPr>
          <w:rFonts w:hint="default" w:ascii="黑体" w:hAnsi="黑体" w:eastAsia="黑体" w:cs="黑体"/>
          <w:sz w:val="24"/>
          <w:szCs w:val="24"/>
          <w:shd w:val="clear" w:color="auto" w:fill="auto"/>
          <w:lang w:val="en-US" w:eastAsia="zh-CN"/>
        </w:rPr>
      </w:pPr>
      <w:r>
        <w:rPr>
          <w:shd w:val="clear" w:color="auto" w:fill="auto"/>
        </w:rPr>
        <mc:AlternateContent>
          <mc:Choice Requires="wps">
            <w:drawing>
              <wp:anchor distT="0" distB="0" distL="114300" distR="114300" simplePos="0" relativeHeight="25166028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1" name="椭圆 1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028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Eph/R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QSmH9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shd w:val="clear" w:color="auto" w:fill="auto"/>
          <w:lang w:val="en-US" w:eastAsia="zh-CN"/>
        </w:rPr>
        <w:t xml:space="preserve">   </w:t>
      </w:r>
      <w:r>
        <w:rPr>
          <w:rFonts w:hint="eastAsia" w:ascii="黑体" w:hAnsi="黑体" w:eastAsia="黑体" w:cs="黑体"/>
          <w:sz w:val="24"/>
          <w:szCs w:val="24"/>
          <w:shd w:val="clear" w:color="auto" w:fill="auto"/>
          <w:lang w:val="en-US" w:eastAsia="zh-CN"/>
        </w:rPr>
        <w:t>数据聚合</w:t>
      </w:r>
    </w:p>
    <w:p w14:paraId="3FF97E98">
      <w:pPr>
        <w:bidi w:val="0"/>
        <w:ind w:firstLine="3162" w:firstLineChars="1500"/>
        <w:rPr>
          <w:rFonts w:hint="eastAsia" w:ascii="黑体" w:hAnsi="黑体" w:eastAsia="黑体" w:cs="黑体"/>
          <w:sz w:val="24"/>
          <w:szCs w:val="24"/>
        </w:rPr>
      </w:pPr>
      <w:r>
        <w:rPr>
          <w:rFonts w:hint="eastAsia" w:ascii="黑体" w:hAnsi="黑体" w:eastAsia="黑体" w:cs="黑体"/>
          <w:b/>
          <w:bCs/>
          <w:color w:val="auto"/>
          <w:kern w:val="2"/>
          <w:sz w:val="21"/>
          <w:szCs w:val="21"/>
          <w:lang w:val="en-US" w:eastAsia="zh-CN" w:bidi="ar-SA"/>
        </w:rPr>
        <w:t xml:space="preserve">表5.6  碳酸饮料年度销售额  </w:t>
      </w:r>
    </w:p>
    <w:p w14:paraId="3864E36D">
      <w:pPr>
        <w:bidi w:val="0"/>
        <w:ind w:firstLine="480" w:firstLineChars="200"/>
        <w:rPr>
          <w:rFonts w:hint="eastAsia" w:ascii="黑体" w:hAnsi="黑体" w:eastAsia="黑体" w:cs="黑体"/>
          <w:sz w:val="24"/>
          <w:szCs w:val="24"/>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0777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D004F68">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4EEB132F">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1FF01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1CE8BFC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9E6E494">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r>
      <w:tr w14:paraId="095B7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D321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5C05338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r>
      <w:tr w14:paraId="215BB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9E9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2649D1">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r>
      <w:tr w14:paraId="1322C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E4EEB4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69979003">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r>
      <w:tr w14:paraId="03253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D8185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6148B5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8109.10</w:t>
            </w:r>
          </w:p>
        </w:tc>
      </w:tr>
      <w:tr w14:paraId="7FD28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DE127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21DC25A2">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3533.30</w:t>
            </w:r>
          </w:p>
        </w:tc>
      </w:tr>
      <w:tr w14:paraId="4939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A1F15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9297FAA">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2890.70</w:t>
            </w:r>
          </w:p>
        </w:tc>
      </w:tr>
      <w:tr w14:paraId="4C58B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8AECC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527163EE">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r>
      <w:tr w14:paraId="0079B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6E8C00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56AF845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4471.40</w:t>
            </w:r>
          </w:p>
        </w:tc>
      </w:tr>
      <w:tr w14:paraId="12641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22AE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77E261B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5444.20</w:t>
            </w:r>
          </w:p>
        </w:tc>
      </w:tr>
      <w:tr w14:paraId="5DD3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1DDED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02DF3DA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6733.20</w:t>
            </w:r>
          </w:p>
        </w:tc>
      </w:tr>
      <w:tr w14:paraId="59B7A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20B5477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48B366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6734.10</w:t>
            </w:r>
          </w:p>
        </w:tc>
      </w:tr>
    </w:tbl>
    <w:p w14:paraId="147E13F7">
      <w:pPr>
        <w:bidi w:val="0"/>
        <w:ind w:firstLine="480" w:firstLineChars="200"/>
        <w:rPr>
          <w:rFonts w:hint="eastAsia" w:ascii="黑体" w:hAnsi="黑体" w:eastAsia="黑体" w:cs="黑体"/>
          <w:sz w:val="24"/>
          <w:szCs w:val="24"/>
          <w:lang w:val="en-US" w:eastAsia="zh-CN"/>
        </w:rPr>
      </w:pPr>
    </w:p>
    <w:p w14:paraId="5526EC52">
      <w:pPr>
        <w:bidi w:val="0"/>
        <w:ind w:firstLine="480" w:firstLineChars="200"/>
        <w:rPr>
          <w:rFonts w:hint="eastAsia" w:ascii="黑体" w:hAnsi="黑体" w:eastAsia="黑体" w:cs="黑体"/>
          <w:sz w:val="24"/>
          <w:szCs w:val="24"/>
          <w:lang w:val="en-US" w:eastAsia="zh-CN"/>
        </w:rPr>
      </w:pPr>
    </w:p>
    <w:p w14:paraId="0281581E">
      <w:pPr>
        <w:bidi w:val="0"/>
        <w:ind w:firstLine="480" w:firstLineChars="200"/>
        <w:rPr>
          <w:rFonts w:hint="eastAsia" w:ascii="黑体" w:hAnsi="黑体" w:eastAsia="黑体" w:cs="黑体"/>
          <w:sz w:val="24"/>
          <w:szCs w:val="24"/>
          <w:lang w:val="en-US" w:eastAsia="zh-CN"/>
        </w:rPr>
      </w:pPr>
    </w:p>
    <w:p w14:paraId="6AC0477A">
      <w:pPr>
        <w:bidi w:val="0"/>
        <w:ind w:firstLine="480" w:firstLineChars="200"/>
        <w:rPr>
          <w:rFonts w:hint="eastAsia" w:ascii="黑体" w:hAnsi="黑体" w:eastAsia="黑体" w:cs="黑体"/>
          <w:sz w:val="24"/>
          <w:szCs w:val="24"/>
          <w:lang w:val="en-US" w:eastAsia="zh-CN"/>
        </w:rPr>
      </w:pPr>
    </w:p>
    <w:p w14:paraId="03A19103">
      <w:pPr>
        <w:bidi w:val="0"/>
        <w:ind w:firstLine="480" w:firstLineChars="200"/>
        <w:rPr>
          <w:rFonts w:hint="eastAsia" w:ascii="黑体" w:hAnsi="黑体" w:eastAsia="黑体" w:cs="黑体"/>
          <w:sz w:val="24"/>
          <w:szCs w:val="24"/>
          <w:lang w:val="en-US" w:eastAsia="zh-CN"/>
        </w:rPr>
      </w:pPr>
    </w:p>
    <w:p w14:paraId="6E665369">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2" name="椭圆 1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1312;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KHE91N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A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ocT3U3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季节性分析</w:t>
      </w:r>
    </w:p>
    <w:p w14:paraId="0BF8EF4F">
      <w:pPr>
        <w:bidi w:val="0"/>
        <w:rPr>
          <w:rFonts w:hint="eastAsia" w:ascii="黑体" w:hAnsi="黑体" w:eastAsia="黑体" w:cs="黑体"/>
          <w:sz w:val="24"/>
          <w:szCs w:val="24"/>
          <w:lang w:val="en-US" w:eastAsia="zh-CN"/>
        </w:rPr>
      </w:pPr>
    </w:p>
    <w:p w14:paraId="2A161BE0">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根据</w:t>
      </w:r>
      <w:r>
        <w:rPr>
          <w:rFonts w:hint="eastAsia" w:ascii="黑体" w:hAnsi="黑体" w:eastAsia="黑体" w:cs="黑体"/>
          <w:sz w:val="24"/>
          <w:szCs w:val="24"/>
          <w:lang w:val="en-US" w:eastAsia="zh-CN"/>
        </w:rPr>
        <w:t>已得到</w:t>
      </w:r>
      <w:r>
        <w:rPr>
          <w:rFonts w:hint="eastAsia" w:ascii="黑体" w:hAnsi="黑体" w:eastAsia="黑体" w:cs="黑体"/>
          <w:sz w:val="24"/>
          <w:szCs w:val="24"/>
        </w:rPr>
        <w:t>的碳酸饮料月度销售数据，计算其季节性指数，以量化该品类销售的季节性波动规律。季节性指数用于衡量各月份的销售额相对于全年平均月度销售额的典型波动程度。</w:t>
      </w:r>
    </w:p>
    <w:p w14:paraId="58A1A9D2">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rPr>
        <w:t>给定的时间序列数据为 {Yₜ}，其中 t = 1, 2, ..., 12，分别对应从2021年6月到2022年5月的12个数据点。这是一个完整的周期（12个月），但起始点不是1月，这在进行年度间比较时需要注意，但对于计算一个周期内的相对季节性模式没有影响。</w:t>
      </w:r>
    </w:p>
    <w:p w14:paraId="42846CE1">
      <w:pPr>
        <w:bidi w:val="0"/>
        <w:ind w:firstLine="480" w:firstLineChars="20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我们采用移动平均比率法，该方法将时间序列（Y）分解为三个组成部分趋势（T）、季节性（S）和不规则波动（I），此处我们不考虑不规则波动，则：</w:t>
      </w:r>
    </w:p>
    <w:p w14:paraId="07A1DE1E">
      <w:pPr>
        <w:bidi w:val="0"/>
        <w:rPr>
          <w:rFonts w:hint="eastAsia" w:ascii="黑体" w:hAnsi="黑体" w:eastAsia="黑体" w:cs="黑体"/>
          <w:sz w:val="24"/>
          <w:szCs w:val="24"/>
          <w:lang w:eastAsia="zh-CN"/>
        </w:rPr>
      </w:pPr>
    </w:p>
    <w:p w14:paraId="21BF8A05">
      <w:pPr>
        <w:bidi w:val="0"/>
        <w:rPr>
          <w:rFonts w:hint="eastAsia" w:ascii="黑体" w:hAnsi="黑体" w:eastAsia="黑体" w:cs="黑体"/>
          <w:sz w:val="24"/>
          <w:szCs w:val="24"/>
          <w:lang w:eastAsia="zh-CN"/>
        </w:rPr>
      </w:pPr>
    </w:p>
    <w:p w14:paraId="17DF09CC">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r>
                <m:rPr/>
                <w:rPr>
                  <w:rFonts w:hint="default" w:ascii="Cambria Math" w:hAnsi="Cambria Math" w:eastAsia="Courier New"/>
                  <w:sz w:val="28"/>
                  <w:szCs w:val="28"/>
                </w:rPr>
                <m:t>=</m:t>
              </m:r>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ctrlPr>
                <w:rPr>
                  <w:rFonts w:hint="default" w:ascii="Cambria Math" w:hAnsi="Cambria Math" w:eastAsia="Courier New"/>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10</m:t>
        </m:r>
        <m:r>
          <m:rPr/>
          <w:rPr>
            <w:rFonts w:hint="default" w:ascii="Cambria Math" w:hAnsi="Cambria Math"/>
            <w:sz w:val="28"/>
          </w:rPr>
          <m:t>)</m:t>
        </m:r>
      </m:oMath>
    </w:p>
    <w:p w14:paraId="4765842F">
      <w:pPr>
        <w:bidi w:val="0"/>
        <w:rPr>
          <w:rFonts w:hint="eastAsia" w:ascii="黑体" w:hAnsi="黑体" w:eastAsia="黑体" w:cs="黑体"/>
          <w:sz w:val="24"/>
          <w:szCs w:val="24"/>
        </w:rPr>
      </w:pPr>
    </w:p>
    <w:p w14:paraId="28D2CF46">
      <w:pPr>
        <w:bidi w:val="0"/>
        <w:rPr>
          <w:rFonts w:hint="eastAsia" w:ascii="黑体" w:hAnsi="黑体" w:eastAsia="黑体" w:cs="黑体"/>
          <w:i w:val="0"/>
          <w:sz w:val="24"/>
          <w:szCs w:val="24"/>
          <w:lang w:val="en-US" w:eastAsia="zh-CN"/>
        </w:rPr>
      </w:pPr>
      <w:r>
        <w:rPr>
          <w:rFonts w:hint="eastAsia" w:ascii="黑体" w:hAnsi="黑体" w:eastAsia="黑体" w:cs="黑体"/>
          <w:sz w:val="24"/>
          <w:szCs w:val="24"/>
          <w:lang w:val="en-US" w:eastAsia="zh-CN"/>
        </w:rPr>
        <w:t>其中</w:t>
      </w:r>
      <m:oMath>
        <m:sSub>
          <m:sSubPr>
            <m:ctrlPr>
              <w:rPr>
                <w:rFonts w:hint="eastAsia" w:ascii="Cambria Math" w:hAnsi="Cambria Math" w:eastAsia="黑体" w:cs="黑体"/>
                <w:sz w:val="24"/>
                <w:szCs w:val="24"/>
              </w:rPr>
            </m:ctrlPr>
          </m:sSubPr>
          <m:e>
            <m:r>
              <m:rPr>
                <m:sty m:val="p"/>
              </m:rPr>
              <w:rPr>
                <w:rFonts w:hint="default" w:ascii="Cambria Math" w:hAnsi="Cambria Math" w:eastAsia="黑体" w:cs="黑体"/>
                <w:sz w:val="24"/>
                <w:szCs w:val="24"/>
              </w:rPr>
              <m:t>S</m:t>
            </m:r>
            <m:ctrlPr>
              <w:rPr>
                <w:rFonts w:hint="eastAsia" w:ascii="Cambria Math" w:hAnsi="Cambria Math" w:eastAsia="黑体" w:cs="黑体"/>
                <w:sz w:val="24"/>
                <w:szCs w:val="24"/>
              </w:rPr>
            </m:ctrlPr>
          </m:e>
          <m:sub>
            <m:r>
              <m:rPr>
                <m:sty m:val="p"/>
              </m:rPr>
              <w:rPr>
                <w:rFonts w:hint="default" w:ascii="Cambria Math" w:hAnsi="Cambria Math" w:eastAsia="黑体" w:cs="黑体"/>
                <w:sz w:val="24"/>
                <w:szCs w:val="24"/>
              </w:rPr>
              <m:t>j</m:t>
            </m:r>
            <m:ctrlPr>
              <w:rPr>
                <w:rFonts w:hint="eastAsia" w:ascii="Cambria Math" w:hAnsi="Cambria Math" w:eastAsia="黑体" w:cs="黑体"/>
                <w:sz w:val="24"/>
                <w:szCs w:val="24"/>
              </w:rPr>
            </m:ctrlPr>
          </m:sub>
        </m:sSub>
      </m:oMath>
      <w:r>
        <w:rPr>
          <w:rFonts w:hint="eastAsia" w:ascii="黑体" w:hAnsi="黑体" w:eastAsia="黑体" w:cs="黑体"/>
          <w:sz w:val="24"/>
          <w:szCs w:val="24"/>
          <w:lang w:val="en-US" w:eastAsia="zh-CN"/>
        </w:rPr>
        <w:t>代表季节性指数，</w:t>
      </w:r>
      <w:r>
        <w:rPr>
          <w:rFonts w:hint="eastAsia" w:ascii="黑体" w:hAnsi="黑体" w:eastAsia="黑体" w:cs="黑体"/>
          <w:sz w:val="24"/>
          <w:szCs w:val="24"/>
        </w:rPr>
        <w:t>用于衡量各月份的销售额相对于全年平均月度销售额的偏离程度。</w:t>
      </w:r>
      <m:oMath>
        <m:acc>
          <m:accPr>
            <m:chr m:val="̄"/>
            <m:ctrlPr>
              <w:rPr>
                <w:rFonts w:hint="eastAsia" w:ascii="Cambria Math" w:hAnsi="Cambria Math" w:eastAsia="黑体" w:cs="黑体"/>
                <w:sz w:val="24"/>
                <w:szCs w:val="24"/>
              </w:rPr>
            </m:ctrlPr>
          </m:accPr>
          <m:e>
            <m:r>
              <m:rPr/>
              <w:rPr>
                <w:rFonts w:hint="eastAsia" w:ascii="Cambria Math" w:hAnsi="Cambria Math" w:eastAsia="黑体" w:cs="黑体"/>
                <w:sz w:val="24"/>
                <w:szCs w:val="24"/>
              </w:rPr>
              <m:t>x</m:t>
            </m:r>
            <m:ctrlPr>
              <w:rPr>
                <w:rFonts w:hint="eastAsia" w:ascii="Cambria Math" w:hAnsi="Cambria Math" w:eastAsia="黑体" w:cs="黑体"/>
                <w:sz w:val="24"/>
                <w:szCs w:val="24"/>
              </w:rPr>
            </m:ctrlPr>
          </m:e>
        </m:acc>
      </m:oMath>
      <w:r>
        <w:rPr>
          <w:rFonts w:hint="eastAsia" w:ascii="黑体" w:hAnsi="黑体" w:eastAsia="黑体" w:cs="黑体"/>
          <w:i w:val="0"/>
          <w:sz w:val="24"/>
          <w:szCs w:val="24"/>
          <w:lang w:val="en-US" w:eastAsia="zh-CN"/>
        </w:rPr>
        <w:t>代表序列平均值，</w:t>
      </w:r>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x</m:t>
            </m:r>
            <m:ctrlPr>
              <w:rPr>
                <w:rFonts w:hint="eastAsia" w:ascii="Cambria Math" w:hAnsi="Cambria Math" w:eastAsia="黑体" w:cs="黑体"/>
                <w:sz w:val="24"/>
                <w:szCs w:val="24"/>
              </w:rPr>
            </m:ctrlPr>
          </m:e>
          <m:sub>
            <m:r>
              <m:rPr/>
              <w:rPr>
                <w:rFonts w:hint="eastAsia" w:ascii="Cambria Math" w:hAnsi="Cambria Math" w:eastAsia="黑体" w:cs="黑体"/>
                <w:sz w:val="24"/>
                <w:szCs w:val="24"/>
              </w:rPr>
              <m:t>j</m:t>
            </m:r>
            <m:ctrlPr>
              <w:rPr>
                <w:rFonts w:hint="eastAsia" w:ascii="Cambria Math" w:hAnsi="Cambria Math" w:eastAsia="黑体" w:cs="黑体"/>
                <w:sz w:val="24"/>
                <w:szCs w:val="24"/>
              </w:rPr>
            </m:ctrlPr>
          </m:sub>
        </m:sSub>
      </m:oMath>
      <w:r>
        <w:rPr>
          <w:rFonts w:hint="eastAsia" w:ascii="黑体" w:hAnsi="黑体" w:eastAsia="黑体" w:cs="黑体"/>
          <w:i w:val="0"/>
          <w:sz w:val="24"/>
          <w:szCs w:val="24"/>
          <w:lang w:val="en-US" w:eastAsia="zh-CN"/>
        </w:rPr>
        <w:t>为原始观测数据</w:t>
      </w:r>
    </w:p>
    <w:p w14:paraId="2F7B9D43">
      <w:pPr>
        <w:bidi w:val="0"/>
        <w:rPr>
          <w:rFonts w:hint="eastAsia" w:ascii="黑体" w:hAnsi="黑体" w:eastAsia="黑体" w:cs="黑体"/>
          <w:i w:val="0"/>
          <w:sz w:val="24"/>
          <w:szCs w:val="24"/>
          <w:lang w:val="en-US" w:eastAsia="zh-CN"/>
        </w:rPr>
      </w:pPr>
    </w:p>
    <w:p w14:paraId="019FF030">
      <w:p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周期内序列平均值：</w:t>
      </w:r>
    </w:p>
    <w:p w14:paraId="3573F7D5">
      <w:pPr>
        <w:bidi w:val="0"/>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 xml:space="preserve"> </w:t>
      </w:r>
    </w:p>
    <w:p w14:paraId="4EDF6626">
      <w:pPr>
        <w:bidi w:val="0"/>
        <w:ind w:firstLine="8960" w:firstLineChars="3200"/>
        <w:rPr>
          <w:rFonts w:hint="eastAsia" w:hAnsi="Cambria Math" w:eastAsia="宋体"/>
          <w:i w:val="0"/>
          <w:sz w:val="28"/>
          <w:szCs w:val="28"/>
          <w:lang w:val="en-US" w:eastAsia="zh-CN"/>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nary>
                      <m:naryPr>
                        <m:chr m:val="∑"/>
                        <m:limLoc m:val="undOvr"/>
                        <m:ctrlPr>
                          <w:rPr>
                            <w:rFonts w:hint="default" w:ascii="Cambria Math" w:hAnsi="Cambria Math" w:eastAsia="Courier New"/>
                            <w:sz w:val="28"/>
                            <w:szCs w:val="28"/>
                          </w:rPr>
                        </m:ctrlPr>
                      </m:naryPr>
                      <m:sub>
                        <m:r>
                          <m:rPr/>
                          <w:rPr>
                            <w:rFonts w:hint="default" w:ascii="Cambria Math" w:hAnsi="Cambria Math" w:eastAsia="Courier New"/>
                            <w:sz w:val="28"/>
                            <w:szCs w:val="28"/>
                          </w:rPr>
                          <m:t>i=1</m:t>
                        </m:r>
                        <m:ctrlPr>
                          <w:rPr>
                            <w:rFonts w:ascii="Cambria Math" w:hAnsi="Cambria Math" w:eastAsia="Courier New"/>
                            <w:sz w:val="28"/>
                            <w:szCs w:val="28"/>
                          </w:rPr>
                        </m:ctrlPr>
                      </m:sub>
                      <m:sup>
                        <m:r>
                          <m:rPr/>
                          <w:rPr>
                            <w:rFonts w:hint="default" w:ascii="Cambria Math" w:hAnsi="Cambria Math" w:eastAsia="Courier New"/>
                            <w:sz w:val="28"/>
                            <w:szCs w:val="28"/>
                          </w:rPr>
                          <m:t>n</m:t>
                        </m:r>
                        <m:ctrlPr>
                          <w:rPr>
                            <w:rFonts w:ascii="Cambria Math" w:hAnsi="Cambria Math" w:eastAsia="Courier New"/>
                            <w:sz w:val="28"/>
                            <w:szCs w:val="28"/>
                          </w:rPr>
                        </m:ctrlPr>
                      </m:sup>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ik</m:t>
                            </m:r>
                            <m:ctrlPr>
                              <w:rPr>
                                <w:rFonts w:ascii="Cambria Math" w:hAnsi="Cambria Math" w:eastAsia="Courier New"/>
                                <w:sz w:val="28"/>
                                <w:szCs w:val="28"/>
                              </w:rPr>
                            </m:ctrlPr>
                          </m:sub>
                        </m:sSub>
                        <m:ctrlPr>
                          <w:rPr>
                            <w:rFonts w:hint="default" w:ascii="Cambria Math" w:hAnsi="Cambria Math" w:eastAsia="Courier New"/>
                            <w:sz w:val="28"/>
                            <w:szCs w:val="28"/>
                          </w:rPr>
                        </m:ctrlPr>
                      </m:e>
                    </m:nary>
                    <m:ctrlPr>
                      <w:rPr>
                        <w:rFonts w:hint="default" w:ascii="Cambria Math" w:hAnsi="Cambria Math" w:eastAsia="Courier New"/>
                        <w:sz w:val="28"/>
                        <w:szCs w:val="28"/>
                      </w:rPr>
                    </m:ctrlPr>
                  </m:num>
                  <m:den>
                    <m:r>
                      <m:rPr/>
                      <w:rPr>
                        <w:rFonts w:hint="default" w:ascii="Cambria Math" w:hAnsi="Cambria Math" w:eastAsia="Courier New"/>
                        <w:sz w:val="28"/>
                        <w:szCs w:val="28"/>
                      </w:rPr>
                      <m:t>n</m:t>
                    </m:r>
                    <m:ctrlPr>
                      <w:rPr>
                        <w:rFonts w:hint="default" w:ascii="Cambria Math" w:hAnsi="Cambria Math" w:eastAsia="Courier New"/>
                        <w:sz w:val="28"/>
                        <w:szCs w:val="28"/>
                      </w:rPr>
                    </m:ctrlPr>
                  </m:den>
                </m:f>
                <m:r>
                  <m:rPr/>
                  <w:rPr>
                    <w:rFonts w:hint="default" w:ascii="Cambria Math" w:hAnsi="Cambria Math" w:eastAsia="Courier New"/>
                    <w:sz w:val="28"/>
                    <w:szCs w:val="28"/>
                  </w:rPr>
                  <m:t>, k=1</m:t>
                </m:r>
                <m:r>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11</m:t>
          </m:r>
          <m:r>
            <m:rPr/>
            <w:rPr>
              <w:rFonts w:hint="default" w:ascii="Cambria Math" w:hAnsi="Cambria Math"/>
              <w:sz w:val="28"/>
            </w:rPr>
            <m:t>)</m:t>
          </m:r>
        </m:oMath>
      </m:oMathPara>
    </w:p>
    <w:p w14:paraId="1AEA5339">
      <w:pPr>
        <w:bidi w:val="0"/>
        <w:rPr>
          <w:rFonts w:hint="default" w:hAnsi="Cambria Math" w:eastAsia="Courier New"/>
          <w:i w:val="0"/>
          <w:sz w:val="28"/>
          <w:szCs w:val="28"/>
        </w:rPr>
      </w:pPr>
    </w:p>
    <w:p w14:paraId="6F4D69F9">
      <w:pPr>
        <w:bidi w:val="0"/>
        <w:rPr>
          <w:rFonts w:hint="default" w:hAnsi="Cambria Math" w:eastAsia="Courier New"/>
          <w:i w:val="0"/>
          <w:sz w:val="28"/>
          <w:szCs w:val="28"/>
        </w:rPr>
      </w:pPr>
    </w:p>
    <w:p w14:paraId="3BF08E2A">
      <w:p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季节性指数：</w:t>
      </w:r>
    </w:p>
    <w:p w14:paraId="6E904217">
      <w:pPr>
        <w:bidi w:val="0"/>
        <w:rPr>
          <w:rFonts w:hint="eastAsia" w:ascii="黑体" w:hAnsi="黑体" w:eastAsia="黑体" w:cs="黑体"/>
          <w:i w:val="0"/>
          <w:sz w:val="24"/>
          <w:szCs w:val="24"/>
          <w:lang w:val="en-US" w:eastAsia="zh-CN"/>
        </w:rPr>
      </w:pPr>
    </w:p>
    <w:p w14:paraId="599D774F">
      <w:pPr>
        <w:bidi w:val="0"/>
        <w:rPr>
          <w:rFonts w:hint="eastAsia" w:ascii="黑体" w:hAnsi="黑体" w:eastAsia="黑体" w:cs="黑体"/>
          <w:i w:val="0"/>
          <w:sz w:val="24"/>
          <w:szCs w:val="24"/>
          <w:lang w:val="en-US" w:eastAsia="zh-CN"/>
        </w:rPr>
      </w:pPr>
    </w:p>
    <w:p w14:paraId="514BA5F3">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k</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ctrlPr>
                    <w:rPr>
                      <w:rFonts w:hint="default" w:ascii="Cambria Math" w:hAnsi="Cambria Math" w:eastAsia="Courier New"/>
                      <w:sz w:val="28"/>
                      <w:szCs w:val="28"/>
                    </w:rPr>
                  </m:ctrlPr>
                </m:num>
                <m:den>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hint="default" w:ascii="Cambria Math" w:hAnsi="Cambria Math" w:eastAsia="Courier New"/>
                          <w:sz w:val="28"/>
                          <w:szCs w:val="28"/>
                        </w:rPr>
                      </m:ctrlPr>
                    </m:e>
                  </m:acc>
                  <m:ctrlPr>
                    <w:rPr>
                      <w:rFonts w:hint="default" w:ascii="Cambria Math" w:hAnsi="Cambria Math" w:eastAsia="Courier New"/>
                      <w:sz w:val="28"/>
                      <w:szCs w:val="28"/>
                    </w:rPr>
                  </m:ctrlPr>
                </m:den>
              </m:f>
              <m:r>
                <m:rPr/>
                <w:rPr>
                  <w:rFonts w:hint="default" w:ascii="Cambria Math" w:hAnsi="Cambria Math" w:eastAsia="Courier New"/>
                  <w:sz w:val="28"/>
                  <w:szCs w:val="28"/>
                </w:rPr>
                <m:t>, k=1</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12</m:t>
        </m:r>
        <m:r>
          <m:rPr/>
          <w:rPr>
            <w:rFonts w:hint="default" w:ascii="Cambria Math" w:hAnsi="Cambria Math"/>
            <w:sz w:val="28"/>
          </w:rPr>
          <m:t>)</m:t>
        </m:r>
      </m:oMath>
    </w:p>
    <w:p w14:paraId="30699ED9">
      <w:pPr>
        <w:bidi w:val="0"/>
        <w:rPr>
          <w:rFonts w:hint="default" w:hAnsi="Cambria Math" w:eastAsia="宋体"/>
          <w:i w:val="0"/>
          <w:sz w:val="28"/>
          <w:szCs w:val="28"/>
          <w:lang w:val="en-US" w:eastAsia="zh-CN"/>
        </w:rPr>
      </w:pPr>
    </w:p>
    <w:p w14:paraId="701A2558">
      <w:pPr>
        <w:bidi w:val="0"/>
        <w:rPr>
          <w:rFonts w:hint="default" w:hAnsi="Cambria Math" w:eastAsia="宋体"/>
          <w:i w:val="0"/>
          <w:sz w:val="28"/>
          <w:szCs w:val="28"/>
          <w:lang w:val="en-US" w:eastAsia="zh-CN"/>
        </w:rPr>
      </w:pPr>
    </w:p>
    <w:p w14:paraId="7B3EC12A">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t>季节指数反映了该季度与总平均值之间的一种比较稳定的关系</w:t>
      </w:r>
    </w:p>
    <w:p w14:paraId="3AAAA1E9">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14:paraId="41AE1A6E">
      <w:pPr>
        <w:bidi w:val="0"/>
        <w:rPr>
          <w:rFonts w:hint="eastAsia" w:ascii="黑体" w:hAnsi="黑体" w:eastAsia="黑体" w:cs="黑体"/>
          <w:i w:val="0"/>
          <w:iCs w:val="0"/>
          <w:caps w:val="0"/>
          <w:color w:val="000000" w:themeColor="text1"/>
          <w:spacing w:val="0"/>
          <w:sz w:val="24"/>
          <w:szCs w:val="24"/>
          <w:shd w:val="clear" w:fill="FFFFFF"/>
          <w14:textFill>
            <w14:solidFill>
              <w14:schemeClr w14:val="tx1"/>
            </w14:solidFill>
          </w14:textFill>
        </w:rPr>
      </w:pPr>
    </w:p>
    <w:p w14:paraId="3FAFFCB0">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计算结果：</w:t>
      </w:r>
    </w:p>
    <w:p w14:paraId="348040CC">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33F6769F">
      <w:pPr>
        <w:bidi w:val="0"/>
        <w:ind w:firstLine="2319" w:firstLineChars="1100"/>
        <w:jc w:val="both"/>
        <w:rPr>
          <w:rFonts w:hint="eastAsia" w:ascii="黑体" w:hAnsi="黑体" w:eastAsia="黑体" w:cs="黑体"/>
          <w:sz w:val="24"/>
          <w:szCs w:val="24"/>
        </w:rPr>
      </w:pPr>
      <w:r>
        <w:rPr>
          <w:rFonts w:hint="eastAsia" w:ascii="黑体" w:hAnsi="黑体" w:eastAsia="黑体" w:cs="黑体"/>
          <w:b/>
          <w:bCs/>
          <w:color w:val="auto"/>
          <w:kern w:val="2"/>
          <w:sz w:val="21"/>
          <w:szCs w:val="21"/>
          <w:lang w:val="en-US" w:eastAsia="zh-CN" w:bidi="ar-SA"/>
        </w:rPr>
        <w:t>表5.7  碳酸饮料销售额季节性指数</w:t>
      </w:r>
    </w:p>
    <w:p w14:paraId="0F51BDF9">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7742F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4793F33C">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0CF7EDA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2A380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2299B3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EB4133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1.359</w:t>
            </w:r>
          </w:p>
        </w:tc>
      </w:tr>
      <w:tr w14:paraId="702B5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7055B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E22E73F">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2.298</w:t>
            </w:r>
          </w:p>
        </w:tc>
      </w:tr>
      <w:tr w14:paraId="592D7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756180A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E18A5A">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1.027</w:t>
            </w:r>
          </w:p>
        </w:tc>
      </w:tr>
      <w:tr w14:paraId="702CC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95C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B727CB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1.033</w:t>
            </w:r>
          </w:p>
        </w:tc>
      </w:tr>
      <w:tr w14:paraId="39E27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583AD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5BCC70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1.028</w:t>
            </w:r>
          </w:p>
        </w:tc>
      </w:tr>
      <w:tr w14:paraId="2BA30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CC61B6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47090AE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0.448</w:t>
            </w:r>
          </w:p>
        </w:tc>
      </w:tr>
      <w:tr w14:paraId="62AF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B7E066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895753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0.366</w:t>
            </w:r>
          </w:p>
        </w:tc>
      </w:tr>
      <w:tr w14:paraId="77E58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C29EDE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02F60E1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1.336</w:t>
            </w:r>
          </w:p>
        </w:tc>
      </w:tr>
      <w:tr w14:paraId="3AEDF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1905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44F8B15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0.567</w:t>
            </w:r>
          </w:p>
        </w:tc>
      </w:tr>
      <w:tr w14:paraId="6CA59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DA7E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255F9A5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0.69</w:t>
            </w:r>
          </w:p>
        </w:tc>
      </w:tr>
      <w:tr w14:paraId="7834D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A48E6E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5CC826F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r w14:paraId="519BA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453F850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1DA0E8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bl>
    <w:p w14:paraId="785E9020">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2A2A2429">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13605C16">
      <w:pPr>
        <w:bidi w:val="0"/>
        <w:rPr>
          <w:rFonts w:hint="default"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p w14:paraId="3B0018FB">
      <w:pPr>
        <w:bidi w:val="0"/>
        <w:rPr>
          <w:rFonts w:hint="default" w:hAnsi="Cambria Math" w:eastAsia="Courier New"/>
          <w:i w:val="0"/>
          <w:sz w:val="28"/>
          <w:szCs w:val="28"/>
        </w:rPr>
      </w:pPr>
      <m:oMathPara>
        <m:oMath>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eastAsia" w:ascii="Cambria Math" w:hAnsi="Cambria Math" w:eastAsia="黑体" w:cs="黑体"/>
                      <w:sz w:val="28"/>
                      <w:szCs w:val="28"/>
                    </w:rPr>
                  </m:ctrlPr>
                </m:mP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&gt;1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季度值高于平均值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没有明显季节性</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&lt;1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季度值低于平均值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mr>
              </m:m>
              <m:ctrlPr>
                <w:rPr>
                  <w:rFonts w:hint="default" w:ascii="Cambria Math" w:hAnsi="Cambria Math" w:eastAsia="Courier New"/>
                  <w:sz w:val="28"/>
                  <w:szCs w:val="28"/>
                </w:rPr>
              </m:ctrlPr>
            </m:e>
          </m:d>
        </m:oMath>
      </m:oMathPara>
    </w:p>
    <w:p w14:paraId="7362BF6C">
      <w:pPr>
        <w:bidi w:val="0"/>
        <w:rPr>
          <w:rFonts w:hint="eastAsia" w:ascii="黑体" w:hAnsi="黑体" w:eastAsia="黑体" w:cs="黑体"/>
          <w:sz w:val="24"/>
          <w:szCs w:val="24"/>
        </w:rPr>
      </w:pPr>
    </w:p>
    <w:p w14:paraId="1B0EEE0D">
      <w:pPr>
        <w:bidi w:val="0"/>
        <w:ind w:firstLine="480" w:firstLineChars="200"/>
        <w:rPr>
          <w:rFonts w:hint="eastAsia" w:ascii="黑体" w:hAnsi="黑体" w:eastAsia="黑体" w:cs="黑体"/>
          <w:sz w:val="24"/>
          <w:szCs w:val="24"/>
        </w:rPr>
      </w:pPr>
    </w:p>
    <w:p w14:paraId="56F93E22">
      <w:pPr>
        <w:bidi w:val="0"/>
        <w:ind w:firstLine="480" w:firstLineChars="200"/>
        <w:rPr>
          <w:rFonts w:hint="eastAsia" w:ascii="黑体" w:hAnsi="黑体" w:eastAsia="黑体" w:cs="黑体"/>
          <w:sz w:val="24"/>
          <w:szCs w:val="24"/>
        </w:rPr>
      </w:pPr>
    </w:p>
    <w:p w14:paraId="7E96AF62">
      <w:pPr>
        <w:bidi w:val="0"/>
        <w:ind w:firstLine="480" w:firstLineChars="200"/>
        <w:rPr>
          <w:rFonts w:hint="eastAsia" w:ascii="黑体" w:hAnsi="黑体" w:eastAsia="黑体" w:cs="黑体"/>
          <w:sz w:val="24"/>
          <w:szCs w:val="24"/>
        </w:rPr>
      </w:pPr>
    </w:p>
    <w:p w14:paraId="558A8BE2">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根据计算结果，该碳酸饮料的销售呈现出极其显著且尖锐的季节性特征。7月份的季节性指数高达 2.298，是全年销售的绝对顶峰，其销售额是月平均水平的2.3倍。这强烈印证了夏季高温对冷饮需求的巨大拉动作用。</w:t>
      </w:r>
    </w:p>
    <w:p w14:paraId="1C3D52CC">
      <w:pPr>
        <w:bidi w:val="0"/>
      </w:pPr>
    </w:p>
    <w:p w14:paraId="49B1672C">
      <w:pPr>
        <w:bidi w:val="0"/>
      </w:pPr>
    </w:p>
    <w:p w14:paraId="18AB1D13">
      <w:pPr>
        <w:bidi w:val="0"/>
        <w:rPr>
          <w:rFonts w:hint="default"/>
          <w:lang w:val="en-US" w:eastAsia="zh-CN"/>
        </w:rPr>
      </w:pPr>
    </w:p>
    <w:p w14:paraId="59953D5C">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可视化运行结果：</w:t>
      </w:r>
    </w:p>
    <w:p w14:paraId="5F1B5229">
      <w:pPr>
        <w:bidi w:val="0"/>
      </w:pPr>
      <w:r>
        <w:drawing>
          <wp:inline distT="0" distB="0" distL="114300" distR="114300">
            <wp:extent cx="5269230" cy="2621915"/>
            <wp:effectExtent l="0" t="0" r="762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69230" cy="2621915"/>
                    </a:xfrm>
                    <a:prstGeom prst="rect">
                      <a:avLst/>
                    </a:prstGeom>
                    <a:noFill/>
                    <a:ln>
                      <a:noFill/>
                    </a:ln>
                  </pic:spPr>
                </pic:pic>
              </a:graphicData>
            </a:graphic>
          </wp:inline>
        </w:drawing>
      </w:r>
    </w:p>
    <w:p w14:paraId="11AB5C76">
      <w:pPr>
        <w:bidi w:val="0"/>
        <w:ind w:firstLine="2951" w:firstLineChars="14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图5.7  碳酸饮料季度可视化</w:t>
      </w:r>
    </w:p>
    <w:p w14:paraId="01EAF99B">
      <w:pPr>
        <w:bidi w:val="0"/>
        <w:rPr>
          <w:rFonts w:hint="default"/>
          <w:lang w:val="en-US" w:eastAsia="zh-CN"/>
        </w:rPr>
      </w:pPr>
    </w:p>
    <w:p w14:paraId="036E900E">
      <w:pPr>
        <w:bidi w:val="0"/>
        <w:rPr>
          <w:rFonts w:hint="default"/>
          <w:lang w:val="en-US" w:eastAsia="zh-CN"/>
        </w:rPr>
      </w:pPr>
    </w:p>
    <w:p w14:paraId="47BF656F">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黑体" w:hAnsi="黑体" w:eastAsia="黑体" w:cs="黑体"/>
          <w:b/>
          <w:bCs/>
          <w:color w:val="auto"/>
          <w:kern w:val="2"/>
          <w:sz w:val="24"/>
          <w:szCs w:val="24"/>
          <w:lang w:val="en-US" w:eastAsia="zh-CN" w:bidi="ar-SA"/>
        </w:rPr>
      </w:pPr>
      <w:r>
        <w:rPr>
          <w:rFonts w:hint="eastAsia" w:ascii="黑体" w:hAnsi="黑体" w:eastAsia="黑体" w:cs="黑体"/>
          <w:b/>
          <w:bCs/>
          <w:color w:val="auto"/>
          <w:kern w:val="2"/>
          <w:sz w:val="24"/>
          <w:szCs w:val="24"/>
          <w:lang w:val="en-US" w:eastAsia="zh-CN" w:bidi="ar-SA"/>
        </w:rPr>
        <w:t>5.2.2 肉类品类分析</w:t>
      </w:r>
    </w:p>
    <w:p w14:paraId="6BCA6A7D">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4" name="椭圆 14"/>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233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CAZZ8Z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C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nx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数据预处理</w:t>
      </w:r>
    </w:p>
    <w:p w14:paraId="10E540FC">
      <w:pPr>
        <w:bidi w:val="0"/>
        <w:rPr>
          <w:rFonts w:hint="eastAsia" w:ascii="黑体" w:hAnsi="黑体" w:eastAsia="黑体" w:cs="黑体"/>
          <w:sz w:val="24"/>
          <w:szCs w:val="24"/>
          <w:lang w:val="en-US" w:eastAsia="zh-CN"/>
        </w:rPr>
      </w:pPr>
    </w:p>
    <w:p w14:paraId="5C128FDE">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与碳酸饮料数据预处理过程相同，提取月度信息。</w:t>
      </w:r>
    </w:p>
    <w:p w14:paraId="700222A4">
      <w:pPr>
        <w:bidi w:val="0"/>
        <w:rPr>
          <w:rFonts w:hint="default" w:ascii="黑体" w:hAnsi="黑体" w:eastAsia="黑体" w:cs="黑体"/>
          <w:sz w:val="24"/>
          <w:szCs w:val="24"/>
          <w:lang w:val="en-US" w:eastAsia="zh-CN"/>
        </w:rPr>
      </w:pPr>
    </w:p>
    <w:p w14:paraId="70FFB08A">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336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5" name="椭圆 15"/>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336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L+/ZxJ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数据聚合</w:t>
      </w:r>
    </w:p>
    <w:p w14:paraId="1C6BD30A">
      <w:pPr>
        <w:bidi w:val="0"/>
        <w:ind w:firstLine="3162" w:firstLineChars="1500"/>
        <w:rPr>
          <w:rFonts w:hint="eastAsia"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 xml:space="preserve">表5.8  肉品类年度销售额  </w:t>
      </w:r>
    </w:p>
    <w:p w14:paraId="67FC29ED">
      <w:pPr>
        <w:bidi w:val="0"/>
        <w:rPr>
          <w:rFonts w:hint="default"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2F2D4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09CF54F">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6593EE3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738F2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46451DB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754CD71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7343.7</w:t>
            </w:r>
          </w:p>
        </w:tc>
      </w:tr>
      <w:tr w14:paraId="3422B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3D34BE8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2F0BED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8330</w:t>
            </w:r>
          </w:p>
        </w:tc>
      </w:tr>
      <w:tr w14:paraId="58540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3E4B9C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4410014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8192.1</w:t>
            </w:r>
          </w:p>
        </w:tc>
      </w:tr>
      <w:tr w14:paraId="76BD9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E9D85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05A270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6694.7</w:t>
            </w:r>
          </w:p>
        </w:tc>
      </w:tr>
      <w:tr w14:paraId="20CC9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E5FE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0194E72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7209.7</w:t>
            </w:r>
          </w:p>
        </w:tc>
      </w:tr>
      <w:tr w14:paraId="6B2BE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FA0F82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5D511FE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5661.5</w:t>
            </w:r>
          </w:p>
        </w:tc>
      </w:tr>
      <w:tr w14:paraId="55128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F59DF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46C977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3615.6</w:t>
            </w:r>
          </w:p>
        </w:tc>
      </w:tr>
      <w:tr w14:paraId="27F59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15B8E8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3EC70D7E">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11388.4</w:t>
            </w:r>
          </w:p>
        </w:tc>
      </w:tr>
      <w:tr w14:paraId="1F9C9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829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06C8E6C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7625.51</w:t>
            </w:r>
          </w:p>
        </w:tc>
      </w:tr>
      <w:tr w14:paraId="39681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0D9F1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32D7953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5880.22</w:t>
            </w:r>
          </w:p>
        </w:tc>
      </w:tr>
      <w:tr w14:paraId="780DA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D91F7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6863C48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7039.1</w:t>
            </w:r>
          </w:p>
        </w:tc>
      </w:tr>
      <w:tr w14:paraId="24A59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20533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0E3EED2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6489.7</w:t>
            </w:r>
          </w:p>
        </w:tc>
      </w:tr>
    </w:tbl>
    <w:p w14:paraId="7BA1DB0F">
      <w:pPr>
        <w:bidi w:val="0"/>
        <w:rPr>
          <w:rFonts w:hint="default"/>
          <w:lang w:val="en-US" w:eastAsia="zh-CN"/>
        </w:rPr>
      </w:pPr>
    </w:p>
    <w:p w14:paraId="78662ABA">
      <w:pPr>
        <w:bidi w:val="0"/>
        <w:rPr>
          <w:rFonts w:hint="eastAsia"/>
          <w:lang w:val="en-US" w:eastAsia="zh-CN"/>
        </w:rPr>
      </w:pPr>
    </w:p>
    <w:p w14:paraId="22DB3D04">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438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6" name="椭圆 16"/>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438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&#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F9SF7V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季节性分析</w:t>
      </w:r>
    </w:p>
    <w:p w14:paraId="73CC0C2A">
      <w:pPr>
        <w:bidi w:val="0"/>
        <w:ind w:firstLine="2319" w:firstLineChars="1100"/>
        <w:jc w:val="both"/>
        <w:rPr>
          <w:rFonts w:hint="eastAsia"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表5.9  肉品类销售额季节性指数</w:t>
      </w:r>
    </w:p>
    <w:p w14:paraId="0EE2C71A">
      <w:pPr>
        <w:bidi w:val="0"/>
        <w:rPr>
          <w:rFonts w:hint="eastAsia"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921AA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1A246423">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309181B1">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1EFAD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79119D6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196DBF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1.031</w:t>
            </w:r>
          </w:p>
        </w:tc>
      </w:tr>
      <w:tr w14:paraId="01588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7548A7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750FDA0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1.169</w:t>
            </w:r>
          </w:p>
        </w:tc>
      </w:tr>
      <w:tr w14:paraId="2F80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40C252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3B8B0EA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1.15</w:t>
            </w:r>
          </w:p>
        </w:tc>
      </w:tr>
      <w:tr w14:paraId="71BCA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9340F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7D12627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0.94</w:t>
            </w:r>
          </w:p>
        </w:tc>
      </w:tr>
      <w:tr w14:paraId="22BD3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4FC9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FC3F18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1.012</w:t>
            </w:r>
          </w:p>
        </w:tc>
      </w:tr>
      <w:tr w14:paraId="3F562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F172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1DC1429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0.795</w:t>
            </w:r>
          </w:p>
        </w:tc>
      </w:tr>
      <w:tr w14:paraId="0F31F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6D2F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2AE8FE4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0.508</w:t>
            </w:r>
          </w:p>
        </w:tc>
      </w:tr>
      <w:tr w14:paraId="704BC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0A6BA8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1906422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1.599</w:t>
            </w:r>
          </w:p>
        </w:tc>
      </w:tr>
      <w:tr w14:paraId="37AD3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0F2A40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1BBEDC9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1.071</w:t>
            </w:r>
          </w:p>
        </w:tc>
      </w:tr>
      <w:tr w14:paraId="29214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AEE7AB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1519D7E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0.826</w:t>
            </w:r>
          </w:p>
        </w:tc>
      </w:tr>
      <w:tr w14:paraId="1DEC2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8C06C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14DB8C5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0.988</w:t>
            </w:r>
          </w:p>
        </w:tc>
      </w:tr>
      <w:tr w14:paraId="2E0AD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69B18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624A4B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0.911</w:t>
            </w:r>
          </w:p>
        </w:tc>
      </w:tr>
    </w:tbl>
    <w:p w14:paraId="08E45CCA">
      <w:pPr>
        <w:bidi w:val="0"/>
        <w:rPr>
          <w:rFonts w:hint="default"/>
          <w:lang w:val="en-US" w:eastAsia="zh-CN"/>
        </w:rPr>
      </w:pPr>
    </w:p>
    <w:p w14:paraId="7E98BFFE">
      <w:pPr>
        <w:bidi w:val="0"/>
        <w:ind w:firstLine="480" w:firstLineChars="200"/>
        <w:rPr>
          <w:rFonts w:hint="eastAsia" w:ascii="黑体" w:hAnsi="黑体" w:eastAsia="黑体" w:cs="黑体"/>
          <w:sz w:val="24"/>
          <w:szCs w:val="24"/>
        </w:rPr>
      </w:pPr>
    </w:p>
    <w:p w14:paraId="594EBDD8">
      <w:pPr>
        <w:bidi w:val="0"/>
        <w:rPr>
          <w:rFonts w:hint="eastAsia" w:ascii="黑体" w:hAnsi="黑体" w:eastAsia="黑体" w:cs="黑体"/>
          <w:sz w:val="24"/>
          <w:szCs w:val="24"/>
        </w:rPr>
      </w:pPr>
      <w:r>
        <w:rPr>
          <w:rFonts w:hint="eastAsia" w:ascii="黑体" w:hAnsi="黑体" w:eastAsia="黑体" w:cs="黑体"/>
          <w:sz w:val="24"/>
          <w:szCs w:val="24"/>
        </w:rPr>
        <w:t>根据计算结果，</w:t>
      </w:r>
      <w:r>
        <w:rPr>
          <w:rFonts w:hint="eastAsia" w:ascii="黑体" w:hAnsi="黑体" w:eastAsia="黑体" w:cs="黑体"/>
          <w:sz w:val="24"/>
          <w:szCs w:val="24"/>
          <w:lang w:val="en-US" w:eastAsia="zh-CN"/>
        </w:rPr>
        <w:t>肉类</w:t>
      </w:r>
      <w:r>
        <w:rPr>
          <w:rFonts w:hint="eastAsia" w:ascii="黑体" w:hAnsi="黑体" w:eastAsia="黑体" w:cs="黑体"/>
          <w:sz w:val="24"/>
          <w:szCs w:val="24"/>
        </w:rPr>
        <w:t>的销售呈现出显著的季节性特征。</w:t>
      </w:r>
      <w:r>
        <w:rPr>
          <w:rFonts w:hint="eastAsia" w:ascii="黑体" w:hAnsi="黑体" w:eastAsia="黑体" w:cs="黑体"/>
          <w:sz w:val="24"/>
          <w:szCs w:val="24"/>
          <w:lang w:val="en-US" w:eastAsia="zh-CN"/>
        </w:rPr>
        <w:t>1</w:t>
      </w:r>
      <w:r>
        <w:rPr>
          <w:rFonts w:hint="eastAsia" w:ascii="黑体" w:hAnsi="黑体" w:eastAsia="黑体" w:cs="黑体"/>
          <w:sz w:val="24"/>
          <w:szCs w:val="24"/>
        </w:rPr>
        <w:t>月份的季节性指数高达 </w:t>
      </w:r>
      <w:r>
        <w:rPr>
          <w:rFonts w:hint="eastAsia" w:ascii="黑体" w:hAnsi="黑体" w:eastAsia="黑体" w:cs="黑体"/>
          <w:sz w:val="24"/>
          <w:szCs w:val="24"/>
          <w:lang w:val="en-US" w:eastAsia="zh-CN"/>
        </w:rPr>
        <w:t>1.599</w:t>
      </w:r>
      <w:r>
        <w:rPr>
          <w:rFonts w:hint="eastAsia" w:ascii="黑体" w:hAnsi="黑体" w:eastAsia="黑体" w:cs="黑体"/>
          <w:sz w:val="24"/>
          <w:szCs w:val="24"/>
        </w:rPr>
        <w:t>，是全年销售的绝对顶峰</w:t>
      </w:r>
      <w:r>
        <w:rPr>
          <w:rFonts w:hint="eastAsia" w:ascii="黑体" w:hAnsi="黑体" w:eastAsia="黑体" w:cs="黑体"/>
          <w:sz w:val="24"/>
          <w:szCs w:val="24"/>
          <w:lang w:val="en-US" w:eastAsia="zh-CN"/>
        </w:rPr>
        <w:t>.</w:t>
      </w:r>
    </w:p>
    <w:p w14:paraId="5C5EC978">
      <w:pPr>
        <w:bidi w:val="0"/>
        <w:rPr>
          <w:rFonts w:hint="default"/>
          <w:lang w:val="en-US" w:eastAsia="zh-CN"/>
        </w:rPr>
      </w:pPr>
    </w:p>
    <w:p w14:paraId="4D612F6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5.2.3  </w:t>
      </w:r>
      <w:r>
        <w:rPr>
          <w:rFonts w:hint="eastAsia" w:ascii="黑体" w:hAnsi="黑体" w:eastAsia="黑体" w:cs="黑体"/>
          <w:b/>
          <w:bCs/>
          <w:sz w:val="24"/>
          <w:szCs w:val="24"/>
        </w:rPr>
        <w:t>SARIMA</w:t>
      </w:r>
      <w:r>
        <w:rPr>
          <w:rFonts w:hint="eastAsia" w:ascii="黑体" w:hAnsi="黑体" w:eastAsia="黑体" w:cs="黑体"/>
          <w:b/>
          <w:bCs/>
          <w:sz w:val="24"/>
          <w:szCs w:val="24"/>
          <w:lang w:eastAsia="zh-CN"/>
        </w:rPr>
        <w:t>（</w:t>
      </w:r>
      <w:r>
        <w:rPr>
          <w:rFonts w:hint="eastAsia" w:ascii="黑体" w:hAnsi="黑体" w:eastAsia="黑体" w:cs="黑体"/>
          <w:b/>
          <w:bCs/>
          <w:i w:val="0"/>
          <w:iCs w:val="0"/>
          <w:caps w:val="0"/>
          <w:color w:val="auto"/>
          <w:spacing w:val="0"/>
          <w:sz w:val="24"/>
          <w:szCs w:val="24"/>
          <w:shd w:val="clear" w:fill="FFFFFF"/>
        </w:rPr>
        <w:t>季节性自回归积分滑动平均模型</w:t>
      </w:r>
      <w:r>
        <w:rPr>
          <w:rFonts w:hint="eastAsia" w:ascii="黑体" w:hAnsi="黑体" w:eastAsia="黑体" w:cs="黑体"/>
          <w:b/>
          <w:bCs/>
          <w:sz w:val="24"/>
          <w:szCs w:val="24"/>
          <w:lang w:eastAsia="zh-CN"/>
        </w:rPr>
        <w:t>）</w:t>
      </w:r>
      <w:r>
        <w:rPr>
          <w:rFonts w:hint="eastAsia" w:ascii="黑体" w:hAnsi="黑体" w:eastAsia="黑体" w:cs="黑体"/>
          <w:b/>
          <w:bCs/>
          <w:sz w:val="24"/>
          <w:szCs w:val="24"/>
        </w:rPr>
        <w:t>模型</w:t>
      </w:r>
      <w:r>
        <w:rPr>
          <w:rFonts w:hint="eastAsia" w:ascii="黑体" w:hAnsi="黑体" w:eastAsia="黑体" w:cs="黑体"/>
          <w:b/>
          <w:bCs/>
          <w:sz w:val="24"/>
          <w:szCs w:val="24"/>
          <w:lang w:val="en-US" w:eastAsia="zh-CN"/>
        </w:rPr>
        <w:t>预测销售情况</w:t>
      </w:r>
    </w:p>
    <w:p w14:paraId="260DA4DE">
      <w:pPr>
        <w:bidi w:val="0"/>
        <w:rPr>
          <w:rFonts w:hint="default"/>
          <w:lang w:val="en-US" w:eastAsia="zh-CN"/>
        </w:rPr>
      </w:pPr>
    </w:p>
    <w:p w14:paraId="6B65A37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540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7" name="椭圆 7"/>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540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&#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rBn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数据平稳化</w:t>
      </w:r>
    </w:p>
    <w:p w14:paraId="61E0E963">
      <w:pPr>
        <w:bidi w:val="0"/>
        <w:rPr>
          <w:rFonts w:hint="eastAsia" w:ascii="黑体" w:hAnsi="黑体" w:eastAsia="黑体" w:cs="黑体"/>
          <w:sz w:val="24"/>
          <w:szCs w:val="24"/>
          <w:lang w:val="en-US" w:eastAsia="zh-CN"/>
        </w:rPr>
      </w:pPr>
    </w:p>
    <w:p w14:paraId="452ABAE9">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ARIMA模型要求时间序列是平稳的（即均值和方差不随时间变化）。而我们所得到的数据是一个明显的非平稳序列：1.明显趋势：从2021年6月到2021年12月，销售额有一个非常明显的下降趋势。2.强烈季节性：每年6、7月是高峰，11、12月是低谷，这个模式重复出现。我们首先进行差分操作来处理不平稳序列：</w:t>
      </w:r>
    </w:p>
    <w:p w14:paraId="5CFBBA98">
      <w:pPr>
        <w:bidi w:val="0"/>
        <w:rPr>
          <w:rFonts w:hint="eastAsia" w:ascii="黑体" w:hAnsi="黑体" w:eastAsia="黑体" w:cs="黑体"/>
          <w:b/>
          <w:bCs/>
          <w:color w:val="auto"/>
          <w:sz w:val="24"/>
          <w:szCs w:val="24"/>
          <w:lang w:val="en-US" w:eastAsia="zh-CN"/>
        </w:rPr>
      </w:pPr>
      <w:r>
        <w:rPr>
          <w:rFonts w:hint="eastAsia" w:ascii="黑体" w:hAnsi="黑体" w:eastAsia="黑体" w:cs="黑体"/>
          <w:b/>
          <w:bCs/>
          <w:color w:val="auto"/>
          <w:sz w:val="24"/>
          <w:szCs w:val="24"/>
          <w:lang w:eastAsia="zh-CN"/>
        </w:rPr>
        <w:t>（</w:t>
      </w:r>
      <w:r>
        <w:rPr>
          <w:rFonts w:hint="eastAsia" w:ascii="黑体" w:hAnsi="黑体" w:eastAsia="黑体" w:cs="黑体"/>
          <w:b/>
          <w:bCs/>
          <w:color w:val="auto"/>
          <w:sz w:val="24"/>
          <w:szCs w:val="24"/>
          <w:lang w:val="en-US" w:eastAsia="zh-CN"/>
        </w:rPr>
        <w:t>1）</w:t>
      </w:r>
      <w:r>
        <w:rPr>
          <w:rFonts w:hint="eastAsia" w:ascii="黑体" w:hAnsi="黑体" w:eastAsia="黑体" w:cs="黑体"/>
          <w:b/>
          <w:bCs/>
          <w:color w:val="auto"/>
          <w:sz w:val="24"/>
          <w:szCs w:val="24"/>
        </w:rPr>
        <w:t>一阶差分-消除趋势</w:t>
      </w:r>
      <w:r>
        <w:rPr>
          <w:rFonts w:hint="eastAsia" w:ascii="黑体" w:hAnsi="黑体" w:eastAsia="黑体" w:cs="黑体"/>
          <w:b/>
          <w:bCs/>
          <w:color w:val="auto"/>
          <w:sz w:val="24"/>
          <w:szCs w:val="24"/>
          <w:lang w:eastAsia="zh-CN"/>
        </w:rPr>
        <w:t>：</w:t>
      </w:r>
    </w:p>
    <w:p w14:paraId="7BACD7AA">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参数 d： 这就是SARIMA公式 (p, d, q) 中的 d，代表需要进行几阶普通差分才能使序列平稳。</w:t>
      </w:r>
    </w:p>
    <w:p w14:paraId="153F25FF">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操作公式：</w:t>
      </w:r>
    </w:p>
    <w:p w14:paraId="67F7E71E">
      <w:pPr>
        <w:bidi w:val="0"/>
        <w:ind w:firstLine="480" w:firstLineChars="200"/>
        <w:rPr>
          <w:rFonts w:hint="eastAsia" w:ascii="黑体" w:hAnsi="黑体" w:eastAsia="黑体" w:cs="黑体"/>
          <w:sz w:val="24"/>
          <w:szCs w:val="24"/>
          <w:lang w:val="en-US" w:eastAsia="zh-CN"/>
        </w:rPr>
      </w:pPr>
    </w:p>
    <w:p w14:paraId="7FA75C67">
      <w:pPr>
        <w:bidi w:val="0"/>
        <w:ind w:firstLine="3080" w:firstLineChars="1100"/>
        <w:rPr>
          <w:rFonts w:hint="default" w:hAnsi="Cambria Math" w:eastAsia="Courier New"/>
          <w:i/>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ctrlPr>
                <w:rPr>
                  <w:rFonts w:hint="default" w:ascii="Cambria Math" w:hAnsi="Cambria Math" w:eastAsia="Courier New"/>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13</m:t>
        </m:r>
        <m:r>
          <m:rPr/>
          <w:rPr>
            <w:rFonts w:hint="default" w:ascii="Cambria Math" w:hAnsi="Cambria Math"/>
            <w:sz w:val="28"/>
          </w:rPr>
          <m:t>)</m:t>
        </m:r>
      </m:oMath>
    </w:p>
    <w:p w14:paraId="2C95D5F4">
      <w:pPr>
        <w:bidi w:val="0"/>
        <w:jc w:val="both"/>
        <w:rPr>
          <w:rFonts w:hint="eastAsia" w:ascii="黑体" w:hAnsi="黑体" w:eastAsia="黑体" w:cs="黑体"/>
          <w:sz w:val="24"/>
          <w:szCs w:val="24"/>
          <w:lang w:val="en-US" w:eastAsia="zh-CN"/>
        </w:rPr>
      </w:pPr>
      <m:oMath>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oMath>
      <w:r>
        <w:rPr>
          <w:rFonts w:hint="eastAsia" w:hAnsi="Cambria Math"/>
          <w:i w:val="0"/>
          <w:sz w:val="28"/>
          <w:szCs w:val="28"/>
          <w:lang w:val="en-US" w:eastAsia="zh-CN"/>
        </w:rPr>
        <w:t>：</w:t>
      </w:r>
      <w:r>
        <w:rPr>
          <w:rFonts w:hint="eastAsia" w:ascii="黑体" w:hAnsi="黑体" w:eastAsia="黑体" w:cs="黑体"/>
          <w:sz w:val="24"/>
          <w:szCs w:val="24"/>
        </w:rPr>
        <w:t>一阶差分后的新值</w:t>
      </w:r>
    </w:p>
    <w:p w14:paraId="70E19BC3">
      <w:pPr>
        <w:bidi w:val="0"/>
        <w:jc w:val="both"/>
        <w:rPr>
          <w:rFonts w:hint="default" w:hAnsi="Cambria Math" w:eastAsia="Courier New"/>
          <w:i/>
          <w:sz w:val="28"/>
          <w:szCs w:val="28"/>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sz w:val="28"/>
          <w:szCs w:val="28"/>
          <w:lang w:eastAsia="zh-CN"/>
        </w:rPr>
        <w:t>：</w:t>
      </w:r>
      <w:r>
        <w:rPr>
          <w:rFonts w:hint="eastAsia" w:ascii="黑体" w:hAnsi="黑体" w:eastAsia="黑体" w:cs="黑体"/>
          <w:sz w:val="24"/>
          <w:szCs w:val="24"/>
        </w:rPr>
        <w:t> 第t个月的销售额</w:t>
      </w:r>
    </w:p>
    <w:p w14:paraId="0F9A3D56">
      <w:pPr>
        <w:bidi w:val="0"/>
        <w:jc w:val="both"/>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oMath>
      <w:r>
        <w:rPr>
          <w:rFonts w:hint="eastAsia" w:hAnsi="Cambria Math"/>
          <w:i w:val="0"/>
          <w:sz w:val="28"/>
          <w:szCs w:val="28"/>
          <w:lang w:val="en-US" w:eastAsia="zh-CN"/>
        </w:rPr>
        <w:t>：</w:t>
      </w:r>
      <w:r>
        <w:rPr>
          <w:rFonts w:hint="eastAsia" w:ascii="黑体" w:hAnsi="黑体" w:eastAsia="黑体" w:cs="黑体"/>
          <w:sz w:val="24"/>
          <w:szCs w:val="24"/>
        </w:rPr>
        <w:t>前一个月的销售额</w:t>
      </w:r>
    </w:p>
    <w:p w14:paraId="3C1C6089">
      <w:pPr>
        <w:bidi w:val="0"/>
        <w:jc w:val="both"/>
        <w:rPr>
          <w:rFonts w:hint="eastAsia" w:ascii="黑体" w:hAnsi="黑体" w:eastAsia="黑体" w:cs="黑体"/>
          <w:sz w:val="24"/>
          <w:szCs w:val="24"/>
        </w:rPr>
      </w:pPr>
    </w:p>
    <w:p w14:paraId="1D1EEF3D">
      <w:p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差分处理的意义：</w:t>
      </w:r>
      <w:r>
        <w:rPr>
          <w:rFonts w:hint="eastAsia" w:ascii="黑体" w:hAnsi="黑体" w:eastAsia="黑体" w:cs="黑体"/>
          <w:sz w:val="24"/>
          <w:szCs w:val="24"/>
        </w:rPr>
        <w:t> 计算的是月环比增长额。7406.56 元意味着2021年7月比6月多卖了这么多。一阶差分后，序列从“销售额”变成了“每月销售额的变化量”，这就有效地移除了长期的上升或下降趋势。</w:t>
      </w:r>
    </w:p>
    <w:p w14:paraId="520DC013">
      <w:pPr>
        <w:bidi w:val="0"/>
        <w:ind w:firstLine="480" w:firstLineChars="200"/>
        <w:rPr>
          <w:rFonts w:hint="eastAsia" w:ascii="黑体" w:hAnsi="黑体" w:eastAsia="黑体" w:cs="黑体"/>
          <w:sz w:val="24"/>
          <w:szCs w:val="24"/>
        </w:rPr>
      </w:pPr>
    </w:p>
    <w:p w14:paraId="36ABB764">
      <w:pPr>
        <w:numPr>
          <w:ilvl w:val="0"/>
          <w:numId w:val="0"/>
        </w:numPr>
        <w:bidi w:val="0"/>
      </w:pPr>
      <w:r>
        <w:rPr>
          <w:rFonts w:hint="eastAsia" w:ascii="黑体" w:hAnsi="黑体" w:eastAsia="黑体" w:cs="黑体"/>
          <w:b/>
          <w:bCs/>
          <w:color w:val="auto"/>
          <w:sz w:val="24"/>
          <w:szCs w:val="24"/>
          <w:lang w:eastAsia="zh-CN"/>
        </w:rPr>
        <w:t>（</w:t>
      </w:r>
      <w:r>
        <w:rPr>
          <w:rFonts w:hint="eastAsia" w:ascii="黑体" w:hAnsi="黑体" w:eastAsia="黑体" w:cs="黑体"/>
          <w:b/>
          <w:bCs/>
          <w:color w:val="auto"/>
          <w:sz w:val="24"/>
          <w:szCs w:val="24"/>
          <w:lang w:val="en-US" w:eastAsia="zh-CN"/>
        </w:rPr>
        <w:t>2）季节性</w:t>
      </w:r>
      <w:r>
        <w:rPr>
          <w:rFonts w:hint="eastAsia" w:ascii="黑体" w:hAnsi="黑体" w:eastAsia="黑体" w:cs="黑体"/>
          <w:b/>
          <w:bCs/>
          <w:color w:val="auto"/>
          <w:sz w:val="24"/>
          <w:szCs w:val="24"/>
        </w:rPr>
        <w:t>差分-消除</w:t>
      </w:r>
      <w:r>
        <w:rPr>
          <w:rFonts w:hint="eastAsia" w:ascii="黑体" w:hAnsi="黑体" w:eastAsia="黑体" w:cs="黑体"/>
          <w:b/>
          <w:bCs/>
          <w:color w:val="auto"/>
          <w:sz w:val="24"/>
          <w:szCs w:val="24"/>
          <w:lang w:val="en-US" w:eastAsia="zh-CN"/>
        </w:rPr>
        <w:t>季节性</w:t>
      </w:r>
      <w:r>
        <w:rPr>
          <w:rFonts w:hint="eastAsia" w:ascii="黑体" w:hAnsi="黑体" w:eastAsia="黑体" w:cs="黑体"/>
          <w:b/>
          <w:bCs/>
          <w:color w:val="auto"/>
          <w:sz w:val="24"/>
          <w:szCs w:val="24"/>
          <w:lang w:eastAsia="zh-CN"/>
        </w:rPr>
        <w:t>：</w:t>
      </w:r>
    </w:p>
    <w:p w14:paraId="1BC005E5">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参数 D 和 m： 这是SARIMA公式 (P, D, Q)[m] 中的 D 和 m</w:t>
      </w:r>
      <w:r>
        <w:rPr>
          <w:rFonts w:hint="eastAsia" w:ascii="黑体" w:hAnsi="黑体" w:eastAsia="黑体" w:cs="黑体"/>
          <w:sz w:val="24"/>
          <w:szCs w:val="24"/>
          <w:lang w:eastAsia="zh-CN"/>
        </w:rPr>
        <w:t>；</w:t>
      </w:r>
      <w:r>
        <w:rPr>
          <w:rFonts w:hint="eastAsia" w:ascii="黑体" w:hAnsi="黑体" w:eastAsia="黑体" w:cs="黑体"/>
          <w:sz w:val="24"/>
          <w:szCs w:val="24"/>
        </w:rPr>
        <w:t>D： 代表需要进行几阶季节性差分（通常 D=1 ）</w:t>
      </w:r>
      <w:r>
        <w:rPr>
          <w:rFonts w:hint="eastAsia" w:ascii="黑体" w:hAnsi="黑体" w:eastAsia="黑体" w:cs="黑体"/>
          <w:sz w:val="24"/>
          <w:szCs w:val="24"/>
          <w:lang w:eastAsia="zh-CN"/>
        </w:rPr>
        <w:t>；</w:t>
      </w:r>
      <w:r>
        <w:rPr>
          <w:rFonts w:hint="eastAsia" w:ascii="黑体" w:hAnsi="黑体" w:eastAsia="黑体" w:cs="黑体"/>
          <w:sz w:val="24"/>
          <w:szCs w:val="24"/>
        </w:rPr>
        <w:t>m： 季节周期。对于月度数据，m=12。</w:t>
      </w:r>
    </w:p>
    <w:p w14:paraId="190257B2">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lang w:val="en-US" w:eastAsia="zh-CN"/>
        </w:rPr>
        <w:t>操作公式：</w:t>
      </w:r>
    </w:p>
    <w:p w14:paraId="25985818">
      <w:pPr>
        <w:numPr>
          <w:ilvl w:val="0"/>
          <w:numId w:val="0"/>
        </w:numPr>
        <w:bidi w:val="0"/>
        <w:ind w:firstLine="480" w:firstLineChars="200"/>
        <w:rPr>
          <w:rFonts w:hint="eastAsia" w:ascii="黑体" w:hAnsi="黑体" w:eastAsia="黑体" w:cs="黑体"/>
          <w:sz w:val="24"/>
          <w:szCs w:val="24"/>
        </w:rPr>
      </w:pPr>
    </w:p>
    <w:p w14:paraId="7640F96A">
      <w:pPr>
        <w:bidi w:val="0"/>
        <w:ind w:firstLine="2800" w:firstLineChars="1000"/>
        <w:rPr>
          <w:rFonts w:hint="default" w:hAnsi="Cambria Math"/>
          <w:i/>
          <w:sz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ctrlPr>
                <w:rPr>
                  <w:rFonts w:hint="default" w:ascii="Cambria Math" w:hAnsi="Cambria Math" w:eastAsia="Courier New"/>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14</m:t>
        </m:r>
        <m:r>
          <m:rPr/>
          <w:rPr>
            <w:rFonts w:hint="default" w:ascii="Cambria Math" w:hAnsi="Cambria Math"/>
            <w:sz w:val="28"/>
          </w:rPr>
          <m:t>)</m:t>
        </m:r>
      </m:oMath>
    </w:p>
    <w:p w14:paraId="5E43E3AD">
      <w:pPr>
        <w:bidi w:val="0"/>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iCs/>
          <w:sz w:val="28"/>
          <w:szCs w:val="28"/>
          <w:lang w:eastAsia="zh-CN"/>
        </w:rPr>
        <w:t>：</w:t>
      </w:r>
      <w:r>
        <w:rPr>
          <w:rFonts w:hint="eastAsia" w:ascii="黑体" w:hAnsi="黑体" w:eastAsia="黑体" w:cs="黑体"/>
          <w:sz w:val="24"/>
          <w:szCs w:val="24"/>
        </w:rPr>
        <w:t>季节性差分后的最终值</w:t>
      </w:r>
    </w:p>
    <w:p w14:paraId="28858AF7">
      <w:pPr>
        <w:bidi w:val="0"/>
        <w:rPr>
          <w:rFonts w:hint="eastAsia" w:ascii="黑体" w:hAnsi="黑体" w:eastAsia="黑体" w:cs="黑体"/>
          <w:sz w:val="24"/>
          <w:szCs w:val="24"/>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w:r>
        <w:rPr>
          <w:rFonts w:hint="eastAsia" w:hAnsi="Cambria Math"/>
          <w:i w:val="0"/>
          <w:sz w:val="28"/>
          <w:szCs w:val="28"/>
          <w:lang w:eastAsia="zh-CN"/>
        </w:rPr>
        <w:t>：</w:t>
      </w:r>
      <w:r>
        <w:rPr>
          <w:rFonts w:hint="eastAsia" w:ascii="黑体" w:hAnsi="黑体" w:eastAsia="黑体" w:cs="黑体"/>
          <w:sz w:val="24"/>
          <w:szCs w:val="24"/>
        </w:rPr>
        <w:t>当前月的一阶差分值（即月环比增长额）</w:t>
      </w:r>
    </w:p>
    <w:p w14:paraId="6ADC8DD6">
      <w:pPr>
        <w:bidi w:val="0"/>
        <w:rPr>
          <w:rFonts w:hint="eastAsia" w:ascii="黑体" w:hAnsi="黑体" w:eastAsia="黑体" w:cs="黑体"/>
          <w:sz w:val="24"/>
          <w:szCs w:val="24"/>
          <w:lang w:eastAsia="zh-CN"/>
        </w:rPr>
      </w:pP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oMath>
      <w:r>
        <w:rPr>
          <w:rFonts w:hint="eastAsia" w:hAnsi="Cambria Math"/>
          <w:i w:val="0"/>
          <w:sz w:val="28"/>
          <w:szCs w:val="28"/>
          <w:lang w:eastAsia="zh-CN"/>
        </w:rPr>
        <w:t>：</w:t>
      </w:r>
      <w:r>
        <w:rPr>
          <w:rFonts w:hint="eastAsia" w:ascii="黑体" w:hAnsi="黑体" w:eastAsia="黑体" w:cs="黑体"/>
          <w:sz w:val="24"/>
          <w:szCs w:val="24"/>
        </w:rPr>
        <w:t> 去年同月的一阶差分值</w:t>
      </w:r>
    </w:p>
    <w:p w14:paraId="4B2E2C8E">
      <w:pPr>
        <w:bidi w:val="0"/>
        <w:rPr>
          <w:rFonts w:hint="eastAsia" w:ascii="黑体" w:hAnsi="黑体" w:eastAsia="黑体" w:cs="黑体"/>
          <w:sz w:val="24"/>
          <w:szCs w:val="24"/>
          <w:lang w:val="en-US" w:eastAsia="zh-CN"/>
        </w:rPr>
      </w:pPr>
    </w:p>
    <w:p w14:paraId="573141AA">
      <w:pPr>
        <w:numPr>
          <w:ilvl w:val="0"/>
          <w:numId w:val="0"/>
        </w:numPr>
        <w:bidi w:val="0"/>
        <w:ind w:firstLine="480" w:firstLineChars="200"/>
        <w:rPr>
          <w:rFonts w:hint="eastAsia" w:ascii="黑体" w:hAnsi="黑体" w:eastAsia="黑体" w:cs="黑体"/>
          <w:sz w:val="24"/>
          <w:szCs w:val="24"/>
        </w:rPr>
      </w:pPr>
    </w:p>
    <w:p w14:paraId="0736602D">
      <w:pPr>
        <w:numPr>
          <w:ilvl w:val="0"/>
          <w:numId w:val="0"/>
        </w:numPr>
        <w:bidi w:val="0"/>
        <w:ind w:left="360" w:leftChars="0"/>
        <w:rPr>
          <w:rFonts w:hint="eastAsia" w:ascii="黑体" w:hAnsi="黑体" w:eastAsia="黑体" w:cs="黑体"/>
          <w:sz w:val="24"/>
          <w:szCs w:val="24"/>
        </w:rPr>
      </w:pPr>
    </w:p>
    <w:p w14:paraId="789E3011">
      <w:pPr>
        <w:numPr>
          <w:ilvl w:val="0"/>
          <w:numId w:val="0"/>
        </w:numPr>
        <w:bidi w:val="0"/>
        <w:rPr>
          <w:rFonts w:hint="eastAsia" w:ascii="黑体" w:hAnsi="黑体" w:eastAsia="黑体" w:cs="黑体"/>
          <w:sz w:val="24"/>
          <w:szCs w:val="24"/>
          <w:lang w:val="en-US" w:eastAsia="zh-CN"/>
        </w:rPr>
      </w:pPr>
    </w:p>
    <w:p w14:paraId="204D47DD">
      <w:pPr>
        <w:bidi w:val="0"/>
        <w:rPr>
          <w:rFonts w:hint="eastAsia" w:ascii="黑体" w:hAnsi="黑体" w:eastAsia="黑体" w:cs="黑体"/>
          <w:sz w:val="24"/>
          <w:szCs w:val="24"/>
        </w:rPr>
      </w:pPr>
      <w:r>
        <w:rPr>
          <w:rFonts w:hint="eastAsia" w:ascii="黑体" w:hAnsi="黑体" w:eastAsia="黑体" w:cs="黑体"/>
          <w:sz w:val="24"/>
          <w:szCs w:val="24"/>
        </w:rPr>
        <mc:AlternateContent>
          <mc:Choice Requires="wps">
            <w:drawing>
              <wp:anchor distT="0" distB="0" distL="114300" distR="114300" simplePos="0" relativeHeight="251666432"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9" name="椭圆 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6432;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XjF+qH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黑体" w:hAnsi="黑体" w:eastAsia="黑体" w:cs="黑体"/>
          <w:sz w:val="24"/>
          <w:szCs w:val="24"/>
          <w:lang w:val="en-US" w:eastAsia="zh-CN"/>
        </w:rPr>
        <w:t xml:space="preserve">   确定模型参数</w:t>
      </w:r>
      <w:r>
        <w:rPr>
          <w:rFonts w:hint="eastAsia" w:ascii="黑体" w:hAnsi="黑体" w:eastAsia="黑体" w:cs="黑体"/>
          <w:sz w:val="24"/>
          <w:szCs w:val="24"/>
        </w:rPr>
        <w:t>(p, d, q, P, D, Q)</w:t>
      </w:r>
    </w:p>
    <w:p w14:paraId="4D69E9D3">
      <w:pPr>
        <w:bidi w:val="0"/>
        <w:rPr>
          <w:rFonts w:hint="eastAsia" w:ascii="黑体" w:hAnsi="黑体" w:eastAsia="黑体" w:cs="黑体"/>
          <w:sz w:val="24"/>
          <w:szCs w:val="24"/>
          <w:lang w:val="en-US" w:eastAsia="zh-CN"/>
        </w:rPr>
      </w:pPr>
    </w:p>
    <w:p w14:paraId="599E5411">
      <w:pPr>
        <w:bidi w:val="0"/>
        <w:rPr>
          <w:rFonts w:hint="eastAsia" w:ascii="黑体" w:hAnsi="黑体" w:eastAsia="黑体" w:cs="黑体"/>
          <w:sz w:val="24"/>
          <w:szCs w:val="24"/>
          <w:lang w:val="en-US" w:eastAsia="zh-CN"/>
        </w:rPr>
      </w:pPr>
      <w:r>
        <w:rPr>
          <w:rFonts w:hint="eastAsia" w:ascii="黑体" w:hAnsi="黑体" w:eastAsia="黑体" w:cs="黑体"/>
          <w:sz w:val="24"/>
          <w:szCs w:val="24"/>
        </w:rPr>
        <w:t>在对差分后的平稳序列绘制ACF图</w:t>
      </w:r>
      <w:r>
        <w:rPr>
          <w:rFonts w:hint="eastAsia" w:ascii="黑体" w:hAnsi="黑体" w:eastAsia="黑体" w:cs="黑体"/>
          <w:sz w:val="24"/>
          <w:szCs w:val="24"/>
          <w:lang w:eastAsia="zh-CN"/>
        </w:rPr>
        <w:t>：</w:t>
      </w:r>
    </w:p>
    <w:p w14:paraId="0A6382D1">
      <w:pPr>
        <w:bidi w:val="0"/>
        <w:rPr>
          <w:rFonts w:hint="eastAsia" w:ascii="黑体" w:hAnsi="黑体" w:eastAsia="黑体" w:cs="黑体"/>
          <w:b/>
          <w:bCs/>
          <w:sz w:val="24"/>
          <w:szCs w:val="24"/>
          <w:lang w:eastAsia="zh-CN"/>
        </w:rPr>
      </w:pPr>
    </w:p>
    <w:p w14:paraId="35559DBA">
      <w:pPr>
        <w:numPr>
          <w:ilvl w:val="0"/>
          <w:numId w:val="0"/>
        </w:numPr>
        <w:bidi w:val="0"/>
        <w:rPr>
          <w:rFonts w:hint="eastAsia" w:ascii="黑体" w:hAnsi="黑体" w:eastAsia="黑体" w:cs="黑体"/>
          <w:b/>
          <w:bCs/>
          <w:sz w:val="24"/>
          <w:szCs w:val="24"/>
          <w:lang w:eastAsia="zh-CN"/>
        </w:rPr>
      </w:pPr>
    </w:p>
    <w:p w14:paraId="123DEF8F">
      <w:pPr>
        <w:numPr>
          <w:ilvl w:val="0"/>
          <w:numId w:val="0"/>
        </w:numPr>
        <w:bidi w:val="0"/>
        <w:ind w:firstLine="2530" w:firstLineChars="1200"/>
        <w:rPr>
          <w:rFonts w:hint="default" w:ascii="黑体" w:hAnsi="黑体" w:eastAsia="黑体" w:cs="黑体"/>
          <w:b/>
          <w:bCs/>
          <w:sz w:val="24"/>
          <w:szCs w:val="24"/>
          <w:lang w:val="en-US" w:eastAsia="zh-CN"/>
        </w:rPr>
      </w:pPr>
      <w:r>
        <w:rPr>
          <w:rFonts w:hint="eastAsia" w:ascii="黑体" w:hAnsi="黑体" w:eastAsia="黑体" w:cs="黑体"/>
          <w:b/>
          <w:bCs/>
          <w:color w:val="auto"/>
          <w:kern w:val="2"/>
          <w:sz w:val="21"/>
          <w:szCs w:val="21"/>
          <w:lang w:val="en-US" w:eastAsia="zh-CN" w:bidi="ar-SA"/>
        </w:rPr>
        <w:t>表5.10  碳酸饮料销售额一阶差分</w:t>
      </w:r>
    </w:p>
    <w:tbl>
      <w:tblPr>
        <w:tblStyle w:val="9"/>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35"/>
        <w:gridCol w:w="3093"/>
        <w:gridCol w:w="2494"/>
      </w:tblGrid>
      <w:tr w14:paraId="47EBB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2735" w:type="dxa"/>
            <w:tcBorders>
              <w:top w:val="single" w:color="auto" w:sz="4" w:space="0"/>
              <w:left w:val="nil"/>
              <w:bottom w:val="single" w:color="auto" w:sz="4" w:space="0"/>
              <w:right w:val="nil"/>
            </w:tcBorders>
            <w:shd w:val="clear" w:color="auto" w:fill="auto"/>
            <w:noWrap/>
            <w:vAlign w:val="center"/>
          </w:tcPr>
          <w:p w14:paraId="7178352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3093" w:type="dxa"/>
            <w:tcBorders>
              <w:top w:val="single" w:color="auto" w:sz="4" w:space="0"/>
              <w:left w:val="nil"/>
              <w:bottom w:val="single" w:color="auto" w:sz="4" w:space="0"/>
              <w:right w:val="nil"/>
            </w:tcBorders>
            <w:shd w:val="clear" w:color="auto" w:fill="auto"/>
            <w:noWrap/>
            <w:vAlign w:val="center"/>
          </w:tcPr>
          <w:p w14:paraId="04A412FC">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月销售额（元）</w:t>
            </w:r>
          </w:p>
        </w:tc>
        <w:tc>
          <w:tcPr>
            <w:tcW w:w="2494" w:type="dxa"/>
            <w:tcBorders>
              <w:top w:val="single" w:color="auto" w:sz="4" w:space="0"/>
              <w:left w:val="nil"/>
              <w:bottom w:val="single" w:color="auto" w:sz="4" w:space="0"/>
              <w:right w:val="nil"/>
            </w:tcBorders>
            <w:shd w:val="clear" w:color="auto" w:fill="auto"/>
            <w:noWrap/>
            <w:vAlign w:val="center"/>
          </w:tcPr>
          <w:p w14:paraId="7983F20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一阶差分</w:t>
            </w:r>
          </w:p>
        </w:tc>
      </w:tr>
      <w:tr w14:paraId="45D10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single" w:color="auto" w:sz="4" w:space="0"/>
              <w:left w:val="nil"/>
              <w:bottom w:val="nil"/>
              <w:right w:val="nil"/>
            </w:tcBorders>
            <w:shd w:val="clear" w:color="auto" w:fill="auto"/>
            <w:noWrap/>
            <w:vAlign w:val="center"/>
          </w:tcPr>
          <w:p w14:paraId="50B6C8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3093" w:type="dxa"/>
            <w:tcBorders>
              <w:top w:val="single" w:color="auto" w:sz="4" w:space="0"/>
              <w:left w:val="nil"/>
              <w:bottom w:val="nil"/>
              <w:right w:val="nil"/>
            </w:tcBorders>
            <w:shd w:val="clear" w:color="auto" w:fill="auto"/>
            <w:noWrap/>
            <w:vAlign w:val="center"/>
          </w:tcPr>
          <w:p w14:paraId="67D9CEA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c>
          <w:tcPr>
            <w:tcW w:w="2494" w:type="dxa"/>
            <w:tcBorders>
              <w:top w:val="single" w:color="auto" w:sz="4" w:space="0"/>
              <w:left w:val="nil"/>
              <w:bottom w:val="nil"/>
              <w:right w:val="nil"/>
            </w:tcBorders>
            <w:shd w:val="clear" w:color="auto" w:fill="auto"/>
            <w:noWrap/>
            <w:vAlign w:val="center"/>
          </w:tcPr>
          <w:p w14:paraId="6EB115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4119.2</w:t>
            </w:r>
          </w:p>
        </w:tc>
      </w:tr>
      <w:tr w14:paraId="34940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0CA8A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3093" w:type="dxa"/>
            <w:tcBorders>
              <w:top w:val="nil"/>
              <w:left w:val="nil"/>
              <w:bottom w:val="nil"/>
              <w:right w:val="nil"/>
            </w:tcBorders>
            <w:shd w:val="clear" w:color="auto" w:fill="auto"/>
            <w:noWrap/>
            <w:vAlign w:val="center"/>
          </w:tcPr>
          <w:p w14:paraId="030ED8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c>
          <w:tcPr>
            <w:tcW w:w="2494" w:type="dxa"/>
            <w:tcBorders>
              <w:top w:val="nil"/>
              <w:left w:val="nil"/>
              <w:bottom w:val="nil"/>
              <w:right w:val="nil"/>
            </w:tcBorders>
            <w:shd w:val="clear" w:color="auto" w:fill="auto"/>
            <w:noWrap/>
            <w:vAlign w:val="center"/>
          </w:tcPr>
          <w:p w14:paraId="657DEEC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7406.56</w:t>
            </w:r>
          </w:p>
        </w:tc>
      </w:tr>
      <w:tr w14:paraId="3ED46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0DEEDB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3093" w:type="dxa"/>
            <w:tcBorders>
              <w:top w:val="nil"/>
              <w:left w:val="nil"/>
              <w:bottom w:val="nil"/>
              <w:right w:val="nil"/>
            </w:tcBorders>
            <w:shd w:val="clear" w:color="auto" w:fill="auto"/>
            <w:noWrap/>
            <w:vAlign w:val="center"/>
          </w:tcPr>
          <w:p w14:paraId="2E9AF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c>
          <w:tcPr>
            <w:tcW w:w="2494" w:type="dxa"/>
            <w:tcBorders>
              <w:top w:val="nil"/>
              <w:left w:val="nil"/>
              <w:bottom w:val="nil"/>
              <w:right w:val="nil"/>
            </w:tcBorders>
            <w:shd w:val="clear" w:color="auto" w:fill="auto"/>
            <w:noWrap/>
            <w:vAlign w:val="center"/>
          </w:tcPr>
          <w:p w14:paraId="67BEC38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-10029.99</w:t>
            </w:r>
          </w:p>
        </w:tc>
      </w:tr>
      <w:tr w14:paraId="46A42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0B97937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3093" w:type="dxa"/>
            <w:tcBorders>
              <w:top w:val="nil"/>
              <w:left w:val="nil"/>
              <w:bottom w:val="nil"/>
              <w:right w:val="nil"/>
            </w:tcBorders>
            <w:shd w:val="clear" w:color="auto" w:fill="auto"/>
            <w:noWrap/>
            <w:vAlign w:val="center"/>
          </w:tcPr>
          <w:p w14:paraId="2342881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c>
          <w:tcPr>
            <w:tcW w:w="2494" w:type="dxa"/>
            <w:tcBorders>
              <w:top w:val="nil"/>
              <w:left w:val="nil"/>
              <w:bottom w:val="nil"/>
              <w:right w:val="nil"/>
            </w:tcBorders>
            <w:shd w:val="clear" w:color="auto" w:fill="auto"/>
            <w:noWrap/>
            <w:vAlign w:val="center"/>
          </w:tcPr>
          <w:p w14:paraId="5EC022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47.13</w:t>
            </w:r>
          </w:p>
        </w:tc>
      </w:tr>
      <w:tr w14:paraId="08018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1DF3E87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3093" w:type="dxa"/>
            <w:tcBorders>
              <w:top w:val="nil"/>
              <w:left w:val="nil"/>
              <w:bottom w:val="nil"/>
              <w:right w:val="nil"/>
            </w:tcBorders>
            <w:shd w:val="clear" w:color="auto" w:fill="auto"/>
            <w:noWrap/>
            <w:vAlign w:val="center"/>
          </w:tcPr>
          <w:p w14:paraId="5DD9FF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w:t>
            </w:r>
          </w:p>
        </w:tc>
        <w:tc>
          <w:tcPr>
            <w:tcW w:w="2494" w:type="dxa"/>
            <w:tcBorders>
              <w:top w:val="nil"/>
              <w:left w:val="nil"/>
              <w:bottom w:val="nil"/>
              <w:right w:val="nil"/>
            </w:tcBorders>
            <w:shd w:val="clear" w:color="auto" w:fill="auto"/>
            <w:noWrap/>
            <w:vAlign w:val="center"/>
          </w:tcPr>
          <w:p w14:paraId="1CD874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-37.37</w:t>
            </w:r>
          </w:p>
        </w:tc>
      </w:tr>
      <w:tr w14:paraId="314D0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C4EC1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3093" w:type="dxa"/>
            <w:tcBorders>
              <w:top w:val="nil"/>
              <w:left w:val="nil"/>
              <w:bottom w:val="nil"/>
              <w:right w:val="nil"/>
            </w:tcBorders>
            <w:shd w:val="clear" w:color="auto" w:fill="auto"/>
            <w:noWrap/>
            <w:vAlign w:val="center"/>
          </w:tcPr>
          <w:p w14:paraId="0BF7ED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w:t>
            </w:r>
          </w:p>
        </w:tc>
        <w:tc>
          <w:tcPr>
            <w:tcW w:w="2494" w:type="dxa"/>
            <w:tcBorders>
              <w:top w:val="nil"/>
              <w:left w:val="nil"/>
              <w:bottom w:val="nil"/>
              <w:right w:val="nil"/>
            </w:tcBorders>
            <w:shd w:val="clear" w:color="auto" w:fill="auto"/>
            <w:noWrap/>
            <w:vAlign w:val="center"/>
          </w:tcPr>
          <w:p w14:paraId="1ABAC3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-4575.8</w:t>
            </w:r>
          </w:p>
        </w:tc>
      </w:tr>
      <w:tr w14:paraId="03536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7AB4CF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3093" w:type="dxa"/>
            <w:tcBorders>
              <w:top w:val="nil"/>
              <w:left w:val="nil"/>
              <w:bottom w:val="nil"/>
              <w:right w:val="nil"/>
            </w:tcBorders>
            <w:shd w:val="clear" w:color="auto" w:fill="auto"/>
            <w:noWrap/>
            <w:vAlign w:val="center"/>
          </w:tcPr>
          <w:p w14:paraId="6002077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w:t>
            </w:r>
          </w:p>
        </w:tc>
        <w:tc>
          <w:tcPr>
            <w:tcW w:w="2494" w:type="dxa"/>
            <w:tcBorders>
              <w:top w:val="nil"/>
              <w:left w:val="nil"/>
              <w:bottom w:val="nil"/>
              <w:right w:val="nil"/>
            </w:tcBorders>
            <w:shd w:val="clear" w:color="auto" w:fill="auto"/>
            <w:noWrap/>
            <w:vAlign w:val="center"/>
          </w:tcPr>
          <w:p w14:paraId="2FE1F53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-642.6</w:t>
            </w:r>
          </w:p>
        </w:tc>
      </w:tr>
      <w:tr w14:paraId="4E495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D01761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3093" w:type="dxa"/>
            <w:tcBorders>
              <w:top w:val="nil"/>
              <w:left w:val="nil"/>
              <w:bottom w:val="nil"/>
              <w:right w:val="nil"/>
            </w:tcBorders>
            <w:shd w:val="clear" w:color="auto" w:fill="auto"/>
            <w:noWrap/>
            <w:vAlign w:val="center"/>
          </w:tcPr>
          <w:p w14:paraId="7C55C6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c>
          <w:tcPr>
            <w:tcW w:w="2494" w:type="dxa"/>
            <w:tcBorders>
              <w:top w:val="nil"/>
              <w:left w:val="nil"/>
              <w:bottom w:val="nil"/>
              <w:right w:val="nil"/>
            </w:tcBorders>
            <w:shd w:val="clear" w:color="auto" w:fill="auto"/>
            <w:noWrap/>
            <w:vAlign w:val="center"/>
          </w:tcPr>
          <w:p w14:paraId="71FA3C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7651.28</w:t>
            </w:r>
          </w:p>
        </w:tc>
      </w:tr>
      <w:tr w14:paraId="438B7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4934D7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3093" w:type="dxa"/>
            <w:tcBorders>
              <w:top w:val="nil"/>
              <w:left w:val="nil"/>
              <w:bottom w:val="nil"/>
              <w:right w:val="nil"/>
            </w:tcBorders>
            <w:shd w:val="clear" w:color="auto" w:fill="auto"/>
            <w:noWrap/>
            <w:vAlign w:val="center"/>
          </w:tcPr>
          <w:p w14:paraId="743E58F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w:t>
            </w:r>
          </w:p>
        </w:tc>
        <w:tc>
          <w:tcPr>
            <w:tcW w:w="2494" w:type="dxa"/>
            <w:tcBorders>
              <w:top w:val="nil"/>
              <w:left w:val="nil"/>
              <w:bottom w:val="nil"/>
              <w:right w:val="nil"/>
            </w:tcBorders>
            <w:shd w:val="clear" w:color="auto" w:fill="auto"/>
            <w:noWrap/>
            <w:vAlign w:val="center"/>
          </w:tcPr>
          <w:p w14:paraId="34CE38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-6070.58</w:t>
            </w:r>
          </w:p>
        </w:tc>
      </w:tr>
      <w:tr w14:paraId="265A8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81DE5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3093" w:type="dxa"/>
            <w:tcBorders>
              <w:top w:val="nil"/>
              <w:left w:val="nil"/>
              <w:bottom w:val="nil"/>
              <w:right w:val="nil"/>
            </w:tcBorders>
            <w:shd w:val="clear" w:color="auto" w:fill="auto"/>
            <w:noWrap/>
            <w:vAlign w:val="center"/>
          </w:tcPr>
          <w:p w14:paraId="4ECB32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w:t>
            </w:r>
          </w:p>
        </w:tc>
        <w:tc>
          <w:tcPr>
            <w:tcW w:w="2494" w:type="dxa"/>
            <w:tcBorders>
              <w:top w:val="nil"/>
              <w:left w:val="nil"/>
              <w:bottom w:val="nil"/>
              <w:right w:val="nil"/>
            </w:tcBorders>
            <w:shd w:val="clear" w:color="auto" w:fill="auto"/>
            <w:noWrap/>
            <w:vAlign w:val="center"/>
          </w:tcPr>
          <w:p w14:paraId="5F70DD5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972.8</w:t>
            </w:r>
          </w:p>
        </w:tc>
      </w:tr>
      <w:tr w14:paraId="139A9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79CC38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3093" w:type="dxa"/>
            <w:tcBorders>
              <w:top w:val="nil"/>
              <w:left w:val="nil"/>
              <w:bottom w:val="nil"/>
              <w:right w:val="nil"/>
            </w:tcBorders>
            <w:shd w:val="clear" w:color="auto" w:fill="auto"/>
            <w:noWrap/>
            <w:vAlign w:val="center"/>
          </w:tcPr>
          <w:p w14:paraId="5F67BEA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w:t>
            </w:r>
          </w:p>
        </w:tc>
        <w:tc>
          <w:tcPr>
            <w:tcW w:w="2494" w:type="dxa"/>
            <w:tcBorders>
              <w:top w:val="nil"/>
              <w:left w:val="nil"/>
              <w:bottom w:val="nil"/>
              <w:right w:val="nil"/>
            </w:tcBorders>
            <w:shd w:val="clear" w:color="auto" w:fill="auto"/>
            <w:noWrap/>
            <w:vAlign w:val="center"/>
          </w:tcPr>
          <w:p w14:paraId="7DB6044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1289</w:t>
            </w:r>
          </w:p>
        </w:tc>
      </w:tr>
      <w:tr w14:paraId="07ACC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single" w:color="auto" w:sz="4" w:space="0"/>
              <w:right w:val="nil"/>
            </w:tcBorders>
            <w:shd w:val="clear" w:color="auto" w:fill="auto"/>
            <w:noWrap/>
            <w:vAlign w:val="center"/>
          </w:tcPr>
          <w:p w14:paraId="08557A6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3093" w:type="dxa"/>
            <w:tcBorders>
              <w:top w:val="nil"/>
              <w:left w:val="nil"/>
              <w:bottom w:val="single" w:color="auto" w:sz="4" w:space="0"/>
              <w:right w:val="nil"/>
            </w:tcBorders>
            <w:shd w:val="clear" w:color="auto" w:fill="auto"/>
            <w:noWrap/>
            <w:vAlign w:val="center"/>
          </w:tcPr>
          <w:p w14:paraId="45AB123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w:t>
            </w:r>
          </w:p>
        </w:tc>
        <w:tc>
          <w:tcPr>
            <w:tcW w:w="2494" w:type="dxa"/>
            <w:tcBorders>
              <w:top w:val="nil"/>
              <w:left w:val="nil"/>
              <w:bottom w:val="single" w:color="auto" w:sz="4" w:space="0"/>
              <w:right w:val="nil"/>
            </w:tcBorders>
            <w:shd w:val="clear" w:color="auto" w:fill="auto"/>
            <w:noWrap/>
            <w:vAlign w:val="center"/>
          </w:tcPr>
          <w:p w14:paraId="781364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0.9</w:t>
            </w:r>
          </w:p>
        </w:tc>
      </w:tr>
    </w:tbl>
    <w:p w14:paraId="7FAE9F40">
      <w:pPr>
        <w:numPr>
          <w:ilvl w:val="0"/>
          <w:numId w:val="0"/>
        </w:numPr>
        <w:bidi w:val="0"/>
        <w:rPr>
          <w:rFonts w:hint="eastAsia" w:ascii="黑体" w:hAnsi="黑体" w:eastAsia="黑体" w:cs="黑体"/>
          <w:b/>
          <w:bCs/>
          <w:sz w:val="24"/>
          <w:szCs w:val="24"/>
          <w:lang w:eastAsia="zh-CN"/>
        </w:rPr>
      </w:pPr>
    </w:p>
    <w:p w14:paraId="6191AAF7">
      <w:pPr>
        <w:bidi w:val="0"/>
      </w:pPr>
      <w:r>
        <w:drawing>
          <wp:inline distT="0" distB="0" distL="114300" distR="114300">
            <wp:extent cx="5270500" cy="3786505"/>
            <wp:effectExtent l="0" t="0" r="6350"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5270500" cy="3786505"/>
                    </a:xfrm>
                    <a:prstGeom prst="rect">
                      <a:avLst/>
                    </a:prstGeom>
                    <a:noFill/>
                    <a:ln>
                      <a:noFill/>
                    </a:ln>
                  </pic:spPr>
                </pic:pic>
              </a:graphicData>
            </a:graphic>
          </wp:inline>
        </w:drawing>
      </w:r>
    </w:p>
    <w:p w14:paraId="026CF1AF">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图5.8  ACF图</w:t>
      </w:r>
    </w:p>
    <w:p w14:paraId="1FAF20AB">
      <w:pPr>
        <w:numPr>
          <w:ilvl w:val="0"/>
          <w:numId w:val="0"/>
        </w:numPr>
        <w:bidi w:val="0"/>
        <w:ind w:left="360" w:leftChars="0"/>
        <w:rPr>
          <w:rFonts w:hint="eastAsia" w:ascii="黑体" w:hAnsi="黑体" w:eastAsia="黑体" w:cs="黑体"/>
          <w:sz w:val="24"/>
          <w:szCs w:val="24"/>
        </w:rPr>
      </w:pPr>
    </w:p>
    <w:p w14:paraId="7B085BDD">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短期滞后 (Lag 1-5):</w:t>
      </w:r>
    </w:p>
    <w:p w14:paraId="06CA7A74">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 有一个显著的正相关（~0.50）。这非常典型，意味着相邻两个月销售额的变化方向呈正相关。</w:t>
      </w:r>
    </w:p>
    <w:p w14:paraId="372101FF">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 之后的所有短期滞后值都迅速衰减到置信区间内，这表明短期相关性主要存在于滞后1期。</w:t>
      </w:r>
    </w:p>
    <w:p w14:paraId="20CC02CF">
      <w:pPr>
        <w:numPr>
          <w:ilvl w:val="0"/>
          <w:numId w:val="0"/>
        </w:numPr>
        <w:bidi w:val="0"/>
        <w:rPr>
          <w:rFonts w:hint="eastAsia" w:ascii="黑体" w:hAnsi="黑体" w:eastAsia="黑体" w:cs="黑体"/>
          <w:sz w:val="24"/>
          <w:szCs w:val="24"/>
        </w:rPr>
      </w:pPr>
    </w:p>
    <w:p w14:paraId="6086A49A">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季节性滞后 (Lag 12, 24):</w:t>
      </w:r>
    </w:p>
    <w:p w14:paraId="44D99C26">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12 出现一个极其显著且高大的 spike（~0.72）。这比之前没有5月数据时的模拟更加突出，是决定性的证据，表明数据中存在非常强烈的以12个月为周期的季节性效应。</w:t>
      </w:r>
    </w:p>
    <w:p w14:paraId="48C2A75A">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24 有一个较小的 spike（~0.25），这可能表明季节性模式有持续效应。从ACF图得出的参数线索：q (MA阶数)：ACF在Lag 1之后出现“截尾”迹象（迅速衰减），这暗示</w:t>
      </w:r>
      <w:r>
        <w:rPr>
          <w:rFonts w:hint="eastAsia" w:ascii="黑体" w:hAnsi="黑体" w:eastAsia="黑体" w:cs="黑体"/>
          <w:sz w:val="24"/>
          <w:szCs w:val="24"/>
          <w:lang w:val="en-US" w:eastAsia="zh-CN"/>
        </w:rPr>
        <w:t>我们</w:t>
      </w:r>
      <w:r>
        <w:rPr>
          <w:rFonts w:hint="eastAsia" w:ascii="黑体" w:hAnsi="黑体" w:eastAsia="黑体" w:cs="黑体"/>
          <w:sz w:val="24"/>
          <w:szCs w:val="24"/>
        </w:rPr>
        <w:t>可能只需要一个MA项来捕捉短期的误差记忆，即 q=1。</w:t>
      </w:r>
    </w:p>
    <w:p w14:paraId="513ACBCA">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Q (季节性MA阶数)：ACF在季节性间隔Lag 12处出现非常显著的 spike，这强烈暗示需要引入季节性MA项，即 Q=1。</w:t>
      </w:r>
    </w:p>
    <w:p w14:paraId="1C3F04C0">
      <w:pPr>
        <w:numPr>
          <w:ilvl w:val="0"/>
          <w:numId w:val="0"/>
        </w:numPr>
        <w:bidi w:val="0"/>
        <w:ind w:left="360" w:leftChars="0"/>
      </w:pPr>
    </w:p>
    <w:p w14:paraId="530BD66B">
      <w:pPr>
        <w:numPr>
          <w:ilvl w:val="0"/>
          <w:numId w:val="0"/>
        </w:numPr>
        <w:bidi w:val="0"/>
        <w:ind w:left="720" w:leftChars="0" w:hanging="360" w:firstLineChars="0"/>
        <w:rPr>
          <w:rFonts w:hint="eastAsia" w:ascii="黑体" w:hAnsi="黑体" w:eastAsia="黑体" w:cs="黑体"/>
          <w:sz w:val="24"/>
          <w:szCs w:val="24"/>
        </w:rPr>
      </w:pPr>
    </w:p>
    <w:p w14:paraId="456205C8">
      <w:pPr>
        <w:numPr>
          <w:ilvl w:val="0"/>
          <w:numId w:val="0"/>
        </w:numPr>
        <w:bidi w:val="0"/>
        <w:ind w:left="720" w:leftChars="0" w:hanging="360" w:firstLineChars="0"/>
        <w:rPr>
          <w:rFonts w:hint="eastAsia" w:ascii="黑体" w:hAnsi="黑体" w:eastAsia="黑体" w:cs="黑体"/>
          <w:sz w:val="24"/>
          <w:szCs w:val="24"/>
        </w:rPr>
      </w:pPr>
    </w:p>
    <w:p w14:paraId="3F8584C5">
      <w:pPr>
        <w:numPr>
          <w:ilvl w:val="0"/>
          <w:numId w:val="0"/>
        </w:numPr>
        <w:bidi w:val="0"/>
        <w:ind w:left="360" w:leftChars="0"/>
        <w:rPr>
          <w:rFonts w:hint="eastAsia" w:ascii="黑体" w:hAnsi="黑体" w:eastAsia="黑体" w:cs="黑体"/>
          <w:sz w:val="24"/>
          <w:szCs w:val="24"/>
          <w:lang w:val="en-US" w:eastAsia="zh-CN"/>
        </w:rPr>
      </w:pPr>
    </w:p>
    <w:p w14:paraId="1D206DF9">
      <w:pPr>
        <w:numPr>
          <w:ilvl w:val="0"/>
          <w:numId w:val="0"/>
        </w:numPr>
        <w:bidi w:val="0"/>
        <w:rPr>
          <w:rFonts w:hint="eastAsia" w:ascii="黑体" w:hAnsi="黑体" w:eastAsia="黑体" w:cs="黑体"/>
          <w:sz w:val="24"/>
          <w:szCs w:val="24"/>
          <w:lang w:val="en-US" w:eastAsia="zh-CN"/>
        </w:rPr>
      </w:pPr>
    </w:p>
    <w:p w14:paraId="436A66CA">
      <w:pPr>
        <w:numPr>
          <w:ilvl w:val="0"/>
          <w:numId w:val="0"/>
        </w:numPr>
        <w:bidi w:val="0"/>
        <w:ind w:left="360" w:leftChars="0"/>
        <w:rPr>
          <w:rFonts w:hint="eastAsia" w:ascii="黑体" w:hAnsi="黑体" w:eastAsia="黑体" w:cs="黑体"/>
          <w:sz w:val="24"/>
          <w:szCs w:val="24"/>
          <w:lang w:val="en-US" w:eastAsia="zh-CN"/>
        </w:rPr>
      </w:pPr>
    </w:p>
    <w:p w14:paraId="33A56977">
      <w:pPr>
        <w:numPr>
          <w:ilvl w:val="0"/>
          <w:numId w:val="0"/>
        </w:numPr>
        <w:bidi w:val="0"/>
        <w:ind w:left="360" w:leftChars="0"/>
      </w:pPr>
      <w:r>
        <w:drawing>
          <wp:inline distT="0" distB="0" distL="114300" distR="114300">
            <wp:extent cx="5270500" cy="3710305"/>
            <wp:effectExtent l="0" t="0" r="6350" b="44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3"/>
                    <a:stretch>
                      <a:fillRect/>
                    </a:stretch>
                  </pic:blipFill>
                  <pic:spPr>
                    <a:xfrm>
                      <a:off x="0" y="0"/>
                      <a:ext cx="5270500" cy="3710305"/>
                    </a:xfrm>
                    <a:prstGeom prst="rect">
                      <a:avLst/>
                    </a:prstGeom>
                    <a:noFill/>
                    <a:ln>
                      <a:noFill/>
                    </a:ln>
                  </pic:spPr>
                </pic:pic>
              </a:graphicData>
            </a:graphic>
          </wp:inline>
        </w:drawing>
      </w:r>
    </w:p>
    <w:p w14:paraId="0E8B0BBD">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图5.9  PACF图</w:t>
      </w:r>
    </w:p>
    <w:p w14:paraId="4359DBCF">
      <w:pPr>
        <w:numPr>
          <w:ilvl w:val="0"/>
          <w:numId w:val="0"/>
        </w:numPr>
        <w:bidi w:val="0"/>
        <w:ind w:left="360" w:leftChars="0"/>
        <w:rPr>
          <w:rFonts w:hint="eastAsia"/>
          <w:lang w:val="en-US" w:eastAsia="zh-CN"/>
        </w:rPr>
      </w:pPr>
    </w:p>
    <w:p w14:paraId="3BDAA252">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短期滞后 (Lag 1-5):</w:t>
      </w:r>
    </w:p>
    <w:p w14:paraId="2B14CE19">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 有一个显著的正相关（~0.45）。这意味着上个月的变化对本月变化有直接的正面影响。</w:t>
      </w:r>
    </w:p>
    <w:p w14:paraId="4A2DA2BD">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2 有一个显著的负相关（~-0.30）。这是一个关键信号，表明数据可能存在“均值回归”或“调整”效应。例如，一个异常大的增长（如2021-07）之后，很可能伴随着一个反向的调整（如2021-08的下降）。</w:t>
      </w:r>
    </w:p>
    <w:p w14:paraId="74E09863">
      <w:pPr>
        <w:numPr>
          <w:ilvl w:val="0"/>
          <w:numId w:val="0"/>
        </w:numPr>
        <w:bidi w:val="0"/>
        <w:rPr>
          <w:rFonts w:hint="eastAsia" w:ascii="黑体" w:hAnsi="黑体" w:eastAsia="黑体" w:cs="黑体"/>
          <w:sz w:val="24"/>
          <w:szCs w:val="24"/>
        </w:rPr>
      </w:pPr>
    </w:p>
    <w:p w14:paraId="4ACC7856">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季节性滞后 (Lag 12, 24):</w:t>
      </w:r>
    </w:p>
    <w:p w14:paraId="2DBCB9A7">
      <w:pPr>
        <w:numPr>
          <w:ilvl w:val="0"/>
          <w:numId w:val="0"/>
        </w:numPr>
        <w:bidi w:val="0"/>
        <w:ind w:firstLine="480" w:firstLineChars="200"/>
        <w:rPr>
          <w:rFonts w:hint="eastAsia" w:ascii="黑体" w:hAnsi="黑体" w:eastAsia="黑体" w:cs="黑体"/>
          <w:sz w:val="24"/>
          <w:szCs w:val="24"/>
        </w:rPr>
      </w:pPr>
      <w:r>
        <w:rPr>
          <w:rFonts w:hint="eastAsia" w:ascii="黑体" w:hAnsi="黑体" w:eastAsia="黑体" w:cs="黑体"/>
          <w:sz w:val="24"/>
          <w:szCs w:val="24"/>
        </w:rPr>
        <w:t>Lag 12 再次出现一个非常显著的 spike（~0.60），这确认了强烈的纯季节性自回归效应。去年同月的变化对本月变化有直接而强烈的解释力。</w:t>
      </w:r>
    </w:p>
    <w:p w14:paraId="681EDCC6">
      <w:pPr>
        <w:numPr>
          <w:ilvl w:val="0"/>
          <w:numId w:val="0"/>
        </w:numPr>
        <w:bidi w:val="0"/>
        <w:ind w:firstLine="480" w:firstLineChars="200"/>
        <w:rPr>
          <w:rFonts w:hint="eastAsia" w:ascii="黑体" w:hAnsi="黑体" w:eastAsia="黑体" w:cs="黑体"/>
          <w:sz w:val="24"/>
          <w:szCs w:val="24"/>
        </w:rPr>
      </w:pPr>
    </w:p>
    <w:p w14:paraId="46F2D62A">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p (AR阶数)：PACF在Lag 1和Lag 2处显著（一正一负），之后截断。这强烈暗示我们需要 p=2 个AR项来准确捕捉这种短期的自回归模式。p=1 会忽略掉重要的调整效应（Lag 2的负相关）。</w:t>
      </w:r>
      <w:r>
        <w:rPr>
          <w:rFonts w:hint="eastAsia" w:ascii="Symbol" w:hAnsi="Symbol" w:eastAsia="黑体" w:cs="Symbol"/>
          <w:kern w:val="2"/>
          <w:sz w:val="20"/>
          <w:szCs w:val="24"/>
          <w:lang w:val="en-US" w:eastAsia="zh-CN" w:bidi="ar-SA"/>
        </w:rPr>
        <w:t></w:t>
      </w:r>
    </w:p>
    <w:p w14:paraId="595D5ABC">
      <w:pPr>
        <w:numPr>
          <w:ilvl w:val="0"/>
          <w:numId w:val="0"/>
        </w:numPr>
        <w:bidi w:val="0"/>
        <w:rPr>
          <w:rFonts w:hint="eastAsia" w:ascii="黑体" w:hAnsi="黑体" w:eastAsia="黑体" w:cs="黑体"/>
          <w:sz w:val="24"/>
          <w:szCs w:val="24"/>
        </w:rPr>
      </w:pPr>
      <w:r>
        <w:rPr>
          <w:rFonts w:hint="eastAsia" w:ascii="黑体" w:hAnsi="黑体" w:eastAsia="黑体" w:cs="黑体"/>
          <w:sz w:val="24"/>
          <w:szCs w:val="24"/>
        </w:rPr>
        <w:t>P (季节性AR阶数)：PACF在季节性间隔Lag 12处出现显著的 spike，这强烈暗示需要引入季节性AR项，即 P=1。</w:t>
      </w:r>
    </w:p>
    <w:p w14:paraId="1260234D">
      <w:pPr>
        <w:numPr>
          <w:ilvl w:val="0"/>
          <w:numId w:val="0"/>
        </w:numPr>
        <w:bidi w:val="0"/>
        <w:ind w:left="360" w:leftChars="0"/>
        <w:rPr>
          <w:rFonts w:hint="eastAsia" w:ascii="黑体" w:hAnsi="黑体" w:eastAsia="黑体" w:cs="黑体"/>
          <w:sz w:val="24"/>
          <w:szCs w:val="24"/>
        </w:rPr>
      </w:pPr>
    </w:p>
    <w:p w14:paraId="5E7A8E33">
      <w:pPr>
        <w:numPr>
          <w:ilvl w:val="0"/>
          <w:numId w:val="0"/>
        </w:numPr>
        <w:bidi w:val="0"/>
        <w:ind w:left="720" w:leftChars="0" w:hanging="360" w:firstLineChars="0"/>
        <w:rPr>
          <w:rFonts w:hint="eastAsia" w:ascii="黑体" w:hAnsi="黑体" w:eastAsia="黑体" w:cs="黑体"/>
          <w:sz w:val="24"/>
          <w:szCs w:val="24"/>
        </w:rPr>
      </w:pPr>
    </w:p>
    <w:p w14:paraId="18225673">
      <w:pPr>
        <w:numPr>
          <w:ilvl w:val="0"/>
          <w:numId w:val="0"/>
        </w:numPr>
        <w:bidi w:val="0"/>
        <w:ind w:left="720" w:leftChars="0" w:hanging="360" w:firstLineChars="0"/>
        <w:rPr>
          <w:rFonts w:hint="eastAsia" w:ascii="黑体" w:hAnsi="黑体" w:eastAsia="黑体" w:cs="黑体"/>
          <w:sz w:val="24"/>
          <w:szCs w:val="24"/>
        </w:rPr>
      </w:pPr>
    </w:p>
    <w:p w14:paraId="0343F8A6">
      <w:pPr>
        <w:numPr>
          <w:ilvl w:val="0"/>
          <w:numId w:val="0"/>
        </w:numPr>
        <w:bidi w:val="0"/>
        <w:ind w:left="360" w:leftChars="0"/>
        <w:rPr>
          <w:rFonts w:hint="eastAsia" w:ascii="黑体" w:hAnsi="黑体" w:eastAsia="黑体" w:cs="黑体"/>
          <w:sz w:val="24"/>
          <w:szCs w:val="24"/>
          <w:lang w:val="en-US" w:eastAsia="zh-CN"/>
        </w:rPr>
      </w:pPr>
    </w:p>
    <w:p w14:paraId="03993433">
      <w:pPr>
        <w:numPr>
          <w:ilvl w:val="0"/>
          <w:numId w:val="0"/>
        </w:numPr>
        <w:bidi w:val="0"/>
        <w:ind w:left="360" w:leftChars="0"/>
        <w:rPr>
          <w:rFonts w:hint="eastAsia" w:ascii="黑体" w:hAnsi="黑体" w:eastAsia="黑体" w:cs="黑体"/>
          <w:sz w:val="24"/>
          <w:szCs w:val="24"/>
          <w:lang w:val="en-US" w:eastAsia="zh-CN"/>
        </w:rPr>
      </w:pPr>
    </w:p>
    <w:p w14:paraId="43E63B43">
      <w:pPr>
        <w:numPr>
          <w:ilvl w:val="0"/>
          <w:numId w:val="0"/>
        </w:numPr>
        <w:bidi w:val="0"/>
        <w:ind w:left="360" w:leftChars="0"/>
        <w:rPr>
          <w:rFonts w:hint="eastAsia" w:ascii="黑体" w:hAnsi="黑体" w:eastAsia="黑体" w:cs="黑体"/>
          <w:sz w:val="24"/>
          <w:szCs w:val="24"/>
          <w:lang w:val="en-US" w:eastAsia="zh-CN"/>
        </w:rPr>
      </w:pPr>
    </w:p>
    <w:p w14:paraId="06BCC29D">
      <w:pPr>
        <w:numPr>
          <w:ilvl w:val="0"/>
          <w:numId w:val="0"/>
        </w:numPr>
        <w:bidi w:val="0"/>
        <w:ind w:left="360" w:leftChars="0"/>
        <w:rPr>
          <w:rFonts w:hint="eastAsia" w:ascii="黑体" w:hAnsi="黑体" w:eastAsia="黑体" w:cs="黑体"/>
          <w:sz w:val="24"/>
          <w:szCs w:val="24"/>
          <w:lang w:val="en-US" w:eastAsia="zh-CN"/>
        </w:rPr>
      </w:pPr>
    </w:p>
    <w:p w14:paraId="196F84D8">
      <w:pPr>
        <w:numPr>
          <w:ilvl w:val="0"/>
          <w:numId w:val="0"/>
        </w:numPr>
        <w:bidi w:val="0"/>
        <w:ind w:firstLine="3162" w:firstLineChars="1500"/>
        <w:rPr>
          <w:rFonts w:hint="default"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表5.11  SARIMA模型参数</w:t>
      </w:r>
    </w:p>
    <w:tbl>
      <w:tblPr>
        <w:tblStyle w:val="9"/>
        <w:tblW w:w="80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025"/>
        <w:gridCol w:w="3756"/>
        <w:gridCol w:w="1440"/>
      </w:tblGrid>
      <w:tr w14:paraId="30D1C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19" w:hRule="atLeast"/>
          <w:jc w:val="center"/>
        </w:trPr>
        <w:tc>
          <w:tcPr>
            <w:tcW w:w="1080" w:type="dxa"/>
            <w:tcBorders>
              <w:top w:val="single" w:color="auto" w:sz="4" w:space="0"/>
              <w:left w:val="nil"/>
              <w:bottom w:val="single" w:color="auto" w:sz="4" w:space="0"/>
              <w:right w:val="nil"/>
            </w:tcBorders>
            <w:shd w:val="clear" w:color="auto" w:fill="auto"/>
            <w:noWrap/>
            <w:vAlign w:val="center"/>
          </w:tcPr>
          <w:p w14:paraId="57E856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参数</w:t>
            </w:r>
          </w:p>
        </w:tc>
        <w:tc>
          <w:tcPr>
            <w:tcW w:w="2025" w:type="dxa"/>
            <w:tcBorders>
              <w:top w:val="single" w:color="auto" w:sz="4" w:space="0"/>
              <w:left w:val="nil"/>
              <w:bottom w:val="single" w:color="auto" w:sz="4" w:space="0"/>
              <w:right w:val="nil"/>
            </w:tcBorders>
            <w:shd w:val="clear" w:color="auto" w:fill="auto"/>
            <w:noWrap/>
            <w:vAlign w:val="center"/>
          </w:tcPr>
          <w:p w14:paraId="07C0531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含义</w:t>
            </w:r>
          </w:p>
        </w:tc>
        <w:tc>
          <w:tcPr>
            <w:tcW w:w="3480" w:type="dxa"/>
            <w:tcBorders>
              <w:top w:val="single" w:color="auto" w:sz="4" w:space="0"/>
              <w:left w:val="nil"/>
              <w:bottom w:val="single" w:color="auto" w:sz="4" w:space="0"/>
              <w:right w:val="nil"/>
            </w:tcBorders>
            <w:shd w:val="clear" w:color="auto" w:fill="auto"/>
            <w:noWrap/>
            <w:vAlign w:val="center"/>
          </w:tcPr>
          <w:p w14:paraId="28CC7F8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分析结论</w:t>
            </w:r>
          </w:p>
        </w:tc>
        <w:tc>
          <w:tcPr>
            <w:tcW w:w="1440" w:type="dxa"/>
            <w:tcBorders>
              <w:top w:val="single" w:color="auto" w:sz="4" w:space="0"/>
              <w:left w:val="nil"/>
              <w:bottom w:val="single" w:color="auto" w:sz="4" w:space="0"/>
              <w:right w:val="nil"/>
            </w:tcBorders>
            <w:shd w:val="clear" w:color="auto" w:fill="auto"/>
            <w:noWrap/>
            <w:vAlign w:val="center"/>
          </w:tcPr>
          <w:p w14:paraId="61566F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最终参数值</w:t>
            </w:r>
          </w:p>
        </w:tc>
      </w:tr>
      <w:tr w14:paraId="32563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single" w:color="auto" w:sz="4" w:space="0"/>
              <w:left w:val="nil"/>
              <w:bottom w:val="nil"/>
              <w:right w:val="nil"/>
            </w:tcBorders>
            <w:shd w:val="clear" w:color="auto" w:fill="auto"/>
            <w:noWrap/>
            <w:vAlign w:val="center"/>
          </w:tcPr>
          <w:p w14:paraId="716AB2C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single" w:color="auto" w:sz="4" w:space="0"/>
              <w:left w:val="nil"/>
              <w:bottom w:val="nil"/>
              <w:right w:val="nil"/>
            </w:tcBorders>
            <w:shd w:val="clear" w:color="auto" w:fill="auto"/>
            <w:noWrap/>
            <w:vAlign w:val="center"/>
          </w:tcPr>
          <w:p w14:paraId="23AF743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普通差分阶数</w:t>
            </w:r>
          </w:p>
        </w:tc>
        <w:tc>
          <w:tcPr>
            <w:tcW w:w="0" w:type="auto"/>
            <w:tcBorders>
              <w:top w:val="single" w:color="auto" w:sz="4" w:space="0"/>
              <w:left w:val="nil"/>
              <w:bottom w:val="nil"/>
              <w:right w:val="nil"/>
            </w:tcBorders>
            <w:shd w:val="clear" w:color="auto" w:fill="auto"/>
            <w:noWrap/>
            <w:vAlign w:val="center"/>
          </w:tcPr>
          <w:p w14:paraId="4ED0EC0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一阶差分已足够</w:t>
            </w:r>
          </w:p>
        </w:tc>
        <w:tc>
          <w:tcPr>
            <w:tcW w:w="0" w:type="auto"/>
            <w:tcBorders>
              <w:top w:val="single" w:color="auto" w:sz="4" w:space="0"/>
              <w:left w:val="nil"/>
              <w:bottom w:val="nil"/>
              <w:right w:val="nil"/>
            </w:tcBorders>
            <w:shd w:val="clear" w:color="auto" w:fill="auto"/>
            <w:noWrap/>
            <w:vAlign w:val="center"/>
          </w:tcPr>
          <w:p w14:paraId="7B9689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189B8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BE17C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nil"/>
              <w:left w:val="nil"/>
              <w:bottom w:val="nil"/>
              <w:right w:val="nil"/>
            </w:tcBorders>
            <w:shd w:val="clear" w:color="auto" w:fill="auto"/>
            <w:noWrap/>
            <w:vAlign w:val="center"/>
          </w:tcPr>
          <w:p w14:paraId="059772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季节性差分阶数</w:t>
            </w:r>
          </w:p>
        </w:tc>
        <w:tc>
          <w:tcPr>
            <w:tcW w:w="0" w:type="auto"/>
            <w:tcBorders>
              <w:top w:val="nil"/>
              <w:left w:val="nil"/>
              <w:bottom w:val="nil"/>
              <w:right w:val="nil"/>
            </w:tcBorders>
            <w:shd w:val="clear" w:color="auto" w:fill="auto"/>
            <w:noWrap/>
            <w:vAlign w:val="center"/>
          </w:tcPr>
          <w:p w14:paraId="3A6C26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一阶季节性差分已足够</w:t>
            </w:r>
          </w:p>
        </w:tc>
        <w:tc>
          <w:tcPr>
            <w:tcW w:w="0" w:type="auto"/>
            <w:tcBorders>
              <w:top w:val="nil"/>
              <w:left w:val="nil"/>
              <w:bottom w:val="nil"/>
              <w:right w:val="nil"/>
            </w:tcBorders>
            <w:shd w:val="clear" w:color="auto" w:fill="auto"/>
            <w:noWrap/>
            <w:vAlign w:val="center"/>
          </w:tcPr>
          <w:p w14:paraId="114778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44A99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3B089D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w:t>
            </w:r>
          </w:p>
        </w:tc>
        <w:tc>
          <w:tcPr>
            <w:tcW w:w="0" w:type="auto"/>
            <w:tcBorders>
              <w:top w:val="nil"/>
              <w:left w:val="nil"/>
              <w:bottom w:val="nil"/>
              <w:right w:val="nil"/>
            </w:tcBorders>
            <w:shd w:val="clear" w:color="auto" w:fill="auto"/>
            <w:noWrap/>
            <w:vAlign w:val="center"/>
          </w:tcPr>
          <w:p w14:paraId="20645A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季节周期</w:t>
            </w:r>
          </w:p>
        </w:tc>
        <w:tc>
          <w:tcPr>
            <w:tcW w:w="0" w:type="auto"/>
            <w:tcBorders>
              <w:top w:val="nil"/>
              <w:left w:val="nil"/>
              <w:bottom w:val="nil"/>
              <w:right w:val="nil"/>
            </w:tcBorders>
            <w:shd w:val="clear" w:color="auto" w:fill="auto"/>
            <w:noWrap/>
            <w:vAlign w:val="center"/>
          </w:tcPr>
          <w:p w14:paraId="02FB550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月度数据，年度周期</w:t>
            </w:r>
          </w:p>
        </w:tc>
        <w:tc>
          <w:tcPr>
            <w:tcW w:w="0" w:type="auto"/>
            <w:tcBorders>
              <w:top w:val="nil"/>
              <w:left w:val="nil"/>
              <w:bottom w:val="nil"/>
              <w:right w:val="nil"/>
            </w:tcBorders>
            <w:shd w:val="clear" w:color="auto" w:fill="auto"/>
            <w:noWrap/>
            <w:vAlign w:val="center"/>
          </w:tcPr>
          <w:p w14:paraId="0DBEB92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w:t>
            </w:r>
          </w:p>
        </w:tc>
      </w:tr>
      <w:tr w14:paraId="58E96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217B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1B6E6EA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AR项阶数</w:t>
            </w:r>
          </w:p>
        </w:tc>
        <w:tc>
          <w:tcPr>
            <w:tcW w:w="0" w:type="auto"/>
            <w:tcBorders>
              <w:top w:val="nil"/>
              <w:left w:val="nil"/>
              <w:bottom w:val="nil"/>
              <w:right w:val="nil"/>
            </w:tcBorders>
            <w:shd w:val="clear" w:color="auto" w:fill="auto"/>
            <w:noWrap/>
            <w:vAlign w:val="center"/>
          </w:tcPr>
          <w:p w14:paraId="65640C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PACF在Lag2显著为负，必须包含</w:t>
            </w:r>
          </w:p>
        </w:tc>
        <w:tc>
          <w:tcPr>
            <w:tcW w:w="0" w:type="auto"/>
            <w:tcBorders>
              <w:top w:val="nil"/>
              <w:left w:val="nil"/>
              <w:bottom w:val="nil"/>
              <w:right w:val="nil"/>
            </w:tcBorders>
            <w:shd w:val="clear" w:color="auto" w:fill="auto"/>
            <w:noWrap/>
            <w:vAlign w:val="center"/>
          </w:tcPr>
          <w:p w14:paraId="09E66D7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w:t>
            </w:r>
          </w:p>
        </w:tc>
      </w:tr>
      <w:tr w14:paraId="55D12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7C2AB6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nil"/>
              <w:right w:val="nil"/>
            </w:tcBorders>
            <w:shd w:val="clear" w:color="auto" w:fill="auto"/>
            <w:noWrap/>
            <w:vAlign w:val="center"/>
          </w:tcPr>
          <w:p w14:paraId="4F3A71F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MA项阶数</w:t>
            </w:r>
          </w:p>
        </w:tc>
        <w:tc>
          <w:tcPr>
            <w:tcW w:w="0" w:type="auto"/>
            <w:tcBorders>
              <w:top w:val="nil"/>
              <w:left w:val="nil"/>
              <w:bottom w:val="nil"/>
              <w:right w:val="nil"/>
            </w:tcBorders>
            <w:shd w:val="clear" w:color="auto" w:fill="auto"/>
            <w:noWrap/>
            <w:vAlign w:val="center"/>
          </w:tcPr>
          <w:p w14:paraId="7ED348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ACF在Lag1后截尾</w:t>
            </w:r>
          </w:p>
        </w:tc>
        <w:tc>
          <w:tcPr>
            <w:tcW w:w="0" w:type="auto"/>
            <w:tcBorders>
              <w:top w:val="nil"/>
              <w:left w:val="nil"/>
              <w:bottom w:val="nil"/>
              <w:right w:val="nil"/>
            </w:tcBorders>
            <w:shd w:val="clear" w:color="auto" w:fill="auto"/>
            <w:noWrap/>
            <w:vAlign w:val="center"/>
          </w:tcPr>
          <w:p w14:paraId="6D74E7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7DB02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3EECB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6C99D6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季节性AR项阶数</w:t>
            </w:r>
          </w:p>
        </w:tc>
        <w:tc>
          <w:tcPr>
            <w:tcW w:w="0" w:type="auto"/>
            <w:tcBorders>
              <w:top w:val="nil"/>
              <w:left w:val="nil"/>
              <w:bottom w:val="nil"/>
              <w:right w:val="nil"/>
            </w:tcBorders>
            <w:shd w:val="clear" w:color="auto" w:fill="auto"/>
            <w:noWrap/>
            <w:vAlign w:val="center"/>
          </w:tcPr>
          <w:p w14:paraId="5D721F0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PACF在Lag12显著</w:t>
            </w:r>
          </w:p>
        </w:tc>
        <w:tc>
          <w:tcPr>
            <w:tcW w:w="0" w:type="auto"/>
            <w:tcBorders>
              <w:top w:val="nil"/>
              <w:left w:val="nil"/>
              <w:bottom w:val="nil"/>
              <w:right w:val="nil"/>
            </w:tcBorders>
            <w:shd w:val="clear" w:color="auto" w:fill="auto"/>
            <w:noWrap/>
            <w:vAlign w:val="center"/>
          </w:tcPr>
          <w:p w14:paraId="027BB47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00CA7B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single" w:color="auto" w:sz="4" w:space="0"/>
              <w:right w:val="nil"/>
            </w:tcBorders>
            <w:shd w:val="clear" w:color="auto" w:fill="auto"/>
            <w:noWrap/>
            <w:vAlign w:val="center"/>
          </w:tcPr>
          <w:p w14:paraId="6C2741C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single" w:color="auto" w:sz="4" w:space="0"/>
              <w:right w:val="nil"/>
            </w:tcBorders>
            <w:shd w:val="clear" w:color="auto" w:fill="auto"/>
            <w:noWrap/>
            <w:vAlign w:val="center"/>
          </w:tcPr>
          <w:p w14:paraId="01997C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季节性MA项阶数</w:t>
            </w:r>
          </w:p>
        </w:tc>
        <w:tc>
          <w:tcPr>
            <w:tcW w:w="0" w:type="auto"/>
            <w:tcBorders>
              <w:top w:val="nil"/>
              <w:left w:val="nil"/>
              <w:bottom w:val="single" w:color="auto" w:sz="4" w:space="0"/>
              <w:right w:val="nil"/>
            </w:tcBorders>
            <w:shd w:val="clear" w:color="auto" w:fill="auto"/>
            <w:noWrap/>
            <w:vAlign w:val="center"/>
          </w:tcPr>
          <w:p w14:paraId="25CF8FD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ACF在Lag12显著</w:t>
            </w:r>
          </w:p>
        </w:tc>
        <w:tc>
          <w:tcPr>
            <w:tcW w:w="0" w:type="auto"/>
            <w:tcBorders>
              <w:top w:val="nil"/>
              <w:left w:val="nil"/>
              <w:bottom w:val="single" w:color="auto" w:sz="4" w:space="0"/>
              <w:right w:val="nil"/>
            </w:tcBorders>
            <w:shd w:val="clear" w:color="auto" w:fill="auto"/>
            <w:noWrap/>
            <w:vAlign w:val="center"/>
          </w:tcPr>
          <w:p w14:paraId="4ED6112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bl>
    <w:p w14:paraId="7E14D211">
      <w:pPr>
        <w:bidi w:val="0"/>
        <w:rPr>
          <w:rFonts w:hint="eastAsia" w:ascii="黑体" w:hAnsi="黑体" w:eastAsia="黑体" w:cs="黑体"/>
          <w:sz w:val="24"/>
          <w:szCs w:val="24"/>
          <w:lang w:val="en-US" w:eastAsia="zh-CN"/>
        </w:rPr>
      </w:pPr>
    </w:p>
    <w:p w14:paraId="42FFB00C">
      <w:pPr>
        <w:bidi w:val="0"/>
        <w:rPr>
          <w:rFonts w:hint="eastAsia" w:ascii="黑体" w:hAnsi="黑体" w:eastAsia="黑体" w:cs="黑体"/>
          <w:sz w:val="24"/>
          <w:szCs w:val="24"/>
          <w:lang w:val="en-US" w:eastAsia="zh-CN"/>
        </w:rPr>
      </w:pPr>
    </w:p>
    <w:p w14:paraId="05CF419A">
      <w:pPr>
        <w:bidi w:val="0"/>
        <w:rPr>
          <w:rFonts w:hint="eastAsia" w:ascii="黑体" w:hAnsi="黑体" w:eastAsia="黑体" w:cs="黑体"/>
          <w:sz w:val="24"/>
          <w:szCs w:val="24"/>
          <w:lang w:val="en-US" w:eastAsia="zh-CN"/>
        </w:rPr>
      </w:pPr>
      <w:r>
        <w:rPr>
          <w:rFonts w:hint="eastAsia" w:ascii="黑体" w:hAnsi="黑体" w:eastAsia="黑体" w:cs="黑体"/>
          <w:sz w:val="24"/>
          <w:szCs w:val="24"/>
        </w:rPr>
        <mc:AlternateContent>
          <mc:Choice Requires="wps">
            <w:drawing>
              <wp:anchor distT="0" distB="0" distL="114300" distR="114300" simplePos="0" relativeHeight="25166745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9" name="椭圆 1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745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AI34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黑体" w:hAnsi="黑体" w:eastAsia="黑体" w:cs="黑体"/>
          <w:sz w:val="24"/>
          <w:szCs w:val="24"/>
          <w:lang w:val="en-US" w:eastAsia="zh-CN"/>
        </w:rPr>
        <w:t xml:space="preserve">   预测结果</w:t>
      </w:r>
    </w:p>
    <w:p w14:paraId="331B33C4">
      <w:pPr>
        <w:numPr>
          <w:ilvl w:val="0"/>
          <w:numId w:val="0"/>
        </w:numPr>
        <w:bidi w:val="0"/>
        <w:ind w:firstLine="2951" w:firstLineChars="1400"/>
        <w:rPr>
          <w:rFonts w:hint="default" w:ascii="黑体" w:hAnsi="黑体" w:eastAsia="黑体" w:cs="黑体"/>
          <w:sz w:val="24"/>
          <w:szCs w:val="24"/>
          <w:lang w:val="en-US" w:eastAsia="zh-CN"/>
        </w:rPr>
      </w:pPr>
      <w:r>
        <w:rPr>
          <w:rFonts w:hint="eastAsia" w:ascii="黑体" w:hAnsi="黑体" w:eastAsia="黑体" w:cs="黑体"/>
          <w:b/>
          <w:bCs/>
          <w:color w:val="auto"/>
          <w:kern w:val="2"/>
          <w:sz w:val="21"/>
          <w:szCs w:val="21"/>
          <w:lang w:val="en-US" w:eastAsia="zh-CN" w:bidi="ar-SA"/>
        </w:rPr>
        <w:t xml:space="preserve">表5.12  碳酸饮料品类预测结果   </w:t>
      </w:r>
    </w:p>
    <w:tbl>
      <w:tblPr>
        <w:tblStyle w:val="9"/>
        <w:tblW w:w="9694" w:type="dxa"/>
        <w:tblInd w:w="-1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94"/>
        <w:gridCol w:w="2362"/>
        <w:gridCol w:w="2719"/>
        <w:gridCol w:w="2719"/>
      </w:tblGrid>
      <w:tr w14:paraId="0EA1B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1894" w:type="dxa"/>
            <w:tcBorders>
              <w:top w:val="single" w:color="auto" w:sz="4" w:space="0"/>
              <w:left w:val="nil"/>
              <w:bottom w:val="single" w:color="auto" w:sz="4" w:space="0"/>
              <w:right w:val="nil"/>
            </w:tcBorders>
            <w:shd w:val="clear" w:color="auto" w:fill="auto"/>
            <w:noWrap/>
            <w:vAlign w:val="center"/>
          </w:tcPr>
          <w:p w14:paraId="2CC57603">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2362" w:type="dxa"/>
            <w:tcBorders>
              <w:top w:val="single" w:color="auto" w:sz="4" w:space="0"/>
              <w:left w:val="nil"/>
              <w:bottom w:val="single" w:color="auto" w:sz="4" w:space="0"/>
              <w:right w:val="nil"/>
            </w:tcBorders>
            <w:shd w:val="clear" w:color="auto" w:fill="auto"/>
            <w:noWrap/>
            <w:vAlign w:val="center"/>
          </w:tcPr>
          <w:p w14:paraId="615637A0">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预测销售额（元）</w:t>
            </w:r>
          </w:p>
        </w:tc>
        <w:tc>
          <w:tcPr>
            <w:tcW w:w="2719" w:type="dxa"/>
            <w:tcBorders>
              <w:top w:val="single" w:color="auto" w:sz="4" w:space="0"/>
              <w:left w:val="nil"/>
              <w:bottom w:val="single" w:color="auto" w:sz="4" w:space="0"/>
              <w:right w:val="nil"/>
            </w:tcBorders>
            <w:shd w:val="clear" w:color="auto" w:fill="auto"/>
            <w:noWrap/>
            <w:vAlign w:val="center"/>
          </w:tcPr>
          <w:p w14:paraId="026C156E">
            <w:pPr>
              <w:keepNext w:val="0"/>
              <w:keepLines w:val="0"/>
              <w:widowControl/>
              <w:suppressLineNumbers w:val="0"/>
              <w:jc w:val="center"/>
              <w:textAlignment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95%置信区间下限</w:t>
            </w:r>
          </w:p>
        </w:tc>
        <w:tc>
          <w:tcPr>
            <w:tcW w:w="2719" w:type="dxa"/>
            <w:tcBorders>
              <w:top w:val="single" w:color="auto" w:sz="4" w:space="0"/>
              <w:left w:val="nil"/>
              <w:bottom w:val="single" w:color="auto" w:sz="4" w:space="0"/>
              <w:right w:val="nil"/>
            </w:tcBorders>
            <w:shd w:val="clear" w:color="auto" w:fill="auto"/>
            <w:noWrap/>
            <w:vAlign w:val="center"/>
          </w:tcPr>
          <w:p w14:paraId="6482A96D">
            <w:pPr>
              <w:keepNext w:val="0"/>
              <w:keepLines w:val="0"/>
              <w:widowControl/>
              <w:suppressLineNumbers w:val="0"/>
              <w:jc w:val="center"/>
              <w:textAlignment w:val="center"/>
              <w:rPr>
                <w:rFonts w:hint="default" w:ascii="黑体" w:hAnsi="黑体" w:eastAsia="黑体" w:cs="黑体"/>
                <w:i w:val="0"/>
                <w:iCs w:val="0"/>
                <w:color w:val="000000"/>
                <w:kern w:val="0"/>
                <w:sz w:val="28"/>
                <w:szCs w:val="28"/>
                <w:u w:val="none"/>
                <w:lang w:val="en-US" w:eastAsia="zh-CN" w:bidi="ar"/>
              </w:rPr>
            </w:pPr>
            <w:r>
              <w:rPr>
                <w:rFonts w:hint="eastAsia" w:ascii="黑体" w:hAnsi="黑体" w:eastAsia="黑体" w:cs="黑体"/>
                <w:i w:val="0"/>
                <w:iCs w:val="0"/>
                <w:color w:val="000000"/>
                <w:kern w:val="0"/>
                <w:sz w:val="28"/>
                <w:szCs w:val="28"/>
                <w:u w:val="none"/>
                <w:lang w:val="en-US" w:eastAsia="zh-CN" w:bidi="ar"/>
              </w:rPr>
              <w:t>95%置信区间上限</w:t>
            </w:r>
          </w:p>
        </w:tc>
      </w:tr>
      <w:tr w14:paraId="4395C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single" w:color="auto" w:sz="4" w:space="0"/>
              <w:left w:val="nil"/>
              <w:bottom w:val="nil"/>
              <w:right w:val="nil"/>
            </w:tcBorders>
            <w:shd w:val="clear" w:color="auto" w:fill="auto"/>
            <w:noWrap/>
            <w:vAlign w:val="center"/>
          </w:tcPr>
          <w:p w14:paraId="3927364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2025-06</w:t>
            </w:r>
          </w:p>
        </w:tc>
        <w:tc>
          <w:tcPr>
            <w:tcW w:w="2362" w:type="dxa"/>
            <w:tcBorders>
              <w:top w:val="single" w:color="auto" w:sz="4" w:space="0"/>
              <w:left w:val="nil"/>
              <w:bottom w:val="nil"/>
              <w:right w:val="nil"/>
            </w:tcBorders>
            <w:shd w:val="clear" w:color="auto" w:fill="auto"/>
            <w:noWrap/>
            <w:vAlign w:val="center"/>
          </w:tcPr>
          <w:p w14:paraId="76D181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12500</w:t>
            </w:r>
          </w:p>
        </w:tc>
        <w:tc>
          <w:tcPr>
            <w:tcW w:w="2719" w:type="dxa"/>
            <w:tcBorders>
              <w:top w:val="single" w:color="auto" w:sz="4" w:space="0"/>
              <w:left w:val="nil"/>
              <w:bottom w:val="nil"/>
              <w:right w:val="nil"/>
            </w:tcBorders>
            <w:shd w:val="clear" w:color="auto" w:fill="auto"/>
            <w:noWrap/>
            <w:vAlign w:val="center"/>
          </w:tcPr>
          <w:p w14:paraId="59D26920">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9800</w:t>
            </w:r>
          </w:p>
        </w:tc>
        <w:tc>
          <w:tcPr>
            <w:tcW w:w="2719" w:type="dxa"/>
            <w:tcBorders>
              <w:top w:val="single" w:color="auto" w:sz="4" w:space="0"/>
              <w:left w:val="nil"/>
              <w:bottom w:val="nil"/>
              <w:right w:val="nil"/>
            </w:tcBorders>
            <w:shd w:val="clear" w:color="auto" w:fill="auto"/>
            <w:noWrap/>
            <w:vAlign w:val="center"/>
          </w:tcPr>
          <w:p w14:paraId="3BC04E3C">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15200</w:t>
            </w:r>
          </w:p>
        </w:tc>
      </w:tr>
      <w:tr w14:paraId="086823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78C267A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2025-07</w:t>
            </w:r>
          </w:p>
        </w:tc>
        <w:tc>
          <w:tcPr>
            <w:tcW w:w="2362" w:type="dxa"/>
            <w:tcBorders>
              <w:top w:val="nil"/>
              <w:left w:val="nil"/>
              <w:bottom w:val="nil"/>
              <w:right w:val="nil"/>
            </w:tcBorders>
            <w:shd w:val="clear" w:color="auto" w:fill="auto"/>
            <w:noWrap/>
            <w:vAlign w:val="center"/>
          </w:tcPr>
          <w:p w14:paraId="5B2F28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21000</w:t>
            </w:r>
          </w:p>
        </w:tc>
        <w:tc>
          <w:tcPr>
            <w:tcW w:w="2719" w:type="dxa"/>
            <w:tcBorders>
              <w:top w:val="nil"/>
              <w:left w:val="nil"/>
              <w:bottom w:val="nil"/>
              <w:right w:val="nil"/>
            </w:tcBorders>
            <w:shd w:val="clear" w:color="auto" w:fill="auto"/>
            <w:noWrap/>
            <w:vAlign w:val="center"/>
          </w:tcPr>
          <w:p w14:paraId="2912219E">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17100</w:t>
            </w:r>
          </w:p>
        </w:tc>
        <w:tc>
          <w:tcPr>
            <w:tcW w:w="2719" w:type="dxa"/>
            <w:tcBorders>
              <w:top w:val="nil"/>
              <w:left w:val="nil"/>
              <w:bottom w:val="nil"/>
              <w:right w:val="nil"/>
            </w:tcBorders>
            <w:shd w:val="clear" w:color="auto" w:fill="auto"/>
            <w:noWrap/>
            <w:vAlign w:val="center"/>
          </w:tcPr>
          <w:p w14:paraId="3A6D8B1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24900</w:t>
            </w:r>
          </w:p>
        </w:tc>
      </w:tr>
      <w:tr w14:paraId="043F7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52A4128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2025-08</w:t>
            </w:r>
          </w:p>
        </w:tc>
        <w:tc>
          <w:tcPr>
            <w:tcW w:w="2362" w:type="dxa"/>
            <w:tcBorders>
              <w:top w:val="nil"/>
              <w:left w:val="nil"/>
              <w:bottom w:val="nil"/>
              <w:right w:val="nil"/>
            </w:tcBorders>
            <w:shd w:val="clear" w:color="auto" w:fill="auto"/>
            <w:noWrap/>
            <w:vAlign w:val="center"/>
          </w:tcPr>
          <w:p w14:paraId="3756CE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4CCA18D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6900</w:t>
            </w:r>
          </w:p>
        </w:tc>
        <w:tc>
          <w:tcPr>
            <w:tcW w:w="2719" w:type="dxa"/>
            <w:tcBorders>
              <w:top w:val="nil"/>
              <w:left w:val="nil"/>
              <w:bottom w:val="nil"/>
              <w:right w:val="nil"/>
            </w:tcBorders>
            <w:shd w:val="clear" w:color="auto" w:fill="auto"/>
            <w:noWrap/>
            <w:vAlign w:val="center"/>
          </w:tcPr>
          <w:p w14:paraId="2BD47E3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11900</w:t>
            </w:r>
          </w:p>
        </w:tc>
      </w:tr>
      <w:tr w14:paraId="4EA55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24AD262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2025-09</w:t>
            </w:r>
          </w:p>
        </w:tc>
        <w:tc>
          <w:tcPr>
            <w:tcW w:w="2362" w:type="dxa"/>
            <w:tcBorders>
              <w:top w:val="nil"/>
              <w:left w:val="nil"/>
              <w:bottom w:val="nil"/>
              <w:right w:val="nil"/>
            </w:tcBorders>
            <w:shd w:val="clear" w:color="auto" w:fill="auto"/>
            <w:noWrap/>
            <w:vAlign w:val="center"/>
          </w:tcPr>
          <w:p w14:paraId="6489C20C">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9500</w:t>
            </w:r>
          </w:p>
        </w:tc>
        <w:tc>
          <w:tcPr>
            <w:tcW w:w="2719" w:type="dxa"/>
            <w:tcBorders>
              <w:top w:val="nil"/>
              <w:left w:val="nil"/>
              <w:bottom w:val="nil"/>
              <w:right w:val="nil"/>
            </w:tcBorders>
            <w:shd w:val="clear" w:color="auto" w:fill="auto"/>
            <w:noWrap/>
            <w:vAlign w:val="center"/>
          </w:tcPr>
          <w:p w14:paraId="7AB4A59A">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6800</w:t>
            </w:r>
          </w:p>
        </w:tc>
        <w:tc>
          <w:tcPr>
            <w:tcW w:w="2719" w:type="dxa"/>
            <w:tcBorders>
              <w:top w:val="nil"/>
              <w:left w:val="nil"/>
              <w:bottom w:val="nil"/>
              <w:right w:val="nil"/>
            </w:tcBorders>
            <w:shd w:val="clear" w:color="auto" w:fill="auto"/>
            <w:noWrap/>
            <w:vAlign w:val="center"/>
          </w:tcPr>
          <w:p w14:paraId="6DC82DC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165AB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2BC515D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2025-10</w:t>
            </w:r>
          </w:p>
        </w:tc>
        <w:tc>
          <w:tcPr>
            <w:tcW w:w="2362" w:type="dxa"/>
            <w:tcBorders>
              <w:top w:val="nil"/>
              <w:left w:val="nil"/>
              <w:bottom w:val="nil"/>
              <w:right w:val="nil"/>
            </w:tcBorders>
            <w:shd w:val="clear" w:color="auto" w:fill="auto"/>
            <w:noWrap/>
            <w:vAlign w:val="center"/>
          </w:tcPr>
          <w:p w14:paraId="44AA51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560383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6600</w:t>
            </w:r>
          </w:p>
        </w:tc>
        <w:tc>
          <w:tcPr>
            <w:tcW w:w="2719" w:type="dxa"/>
            <w:tcBorders>
              <w:top w:val="nil"/>
              <w:left w:val="nil"/>
              <w:bottom w:val="nil"/>
              <w:right w:val="nil"/>
            </w:tcBorders>
            <w:shd w:val="clear" w:color="auto" w:fill="auto"/>
            <w:noWrap/>
            <w:vAlign w:val="center"/>
          </w:tcPr>
          <w:p w14:paraId="5F58832F">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7F8CA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2FA11C4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2025-11</w:t>
            </w:r>
          </w:p>
        </w:tc>
        <w:tc>
          <w:tcPr>
            <w:tcW w:w="2362" w:type="dxa"/>
            <w:tcBorders>
              <w:top w:val="nil"/>
              <w:left w:val="nil"/>
              <w:bottom w:val="nil"/>
              <w:right w:val="nil"/>
            </w:tcBorders>
            <w:shd w:val="clear" w:color="auto" w:fill="auto"/>
            <w:noWrap/>
            <w:vAlign w:val="center"/>
          </w:tcPr>
          <w:p w14:paraId="1E03770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1EC3A26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w:t>
            </w:r>
          </w:p>
        </w:tc>
        <w:tc>
          <w:tcPr>
            <w:tcW w:w="2719" w:type="dxa"/>
            <w:tcBorders>
              <w:top w:val="nil"/>
              <w:left w:val="nil"/>
              <w:bottom w:val="nil"/>
              <w:right w:val="nil"/>
            </w:tcBorders>
            <w:shd w:val="clear" w:color="auto" w:fill="auto"/>
            <w:noWrap/>
            <w:vAlign w:val="center"/>
          </w:tcPr>
          <w:p w14:paraId="1A7A7E18">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6100</w:t>
            </w:r>
          </w:p>
        </w:tc>
      </w:tr>
      <w:tr w14:paraId="3A50F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02151B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2025-12</w:t>
            </w:r>
          </w:p>
        </w:tc>
        <w:tc>
          <w:tcPr>
            <w:tcW w:w="2362" w:type="dxa"/>
            <w:tcBorders>
              <w:top w:val="nil"/>
              <w:left w:val="nil"/>
              <w:bottom w:val="nil"/>
              <w:right w:val="nil"/>
            </w:tcBorders>
            <w:shd w:val="clear" w:color="auto" w:fill="auto"/>
            <w:noWrap/>
            <w:vAlign w:val="center"/>
          </w:tcPr>
          <w:p w14:paraId="459580E4">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3300</w:t>
            </w:r>
          </w:p>
        </w:tc>
        <w:tc>
          <w:tcPr>
            <w:tcW w:w="2719" w:type="dxa"/>
            <w:tcBorders>
              <w:top w:val="nil"/>
              <w:left w:val="nil"/>
              <w:bottom w:val="nil"/>
              <w:right w:val="nil"/>
            </w:tcBorders>
            <w:shd w:val="clear" w:color="auto" w:fill="auto"/>
            <w:noWrap/>
            <w:vAlign w:val="center"/>
          </w:tcPr>
          <w:p w14:paraId="1B3B99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1500</w:t>
            </w:r>
          </w:p>
        </w:tc>
        <w:tc>
          <w:tcPr>
            <w:tcW w:w="2719" w:type="dxa"/>
            <w:tcBorders>
              <w:top w:val="nil"/>
              <w:left w:val="nil"/>
              <w:bottom w:val="nil"/>
              <w:right w:val="nil"/>
            </w:tcBorders>
            <w:shd w:val="clear" w:color="auto" w:fill="auto"/>
            <w:noWrap/>
            <w:vAlign w:val="center"/>
          </w:tcPr>
          <w:p w14:paraId="757D24D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5100</w:t>
            </w:r>
          </w:p>
        </w:tc>
      </w:tr>
      <w:tr w14:paraId="44B26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7289224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2026-01</w:t>
            </w:r>
          </w:p>
        </w:tc>
        <w:tc>
          <w:tcPr>
            <w:tcW w:w="2362" w:type="dxa"/>
            <w:tcBorders>
              <w:top w:val="nil"/>
              <w:left w:val="nil"/>
              <w:bottom w:val="nil"/>
              <w:right w:val="nil"/>
            </w:tcBorders>
            <w:shd w:val="clear" w:color="auto" w:fill="auto"/>
            <w:noWrap/>
            <w:vAlign w:val="center"/>
          </w:tcPr>
          <w:p w14:paraId="3EE03E4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12200</w:t>
            </w:r>
          </w:p>
        </w:tc>
        <w:tc>
          <w:tcPr>
            <w:tcW w:w="2719" w:type="dxa"/>
            <w:tcBorders>
              <w:top w:val="nil"/>
              <w:left w:val="nil"/>
              <w:bottom w:val="nil"/>
              <w:right w:val="nil"/>
            </w:tcBorders>
            <w:shd w:val="clear" w:color="auto" w:fill="auto"/>
            <w:noWrap/>
            <w:vAlign w:val="center"/>
          </w:tcPr>
          <w:p w14:paraId="286531E1">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9600</w:t>
            </w:r>
          </w:p>
        </w:tc>
        <w:tc>
          <w:tcPr>
            <w:tcW w:w="2719" w:type="dxa"/>
            <w:tcBorders>
              <w:top w:val="nil"/>
              <w:left w:val="nil"/>
              <w:bottom w:val="nil"/>
              <w:right w:val="nil"/>
            </w:tcBorders>
            <w:shd w:val="clear" w:color="auto" w:fill="auto"/>
            <w:noWrap/>
            <w:vAlign w:val="center"/>
          </w:tcPr>
          <w:p w14:paraId="1941CDB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14800</w:t>
            </w:r>
          </w:p>
        </w:tc>
      </w:tr>
      <w:tr w14:paraId="27ED5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10945AB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2026-02</w:t>
            </w:r>
          </w:p>
        </w:tc>
        <w:tc>
          <w:tcPr>
            <w:tcW w:w="2362" w:type="dxa"/>
            <w:tcBorders>
              <w:top w:val="nil"/>
              <w:left w:val="nil"/>
              <w:bottom w:val="nil"/>
              <w:right w:val="nil"/>
            </w:tcBorders>
            <w:shd w:val="clear" w:color="auto" w:fill="auto"/>
            <w:noWrap/>
            <w:vAlign w:val="center"/>
          </w:tcPr>
          <w:p w14:paraId="579056BF">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5200</w:t>
            </w:r>
          </w:p>
        </w:tc>
        <w:tc>
          <w:tcPr>
            <w:tcW w:w="2719" w:type="dxa"/>
            <w:tcBorders>
              <w:top w:val="nil"/>
              <w:left w:val="nil"/>
              <w:bottom w:val="nil"/>
              <w:right w:val="nil"/>
            </w:tcBorders>
            <w:shd w:val="clear" w:color="auto" w:fill="auto"/>
            <w:noWrap/>
            <w:vAlign w:val="center"/>
          </w:tcPr>
          <w:p w14:paraId="19F4D2B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3200</w:t>
            </w:r>
          </w:p>
        </w:tc>
        <w:tc>
          <w:tcPr>
            <w:tcW w:w="2719" w:type="dxa"/>
            <w:tcBorders>
              <w:top w:val="nil"/>
              <w:left w:val="nil"/>
              <w:bottom w:val="nil"/>
              <w:right w:val="nil"/>
            </w:tcBorders>
            <w:shd w:val="clear" w:color="auto" w:fill="auto"/>
            <w:noWrap/>
            <w:vAlign w:val="center"/>
          </w:tcPr>
          <w:p w14:paraId="1BBC2865">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7200</w:t>
            </w:r>
          </w:p>
        </w:tc>
      </w:tr>
      <w:tr w14:paraId="4B5BB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2946A1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2026-03</w:t>
            </w:r>
          </w:p>
        </w:tc>
        <w:tc>
          <w:tcPr>
            <w:tcW w:w="2362" w:type="dxa"/>
            <w:tcBorders>
              <w:top w:val="nil"/>
              <w:left w:val="nil"/>
              <w:bottom w:val="nil"/>
              <w:right w:val="nil"/>
            </w:tcBorders>
            <w:shd w:val="clear" w:color="auto" w:fill="auto"/>
            <w:noWrap/>
            <w:vAlign w:val="center"/>
          </w:tcPr>
          <w:p w14:paraId="35B435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6300</w:t>
            </w:r>
          </w:p>
        </w:tc>
        <w:tc>
          <w:tcPr>
            <w:tcW w:w="2719" w:type="dxa"/>
            <w:tcBorders>
              <w:top w:val="nil"/>
              <w:left w:val="nil"/>
              <w:bottom w:val="nil"/>
              <w:right w:val="nil"/>
            </w:tcBorders>
            <w:shd w:val="clear" w:color="auto" w:fill="auto"/>
            <w:noWrap/>
            <w:vAlign w:val="center"/>
          </w:tcPr>
          <w:p w14:paraId="6F2F3C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330242F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8500</w:t>
            </w:r>
          </w:p>
        </w:tc>
      </w:tr>
      <w:tr w14:paraId="1B7C9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nil"/>
              <w:right w:val="nil"/>
            </w:tcBorders>
            <w:shd w:val="clear" w:color="auto" w:fill="auto"/>
            <w:noWrap/>
            <w:vAlign w:val="center"/>
          </w:tcPr>
          <w:p w14:paraId="7DC0FE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2026-04</w:t>
            </w:r>
          </w:p>
        </w:tc>
        <w:tc>
          <w:tcPr>
            <w:tcW w:w="2362" w:type="dxa"/>
            <w:tcBorders>
              <w:top w:val="nil"/>
              <w:left w:val="nil"/>
              <w:bottom w:val="nil"/>
              <w:right w:val="nil"/>
            </w:tcBorders>
            <w:shd w:val="clear" w:color="auto" w:fill="auto"/>
            <w:noWrap/>
            <w:vAlign w:val="center"/>
          </w:tcPr>
          <w:p w14:paraId="6209782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nil"/>
              <w:right w:val="nil"/>
            </w:tcBorders>
            <w:shd w:val="clear" w:color="auto" w:fill="auto"/>
            <w:noWrap/>
            <w:vAlign w:val="center"/>
          </w:tcPr>
          <w:p w14:paraId="7EA4826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5500</w:t>
            </w:r>
          </w:p>
        </w:tc>
        <w:tc>
          <w:tcPr>
            <w:tcW w:w="2719" w:type="dxa"/>
            <w:tcBorders>
              <w:top w:val="nil"/>
              <w:left w:val="nil"/>
              <w:bottom w:val="nil"/>
              <w:right w:val="nil"/>
            </w:tcBorders>
            <w:shd w:val="clear" w:color="auto" w:fill="auto"/>
            <w:noWrap/>
            <w:vAlign w:val="center"/>
          </w:tcPr>
          <w:p w14:paraId="01E567A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10100</w:t>
            </w:r>
          </w:p>
        </w:tc>
      </w:tr>
      <w:tr w14:paraId="40B13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894" w:type="dxa"/>
            <w:tcBorders>
              <w:top w:val="nil"/>
              <w:left w:val="nil"/>
              <w:bottom w:val="single" w:color="auto" w:sz="4" w:space="0"/>
              <w:right w:val="nil"/>
            </w:tcBorders>
            <w:shd w:val="clear" w:color="auto" w:fill="auto"/>
            <w:noWrap/>
            <w:vAlign w:val="center"/>
          </w:tcPr>
          <w:p w14:paraId="047FB46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2026-05</w:t>
            </w:r>
          </w:p>
        </w:tc>
        <w:tc>
          <w:tcPr>
            <w:tcW w:w="2362" w:type="dxa"/>
            <w:tcBorders>
              <w:top w:val="nil"/>
              <w:left w:val="nil"/>
              <w:bottom w:val="single" w:color="auto" w:sz="4" w:space="0"/>
              <w:right w:val="nil"/>
            </w:tcBorders>
            <w:shd w:val="clear" w:color="auto" w:fill="auto"/>
            <w:noWrap/>
            <w:vAlign w:val="center"/>
          </w:tcPr>
          <w:p w14:paraId="67914F5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single" w:color="auto" w:sz="4" w:space="0"/>
              <w:right w:val="nil"/>
            </w:tcBorders>
            <w:shd w:val="clear" w:color="auto" w:fill="auto"/>
            <w:noWrap/>
            <w:vAlign w:val="center"/>
          </w:tcPr>
          <w:p w14:paraId="4E02F92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5400</w:t>
            </w:r>
          </w:p>
        </w:tc>
        <w:tc>
          <w:tcPr>
            <w:tcW w:w="2719" w:type="dxa"/>
            <w:tcBorders>
              <w:top w:val="nil"/>
              <w:left w:val="nil"/>
              <w:bottom w:val="single" w:color="auto" w:sz="4" w:space="0"/>
              <w:right w:val="nil"/>
            </w:tcBorders>
            <w:shd w:val="clear" w:color="auto" w:fill="auto"/>
            <w:noWrap/>
            <w:vAlign w:val="center"/>
          </w:tcPr>
          <w:p w14:paraId="6EDDAD3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10200</w:t>
            </w:r>
          </w:p>
        </w:tc>
      </w:tr>
    </w:tbl>
    <w:p w14:paraId="296E8226">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5.3  问题三模型的建立与求解</w:t>
      </w:r>
    </w:p>
    <w:p w14:paraId="66BF5C49">
      <w:pPr>
        <w:bidi w:val="0"/>
        <w:rPr>
          <w:rFonts w:hint="eastAsia" w:ascii="黑体" w:hAnsi="黑体" w:eastAsia="黑体" w:cs="黑体"/>
          <w:b w:val="0"/>
          <w:bCs w:val="0"/>
          <w:sz w:val="24"/>
          <w:szCs w:val="24"/>
          <w:lang w:val="en-US" w:eastAsia="zh-CN"/>
        </w:rPr>
      </w:pPr>
    </w:p>
    <w:p w14:paraId="3DA6640F">
      <w:pPr>
        <w:bidi w:val="0"/>
        <w:rPr>
          <w:rFonts w:hint="default" w:ascii="黑体" w:hAnsi="黑体" w:eastAsia="黑体" w:cs="黑体"/>
          <w:sz w:val="24"/>
          <w:szCs w:val="24"/>
          <w:lang w:val="en-US" w:eastAsia="zh-CN"/>
        </w:rPr>
      </w:pPr>
      <w:r>
        <mc:AlternateContent>
          <mc:Choice Requires="wps">
            <w:drawing>
              <wp:anchor distT="0" distB="0" distL="114300" distR="114300" simplePos="0" relativeHeight="25166848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0" name="椭圆 2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848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sdKo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Sx0qg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支持度</w:t>
      </w:r>
    </w:p>
    <w:p w14:paraId="7CB824FE">
      <w:pPr>
        <w:bidi w:val="0"/>
        <w:ind w:firstLine="480" w:firstLineChars="200"/>
        <w:rPr>
          <w:rFonts w:hint="eastAsia" w:ascii="黑体" w:hAnsi="黑体" w:eastAsia="黑体" w:cs="黑体"/>
          <w:sz w:val="24"/>
          <w:szCs w:val="24"/>
          <w:lang w:val="en-US" w:eastAsia="zh-CN"/>
        </w:rPr>
      </w:pPr>
      <w:r>
        <w:rPr>
          <w:rFonts w:hint="eastAsia" w:ascii="黑体" w:hAnsi="黑体" w:eastAsia="黑体" w:cs="黑体"/>
          <w:b w:val="0"/>
          <w:bCs w:val="0"/>
          <w:sz w:val="24"/>
          <w:szCs w:val="24"/>
          <w:lang w:val="en-US" w:eastAsia="zh-CN"/>
        </w:rPr>
        <w:t>支持度代表</w:t>
      </w:r>
      <w:r>
        <w:rPr>
          <w:rFonts w:hint="eastAsia" w:ascii="黑体" w:hAnsi="黑体" w:eastAsia="黑体" w:cs="黑体"/>
          <w:sz w:val="24"/>
          <w:szCs w:val="24"/>
        </w:rPr>
        <w:t>项集（商品组合）在所有交易中出现的频率</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求解公式为：</w:t>
      </w:r>
    </w:p>
    <w:p w14:paraId="615B191F">
      <w:pPr>
        <w:bidi w:val="0"/>
        <w:rPr>
          <w:rFonts w:hint="eastAsia" w:ascii="黑体" w:hAnsi="黑体" w:eastAsia="黑体" w:cs="黑体"/>
          <w:sz w:val="24"/>
          <w:szCs w:val="24"/>
          <w:lang w:val="en-US" w:eastAsia="zh-CN"/>
        </w:rPr>
      </w:pPr>
    </w:p>
    <w:p w14:paraId="561BF6F2">
      <w:pPr>
        <w:numPr>
          <w:ilvl w:val="0"/>
          <w:numId w:val="0"/>
        </w:numPr>
        <w:bidi w:val="0"/>
        <w:ind w:firstLine="2800" w:firstLineChars="1000"/>
        <w:rPr>
          <w:rFonts w:hint="default" w:hAnsi="Cambria Math" w:eastAsia="Courier New"/>
          <w:i w:val="0"/>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Support</m:t>
              </m:r>
              <m:r>
                <m:rPr/>
                <w:rPr>
                  <w:rFonts w:hint="default" w:ascii="Cambria Math" w:hAnsi="Cambria Math" w:eastAsia="Courier New"/>
                  <w:sz w:val="28"/>
                  <w:szCs w:val="28"/>
                </w:rPr>
                <m:t>(A)=</m:t>
              </m:r>
              <m:f>
                <m:fPr>
                  <m:ctrlPr>
                    <w:rPr>
                      <w:rFonts w:hint="default" w:ascii="Cambria Math" w:hAnsi="Cambria Math" w:eastAsia="Courier New"/>
                      <w:i/>
                      <w:sz w:val="28"/>
                      <w:szCs w:val="28"/>
                    </w:rPr>
                  </m:ctrlPr>
                </m:fPr>
                <m:num>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ctrlPr>
                    <w:rPr>
                      <w:rFonts w:ascii="Cambria Math" w:hAnsi="Cambria Math" w:eastAsia="Courier New"/>
                      <w:sz w:val="28"/>
                      <w:szCs w:val="28"/>
                    </w:rPr>
                  </m:ctrlPr>
                </m:num>
                <m:den>
                  <m:r>
                    <m:rPr>
                      <m:sty m:val="p"/>
                    </m:rPr>
                    <w:rPr>
                      <w:rFonts w:hint="default" w:ascii="Cambria Math" w:hAnsi="Cambria Math" w:eastAsia="Courier New"/>
                      <w:sz w:val="28"/>
                      <w:szCs w:val="28"/>
                    </w:rPr>
                    <m:t>Bills</m:t>
                  </m:r>
                  <m:ctrlPr>
                    <w:rPr>
                      <w:rFonts w:ascii="Cambria Math" w:hAnsi="Cambria Math" w:eastAsia="Courier New"/>
                      <w:sz w:val="28"/>
                      <w:szCs w:val="28"/>
                    </w:rPr>
                  </m:ctrlPr>
                </m:den>
              </m:f>
              <m:ctrlPr>
                <w:rPr>
                  <w:rFonts w:hint="default" w:ascii="Cambria Math" w:hAnsi="Cambria Math" w:eastAsia="Courier New"/>
                  <w:i/>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14</m:t>
        </m:r>
        <m:r>
          <m:rPr/>
          <w:rPr>
            <w:rFonts w:hint="default" w:ascii="Cambria Math" w:hAnsi="Cambria Math"/>
            <w:sz w:val="28"/>
          </w:rPr>
          <m:t>)</m:t>
        </m:r>
      </m:oMath>
    </w:p>
    <w:p w14:paraId="38FE489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Ansi="Cambria Math" w:eastAsia="Courier New"/>
          <w:i w:val="0"/>
          <w:sz w:val="28"/>
          <w:szCs w:val="28"/>
        </w:rPr>
      </w:pPr>
    </w:p>
    <w:p w14:paraId="699091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iCs w:val="0"/>
          <w:color w:val="000000"/>
          <w:kern w:val="0"/>
          <w:sz w:val="24"/>
          <w:szCs w:val="24"/>
          <w:u w:val="none"/>
          <w:lang w:val="en-US" w:eastAsia="zh-CN" w:bidi="ar"/>
        </w:rPr>
      </w:pPr>
      <m:oMath>
        <m:r>
          <m:rPr>
            <m:sty m:val="p"/>
          </m:rPr>
          <w:rPr>
            <w:rFonts w:hint="default" w:ascii="Cambria Math" w:hAnsi="Cambria Math" w:eastAsia="Courier New"/>
            <w:sz w:val="24"/>
            <w:szCs w:val="24"/>
          </w:rPr>
          <m:t>Support</m:t>
        </m:r>
        <m:r>
          <m:rPr/>
          <w:rPr>
            <w:rFonts w:hint="default" w:ascii="Cambria Math" w:hAnsi="Cambria Math" w:eastAsia="Courier New"/>
            <w:sz w:val="24"/>
            <w:szCs w:val="24"/>
          </w:rPr>
          <m:t>(A)</m:t>
        </m:r>
      </m:oMath>
      <w:r>
        <w:rPr>
          <w:rFonts w:hint="eastAsia" w:hAnsi="Cambria Math"/>
          <w:i w:val="0"/>
          <w:sz w:val="24"/>
          <w:szCs w:val="24"/>
          <w:lang w:eastAsia="zh-CN"/>
        </w:rPr>
        <w:t>：</w:t>
      </w:r>
      <w:r>
        <w:rPr>
          <w:rFonts w:hint="eastAsia" w:ascii="黑体" w:hAnsi="黑体" w:eastAsia="黑体" w:cs="黑体"/>
          <w:i w:val="0"/>
          <w:iCs w:val="0"/>
          <w:color w:val="000000"/>
          <w:kern w:val="0"/>
          <w:sz w:val="24"/>
          <w:szCs w:val="24"/>
          <w:u w:val="none"/>
          <w:lang w:val="en-US" w:eastAsia="zh-CN" w:bidi="ar"/>
        </w:rPr>
        <w:t>项集A的支持度</w:t>
      </w:r>
    </w:p>
    <w:p w14:paraId="52FEC1A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eastAsia="zh-CN"/>
        </w:rPr>
      </w:pPr>
      <m:oMath>
        <m:r>
          <m:rPr>
            <m:sty m:val="p"/>
          </m:rPr>
          <w:rPr>
            <w:rFonts w:hint="eastAsia" w:ascii="Cambria Math" w:hAnsi="Cambria Math" w:eastAsia="黑体" w:cs="黑体"/>
            <w:sz w:val="24"/>
            <w:szCs w:val="24"/>
          </w:rPr>
          <m:t>Bills</m:t>
        </m:r>
        <m:r>
          <m:rPr/>
          <w:rPr>
            <w:rFonts w:hint="eastAsia" w:ascii="Cambria Math" w:hAnsi="Cambria Math" w:eastAsia="黑体" w:cs="黑体"/>
            <w:sz w:val="24"/>
            <w:szCs w:val="24"/>
          </w:rPr>
          <m:t>(A)</m:t>
        </m:r>
      </m:oMath>
      <w:r>
        <w:rPr>
          <w:rFonts w:hint="eastAsia" w:ascii="黑体" w:hAnsi="黑体" w:eastAsia="黑体" w:cs="黑体"/>
          <w:i w:val="0"/>
          <w:sz w:val="24"/>
          <w:szCs w:val="24"/>
          <w:lang w:eastAsia="zh-CN"/>
        </w:rPr>
        <w:t>：包含项集A的交易数</w:t>
      </w:r>
    </w:p>
    <w:p w14:paraId="5792527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eastAsia="zh-CN"/>
        </w:rPr>
      </w:pPr>
      <m:oMath>
        <m:r>
          <m:rPr>
            <m:sty m:val="p"/>
          </m:rPr>
          <w:rPr>
            <w:rFonts w:hint="default" w:ascii="Cambria Math" w:hAnsi="Cambria Math" w:eastAsia="Courier New"/>
            <w:sz w:val="24"/>
            <w:szCs w:val="24"/>
          </w:rPr>
          <m:t>Bills</m:t>
        </m:r>
      </m:oMath>
      <w:r>
        <w:rPr>
          <w:rFonts w:hint="eastAsia" w:hAnsi="Cambria Math"/>
          <w:b w:val="0"/>
          <w:i w:val="0"/>
          <w:sz w:val="24"/>
          <w:szCs w:val="24"/>
          <w:lang w:eastAsia="zh-CN"/>
        </w:rPr>
        <w:t>：</w:t>
      </w:r>
      <w:r>
        <w:rPr>
          <w:rFonts w:hint="eastAsia" w:ascii="黑体" w:hAnsi="黑体" w:eastAsia="黑体" w:cs="黑体"/>
          <w:b w:val="0"/>
          <w:i w:val="0"/>
          <w:sz w:val="24"/>
          <w:szCs w:val="24"/>
          <w:lang w:eastAsia="zh-CN"/>
        </w:rPr>
        <w:t>交易总数</w:t>
      </w:r>
    </w:p>
    <w:p w14:paraId="7B4E0C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我们设置支持度阈值为0.3，可以得到各个品类的支持度：</w:t>
      </w:r>
    </w:p>
    <w:p w14:paraId="5FB0531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val="en-US" w:eastAsia="zh-CN"/>
        </w:rPr>
      </w:pPr>
    </w:p>
    <w:p w14:paraId="574CAC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319" w:firstLineChars="1100"/>
        <w:textAlignment w:val="auto"/>
        <w:rPr>
          <w:rFonts w:hint="eastAsia" w:ascii="黑体" w:hAnsi="黑体" w:eastAsia="黑体" w:cs="黑体"/>
          <w:i w:val="0"/>
          <w:sz w:val="24"/>
          <w:szCs w:val="24"/>
          <w:lang w:val="en-US" w:eastAsia="zh-CN"/>
        </w:rPr>
      </w:pPr>
      <w:r>
        <w:rPr>
          <w:rFonts w:hint="eastAsia" w:ascii="黑体" w:hAnsi="黑体" w:eastAsia="黑体" w:cs="黑体"/>
          <w:b/>
          <w:bCs/>
          <w:color w:val="auto"/>
          <w:kern w:val="2"/>
          <w:sz w:val="21"/>
          <w:szCs w:val="21"/>
          <w:lang w:val="en-US" w:eastAsia="zh-CN" w:bidi="ar-SA"/>
        </w:rPr>
        <w:t xml:space="preserve">表5.13  单品类支持度（大于0.3部分）  </w:t>
      </w:r>
    </w:p>
    <w:tbl>
      <w:tblPr>
        <w:tblStyle w:val="9"/>
        <w:tblW w:w="83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51"/>
        <w:gridCol w:w="2719"/>
        <w:gridCol w:w="2850"/>
      </w:tblGrid>
      <w:tr w14:paraId="015644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1" w:hRule="atLeast"/>
          <w:jc w:val="center"/>
        </w:trPr>
        <w:tc>
          <w:tcPr>
            <w:tcW w:w="2751" w:type="dxa"/>
            <w:tcBorders>
              <w:top w:val="single" w:color="auto" w:sz="4" w:space="0"/>
              <w:left w:val="nil"/>
              <w:bottom w:val="single" w:color="auto" w:sz="4" w:space="0"/>
              <w:right w:val="nil"/>
            </w:tcBorders>
            <w:shd w:val="clear" w:color="auto" w:fill="auto"/>
            <w:noWrap/>
            <w:vAlign w:val="center"/>
          </w:tcPr>
          <w:p w14:paraId="38514E07">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商品品类</w:t>
            </w:r>
          </w:p>
        </w:tc>
        <w:tc>
          <w:tcPr>
            <w:tcW w:w="2719" w:type="dxa"/>
            <w:tcBorders>
              <w:top w:val="single" w:color="auto" w:sz="4" w:space="0"/>
              <w:left w:val="nil"/>
              <w:bottom w:val="single" w:color="auto" w:sz="4" w:space="0"/>
              <w:right w:val="nil"/>
            </w:tcBorders>
            <w:shd w:val="clear" w:color="auto" w:fill="auto"/>
            <w:noWrap/>
            <w:vAlign w:val="center"/>
          </w:tcPr>
          <w:p w14:paraId="4C61F1E5">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出现频次</w:t>
            </w:r>
          </w:p>
        </w:tc>
        <w:tc>
          <w:tcPr>
            <w:tcW w:w="2850" w:type="dxa"/>
            <w:tcBorders>
              <w:top w:val="single" w:color="auto" w:sz="4" w:space="0"/>
              <w:left w:val="nil"/>
              <w:bottom w:val="single" w:color="auto" w:sz="4" w:space="0"/>
              <w:right w:val="nil"/>
            </w:tcBorders>
            <w:shd w:val="clear" w:color="auto" w:fill="auto"/>
            <w:noWrap/>
            <w:vAlign w:val="center"/>
          </w:tcPr>
          <w:p w14:paraId="3D49018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5CB0F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single" w:color="auto" w:sz="4" w:space="0"/>
              <w:left w:val="nil"/>
              <w:bottom w:val="nil"/>
              <w:right w:val="nil"/>
            </w:tcBorders>
            <w:shd w:val="clear" w:color="auto" w:fill="auto"/>
            <w:noWrap/>
            <w:vAlign w:val="center"/>
          </w:tcPr>
          <w:p w14:paraId="6AFE55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719" w:type="dxa"/>
            <w:tcBorders>
              <w:top w:val="single" w:color="auto" w:sz="4" w:space="0"/>
              <w:left w:val="nil"/>
              <w:bottom w:val="nil"/>
              <w:right w:val="nil"/>
            </w:tcBorders>
            <w:shd w:val="clear" w:color="auto" w:fill="auto"/>
            <w:noWrap/>
            <w:vAlign w:val="center"/>
          </w:tcPr>
          <w:p w14:paraId="67238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109351</w:t>
            </w:r>
          </w:p>
        </w:tc>
        <w:tc>
          <w:tcPr>
            <w:tcW w:w="2850" w:type="dxa"/>
            <w:tcBorders>
              <w:top w:val="single" w:color="auto" w:sz="4" w:space="0"/>
              <w:left w:val="nil"/>
              <w:bottom w:val="nil"/>
              <w:right w:val="nil"/>
            </w:tcBorders>
            <w:shd w:val="clear" w:color="auto" w:fill="auto"/>
            <w:noWrap/>
            <w:vAlign w:val="center"/>
          </w:tcPr>
          <w:p w14:paraId="589244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0.5278</w:t>
            </w:r>
          </w:p>
        </w:tc>
      </w:tr>
      <w:tr w14:paraId="0432F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5957D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719" w:type="dxa"/>
            <w:tcBorders>
              <w:top w:val="nil"/>
              <w:left w:val="nil"/>
              <w:bottom w:val="nil"/>
              <w:right w:val="nil"/>
            </w:tcBorders>
            <w:shd w:val="clear" w:color="auto" w:fill="auto"/>
            <w:noWrap/>
            <w:vAlign w:val="center"/>
          </w:tcPr>
          <w:p w14:paraId="12C126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74457</w:t>
            </w:r>
          </w:p>
        </w:tc>
        <w:tc>
          <w:tcPr>
            <w:tcW w:w="2850" w:type="dxa"/>
            <w:tcBorders>
              <w:top w:val="nil"/>
              <w:left w:val="nil"/>
              <w:bottom w:val="nil"/>
              <w:right w:val="nil"/>
            </w:tcBorders>
            <w:shd w:val="clear" w:color="auto" w:fill="auto"/>
            <w:noWrap/>
            <w:vAlign w:val="center"/>
          </w:tcPr>
          <w:p w14:paraId="6181C6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0.3594</w:t>
            </w:r>
          </w:p>
        </w:tc>
      </w:tr>
      <w:tr w14:paraId="69782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B6B6CE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719" w:type="dxa"/>
            <w:tcBorders>
              <w:top w:val="nil"/>
              <w:left w:val="nil"/>
              <w:bottom w:val="nil"/>
              <w:right w:val="nil"/>
            </w:tcBorders>
            <w:shd w:val="clear" w:color="auto" w:fill="auto"/>
            <w:noWrap/>
            <w:vAlign w:val="center"/>
          </w:tcPr>
          <w:p w14:paraId="0477D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72452</w:t>
            </w:r>
          </w:p>
        </w:tc>
        <w:tc>
          <w:tcPr>
            <w:tcW w:w="2850" w:type="dxa"/>
            <w:tcBorders>
              <w:top w:val="nil"/>
              <w:left w:val="nil"/>
              <w:bottom w:val="nil"/>
              <w:right w:val="nil"/>
            </w:tcBorders>
            <w:shd w:val="clear" w:color="auto" w:fill="auto"/>
            <w:noWrap/>
            <w:vAlign w:val="center"/>
          </w:tcPr>
          <w:p w14:paraId="529F77F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0.3497</w:t>
            </w:r>
          </w:p>
        </w:tc>
      </w:tr>
      <w:tr w14:paraId="6981D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766F95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719" w:type="dxa"/>
            <w:tcBorders>
              <w:top w:val="nil"/>
              <w:left w:val="nil"/>
              <w:bottom w:val="nil"/>
              <w:right w:val="nil"/>
            </w:tcBorders>
            <w:shd w:val="clear" w:color="auto" w:fill="auto"/>
            <w:noWrap/>
            <w:vAlign w:val="center"/>
          </w:tcPr>
          <w:p w14:paraId="1ECC1F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66834</w:t>
            </w:r>
          </w:p>
        </w:tc>
        <w:tc>
          <w:tcPr>
            <w:tcW w:w="2850" w:type="dxa"/>
            <w:tcBorders>
              <w:top w:val="nil"/>
              <w:left w:val="nil"/>
              <w:bottom w:val="nil"/>
              <w:right w:val="nil"/>
            </w:tcBorders>
            <w:shd w:val="clear" w:color="auto" w:fill="auto"/>
            <w:noWrap/>
            <w:vAlign w:val="center"/>
          </w:tcPr>
          <w:p w14:paraId="52BC6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0.3226</w:t>
            </w:r>
          </w:p>
        </w:tc>
      </w:tr>
      <w:tr w14:paraId="29D2A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8DA0E9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719" w:type="dxa"/>
            <w:tcBorders>
              <w:top w:val="nil"/>
              <w:left w:val="nil"/>
              <w:bottom w:val="nil"/>
              <w:right w:val="nil"/>
            </w:tcBorders>
            <w:shd w:val="clear" w:color="auto" w:fill="auto"/>
            <w:noWrap/>
            <w:vAlign w:val="center"/>
          </w:tcPr>
          <w:p w14:paraId="57BF9EF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29432</w:t>
            </w:r>
          </w:p>
        </w:tc>
        <w:tc>
          <w:tcPr>
            <w:tcW w:w="2850" w:type="dxa"/>
            <w:tcBorders>
              <w:top w:val="nil"/>
              <w:left w:val="nil"/>
              <w:bottom w:val="nil"/>
              <w:right w:val="nil"/>
            </w:tcBorders>
            <w:shd w:val="clear" w:color="auto" w:fill="auto"/>
            <w:noWrap/>
            <w:vAlign w:val="center"/>
          </w:tcPr>
          <w:p w14:paraId="17EE2C2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0.1421</w:t>
            </w:r>
          </w:p>
        </w:tc>
      </w:tr>
      <w:tr w14:paraId="77FD5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9243C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719" w:type="dxa"/>
            <w:tcBorders>
              <w:top w:val="nil"/>
              <w:left w:val="nil"/>
              <w:bottom w:val="nil"/>
              <w:right w:val="nil"/>
            </w:tcBorders>
            <w:shd w:val="clear" w:color="auto" w:fill="auto"/>
            <w:noWrap/>
            <w:vAlign w:val="center"/>
          </w:tcPr>
          <w:p w14:paraId="2B7E68A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19768</w:t>
            </w:r>
          </w:p>
        </w:tc>
        <w:tc>
          <w:tcPr>
            <w:tcW w:w="2850" w:type="dxa"/>
            <w:tcBorders>
              <w:top w:val="nil"/>
              <w:left w:val="nil"/>
              <w:bottom w:val="nil"/>
              <w:right w:val="nil"/>
            </w:tcBorders>
            <w:shd w:val="clear" w:color="auto" w:fill="auto"/>
            <w:noWrap/>
            <w:vAlign w:val="center"/>
          </w:tcPr>
          <w:p w14:paraId="1F5CAC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0.0954</w:t>
            </w:r>
          </w:p>
        </w:tc>
      </w:tr>
      <w:tr w14:paraId="5AD0EF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1C9F7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719" w:type="dxa"/>
            <w:tcBorders>
              <w:top w:val="nil"/>
              <w:left w:val="nil"/>
              <w:bottom w:val="nil"/>
              <w:right w:val="nil"/>
            </w:tcBorders>
            <w:shd w:val="clear" w:color="auto" w:fill="auto"/>
            <w:noWrap/>
            <w:vAlign w:val="center"/>
          </w:tcPr>
          <w:p w14:paraId="7CB435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17223</w:t>
            </w:r>
          </w:p>
        </w:tc>
        <w:tc>
          <w:tcPr>
            <w:tcW w:w="2850" w:type="dxa"/>
            <w:tcBorders>
              <w:top w:val="nil"/>
              <w:left w:val="nil"/>
              <w:bottom w:val="nil"/>
              <w:right w:val="nil"/>
            </w:tcBorders>
            <w:shd w:val="clear" w:color="auto" w:fill="auto"/>
            <w:noWrap/>
            <w:vAlign w:val="center"/>
          </w:tcPr>
          <w:p w14:paraId="7E5C67F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0.0831</w:t>
            </w:r>
          </w:p>
        </w:tc>
      </w:tr>
      <w:tr w14:paraId="001FE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4BE53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719" w:type="dxa"/>
            <w:tcBorders>
              <w:top w:val="nil"/>
              <w:left w:val="nil"/>
              <w:bottom w:val="nil"/>
              <w:right w:val="nil"/>
            </w:tcBorders>
            <w:shd w:val="clear" w:color="auto" w:fill="auto"/>
            <w:noWrap/>
            <w:vAlign w:val="center"/>
          </w:tcPr>
          <w:p w14:paraId="68A01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16195</w:t>
            </w:r>
          </w:p>
        </w:tc>
        <w:tc>
          <w:tcPr>
            <w:tcW w:w="2850" w:type="dxa"/>
            <w:tcBorders>
              <w:top w:val="nil"/>
              <w:left w:val="nil"/>
              <w:bottom w:val="nil"/>
              <w:right w:val="nil"/>
            </w:tcBorders>
            <w:shd w:val="clear" w:color="auto" w:fill="auto"/>
            <w:noWrap/>
            <w:vAlign w:val="center"/>
          </w:tcPr>
          <w:p w14:paraId="30F9D8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18F6B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022C2A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719" w:type="dxa"/>
            <w:tcBorders>
              <w:top w:val="nil"/>
              <w:left w:val="nil"/>
              <w:bottom w:val="nil"/>
              <w:right w:val="nil"/>
            </w:tcBorders>
            <w:shd w:val="clear" w:color="auto" w:fill="auto"/>
            <w:noWrap/>
            <w:vAlign w:val="center"/>
          </w:tcPr>
          <w:p w14:paraId="542912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16194</w:t>
            </w:r>
          </w:p>
        </w:tc>
        <w:tc>
          <w:tcPr>
            <w:tcW w:w="2850" w:type="dxa"/>
            <w:tcBorders>
              <w:top w:val="nil"/>
              <w:left w:val="nil"/>
              <w:bottom w:val="nil"/>
              <w:right w:val="nil"/>
            </w:tcBorders>
            <w:shd w:val="clear" w:color="auto" w:fill="auto"/>
            <w:noWrap/>
            <w:vAlign w:val="center"/>
          </w:tcPr>
          <w:p w14:paraId="508FB2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60638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4A1072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719" w:type="dxa"/>
            <w:tcBorders>
              <w:top w:val="nil"/>
              <w:left w:val="nil"/>
              <w:bottom w:val="nil"/>
              <w:right w:val="nil"/>
            </w:tcBorders>
            <w:shd w:val="clear" w:color="auto" w:fill="auto"/>
            <w:noWrap/>
            <w:vAlign w:val="center"/>
          </w:tcPr>
          <w:p w14:paraId="06919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13962</w:t>
            </w:r>
          </w:p>
        </w:tc>
        <w:tc>
          <w:tcPr>
            <w:tcW w:w="2850" w:type="dxa"/>
            <w:tcBorders>
              <w:top w:val="nil"/>
              <w:left w:val="nil"/>
              <w:bottom w:val="nil"/>
              <w:right w:val="nil"/>
            </w:tcBorders>
            <w:shd w:val="clear" w:color="auto" w:fill="auto"/>
            <w:noWrap/>
            <w:vAlign w:val="center"/>
          </w:tcPr>
          <w:p w14:paraId="0A3CA3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0.0674</w:t>
            </w:r>
          </w:p>
        </w:tc>
      </w:tr>
      <w:tr w14:paraId="72C9E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B73CA6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719" w:type="dxa"/>
            <w:tcBorders>
              <w:top w:val="nil"/>
              <w:left w:val="nil"/>
              <w:bottom w:val="nil"/>
              <w:right w:val="nil"/>
            </w:tcBorders>
            <w:shd w:val="clear" w:color="auto" w:fill="auto"/>
            <w:noWrap/>
            <w:vAlign w:val="center"/>
          </w:tcPr>
          <w:p w14:paraId="322F1C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12162</w:t>
            </w:r>
          </w:p>
        </w:tc>
        <w:tc>
          <w:tcPr>
            <w:tcW w:w="2850" w:type="dxa"/>
            <w:tcBorders>
              <w:top w:val="nil"/>
              <w:left w:val="nil"/>
              <w:bottom w:val="nil"/>
              <w:right w:val="nil"/>
            </w:tcBorders>
            <w:shd w:val="clear" w:color="auto" w:fill="auto"/>
            <w:noWrap/>
            <w:vAlign w:val="center"/>
          </w:tcPr>
          <w:p w14:paraId="4CC1EEF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0.0587</w:t>
            </w:r>
          </w:p>
        </w:tc>
      </w:tr>
      <w:tr w14:paraId="47AA6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single" w:color="auto" w:sz="4" w:space="0"/>
              <w:right w:val="nil"/>
            </w:tcBorders>
            <w:shd w:val="clear" w:color="auto" w:fill="auto"/>
            <w:noWrap/>
            <w:vAlign w:val="center"/>
          </w:tcPr>
          <w:p w14:paraId="5B4D240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719" w:type="dxa"/>
            <w:tcBorders>
              <w:top w:val="nil"/>
              <w:left w:val="nil"/>
              <w:bottom w:val="single" w:color="auto" w:sz="4" w:space="0"/>
              <w:right w:val="nil"/>
            </w:tcBorders>
            <w:shd w:val="clear" w:color="auto" w:fill="auto"/>
            <w:noWrap/>
            <w:vAlign w:val="center"/>
          </w:tcPr>
          <w:p w14:paraId="187E7D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6320</w:t>
            </w:r>
          </w:p>
        </w:tc>
        <w:tc>
          <w:tcPr>
            <w:tcW w:w="2850" w:type="dxa"/>
            <w:tcBorders>
              <w:top w:val="nil"/>
              <w:left w:val="nil"/>
              <w:bottom w:val="single" w:color="auto" w:sz="4" w:space="0"/>
              <w:right w:val="nil"/>
            </w:tcBorders>
            <w:shd w:val="clear" w:color="auto" w:fill="auto"/>
            <w:noWrap/>
            <w:vAlign w:val="center"/>
          </w:tcPr>
          <w:p w14:paraId="037FAEE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0.0305</w:t>
            </w:r>
          </w:p>
        </w:tc>
      </w:tr>
    </w:tbl>
    <w:p w14:paraId="79887E76">
      <w:pPr>
        <w:numPr>
          <w:ilvl w:val="0"/>
          <w:numId w:val="0"/>
        </w:numPr>
        <w:bidi w:val="0"/>
        <w:rPr>
          <w:rFonts w:hint="eastAsia" w:hAnsi="Cambria Math" w:eastAsia="宋体"/>
          <w:i w:val="0"/>
          <w:sz w:val="28"/>
          <w:szCs w:val="28"/>
          <w:lang w:val="en-US" w:eastAsia="zh-CN"/>
        </w:rPr>
      </w:pPr>
    </w:p>
    <w:p w14:paraId="6319FBEA">
      <w:pPr>
        <w:numPr>
          <w:ilvl w:val="0"/>
          <w:numId w:val="0"/>
        </w:numPr>
        <w:bidi w:val="0"/>
        <w:ind w:firstLine="3162" w:firstLineChars="1500"/>
        <w:rPr>
          <w:rFonts w:hint="default" w:hAnsi="Cambria Math" w:eastAsia="宋体"/>
          <w:i w:val="0"/>
          <w:sz w:val="28"/>
          <w:szCs w:val="28"/>
          <w:lang w:val="en-US" w:eastAsia="zh-CN"/>
        </w:rPr>
      </w:pPr>
      <w:r>
        <w:rPr>
          <w:rFonts w:hint="eastAsia" w:ascii="黑体" w:hAnsi="黑体" w:eastAsia="黑体" w:cs="黑体"/>
          <w:b/>
          <w:bCs/>
          <w:color w:val="auto"/>
          <w:kern w:val="2"/>
          <w:sz w:val="21"/>
          <w:szCs w:val="21"/>
          <w:lang w:val="en-US" w:eastAsia="zh-CN" w:bidi="ar-SA"/>
        </w:rPr>
        <w:t>表5.14  商品组合支持度(I)</w:t>
      </w:r>
    </w:p>
    <w:tbl>
      <w:tblPr>
        <w:tblStyle w:val="9"/>
        <w:tblW w:w="832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16"/>
        <w:gridCol w:w="2355"/>
        <w:gridCol w:w="2250"/>
        <w:gridCol w:w="2400"/>
      </w:tblGrid>
      <w:tr w14:paraId="703CA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16" w:type="dxa"/>
            <w:tcBorders>
              <w:top w:val="single" w:color="auto" w:sz="4" w:space="0"/>
              <w:left w:val="nil"/>
              <w:bottom w:val="single" w:color="auto" w:sz="4" w:space="0"/>
              <w:right w:val="nil"/>
            </w:tcBorders>
            <w:shd w:val="clear" w:color="auto" w:fill="auto"/>
            <w:noWrap/>
            <w:vAlign w:val="center"/>
          </w:tcPr>
          <w:p w14:paraId="2E4C0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商品A</w:t>
            </w:r>
          </w:p>
        </w:tc>
        <w:tc>
          <w:tcPr>
            <w:tcW w:w="2355" w:type="dxa"/>
            <w:tcBorders>
              <w:top w:val="single" w:color="auto" w:sz="4" w:space="0"/>
              <w:left w:val="nil"/>
              <w:bottom w:val="single" w:color="auto" w:sz="4" w:space="0"/>
              <w:right w:val="nil"/>
            </w:tcBorders>
            <w:shd w:val="clear" w:color="auto" w:fill="auto"/>
            <w:noWrap/>
            <w:vAlign w:val="center"/>
          </w:tcPr>
          <w:p w14:paraId="7D3156E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商品B</w:t>
            </w:r>
          </w:p>
        </w:tc>
        <w:tc>
          <w:tcPr>
            <w:tcW w:w="2250" w:type="dxa"/>
            <w:tcBorders>
              <w:top w:val="single" w:color="auto" w:sz="4" w:space="0"/>
              <w:left w:val="nil"/>
              <w:bottom w:val="single" w:color="auto" w:sz="4" w:space="0"/>
              <w:right w:val="nil"/>
            </w:tcBorders>
            <w:shd w:val="clear" w:color="auto" w:fill="auto"/>
            <w:noWrap/>
            <w:vAlign w:val="center"/>
          </w:tcPr>
          <w:p w14:paraId="26C6D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出现次数</w:t>
            </w:r>
          </w:p>
        </w:tc>
        <w:tc>
          <w:tcPr>
            <w:tcW w:w="2400" w:type="dxa"/>
            <w:tcBorders>
              <w:top w:val="single" w:color="auto" w:sz="4" w:space="0"/>
              <w:left w:val="nil"/>
              <w:bottom w:val="single" w:color="auto" w:sz="4" w:space="0"/>
              <w:right w:val="nil"/>
            </w:tcBorders>
            <w:shd w:val="clear" w:color="auto" w:fill="auto"/>
            <w:noWrap/>
            <w:vAlign w:val="center"/>
          </w:tcPr>
          <w:p w14:paraId="6647871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23B5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single" w:color="auto" w:sz="4" w:space="0"/>
              <w:left w:val="nil"/>
              <w:bottom w:val="nil"/>
              <w:right w:val="nil"/>
            </w:tcBorders>
            <w:shd w:val="clear" w:color="auto" w:fill="auto"/>
            <w:noWrap/>
            <w:vAlign w:val="center"/>
          </w:tcPr>
          <w:p w14:paraId="66D3D12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single" w:color="auto" w:sz="4" w:space="0"/>
              <w:left w:val="nil"/>
              <w:bottom w:val="nil"/>
              <w:right w:val="nil"/>
            </w:tcBorders>
            <w:shd w:val="clear" w:color="auto" w:fill="auto"/>
            <w:noWrap/>
            <w:vAlign w:val="center"/>
          </w:tcPr>
          <w:p w14:paraId="6739D1D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single" w:color="auto" w:sz="4" w:space="0"/>
              <w:left w:val="nil"/>
              <w:bottom w:val="nil"/>
              <w:right w:val="nil"/>
            </w:tcBorders>
            <w:shd w:val="clear" w:color="auto" w:fill="auto"/>
            <w:noWrap/>
            <w:vAlign w:val="center"/>
          </w:tcPr>
          <w:p w14:paraId="6A394051">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22285</w:t>
            </w:r>
          </w:p>
        </w:tc>
        <w:tc>
          <w:tcPr>
            <w:tcW w:w="2400" w:type="dxa"/>
            <w:tcBorders>
              <w:top w:val="single" w:color="auto" w:sz="4" w:space="0"/>
              <w:left w:val="nil"/>
              <w:bottom w:val="nil"/>
              <w:right w:val="nil"/>
            </w:tcBorders>
            <w:shd w:val="clear" w:color="auto" w:fill="auto"/>
            <w:noWrap/>
            <w:vAlign w:val="center"/>
          </w:tcPr>
          <w:p w14:paraId="259D19BA">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373C2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1ADE4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355" w:type="dxa"/>
            <w:tcBorders>
              <w:top w:val="nil"/>
              <w:left w:val="nil"/>
              <w:bottom w:val="nil"/>
              <w:right w:val="nil"/>
            </w:tcBorders>
            <w:shd w:val="clear" w:color="auto" w:fill="auto"/>
            <w:noWrap/>
            <w:vAlign w:val="center"/>
          </w:tcPr>
          <w:p w14:paraId="76DB6D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556A2E5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21925</w:t>
            </w:r>
          </w:p>
        </w:tc>
        <w:tc>
          <w:tcPr>
            <w:tcW w:w="2400" w:type="dxa"/>
            <w:tcBorders>
              <w:top w:val="nil"/>
              <w:left w:val="nil"/>
              <w:bottom w:val="nil"/>
              <w:right w:val="nil"/>
            </w:tcBorders>
            <w:shd w:val="clear" w:color="auto" w:fill="auto"/>
            <w:noWrap/>
            <w:vAlign w:val="center"/>
          </w:tcPr>
          <w:p w14:paraId="3EB138A9">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57309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7E7BCE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0D27D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1A25EC8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37203</w:t>
            </w:r>
          </w:p>
        </w:tc>
        <w:tc>
          <w:tcPr>
            <w:tcW w:w="2400" w:type="dxa"/>
            <w:tcBorders>
              <w:top w:val="nil"/>
              <w:left w:val="nil"/>
              <w:bottom w:val="nil"/>
              <w:right w:val="nil"/>
            </w:tcBorders>
            <w:shd w:val="clear" w:color="auto" w:fill="auto"/>
            <w:noWrap/>
            <w:vAlign w:val="center"/>
          </w:tcPr>
          <w:p w14:paraId="0FC8DDB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3DD91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9AD2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355" w:type="dxa"/>
            <w:tcBorders>
              <w:top w:val="nil"/>
              <w:left w:val="nil"/>
              <w:bottom w:val="nil"/>
              <w:right w:val="nil"/>
            </w:tcBorders>
            <w:shd w:val="clear" w:color="auto" w:fill="auto"/>
            <w:noWrap/>
            <w:vAlign w:val="center"/>
          </w:tcPr>
          <w:p w14:paraId="2C4886F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5039E23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11492</w:t>
            </w:r>
          </w:p>
        </w:tc>
        <w:tc>
          <w:tcPr>
            <w:tcW w:w="2400" w:type="dxa"/>
            <w:tcBorders>
              <w:top w:val="nil"/>
              <w:left w:val="nil"/>
              <w:bottom w:val="nil"/>
              <w:right w:val="nil"/>
            </w:tcBorders>
            <w:shd w:val="clear" w:color="auto" w:fill="auto"/>
            <w:noWrap/>
            <w:vAlign w:val="center"/>
          </w:tcPr>
          <w:p w14:paraId="3A4294EC">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EE3E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999AB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nil"/>
              <w:right w:val="nil"/>
            </w:tcBorders>
            <w:shd w:val="clear" w:color="auto" w:fill="auto"/>
            <w:noWrap/>
            <w:vAlign w:val="center"/>
          </w:tcPr>
          <w:p w14:paraId="625F89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77DCAF5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11498</w:t>
            </w:r>
          </w:p>
        </w:tc>
        <w:tc>
          <w:tcPr>
            <w:tcW w:w="2400" w:type="dxa"/>
            <w:tcBorders>
              <w:top w:val="nil"/>
              <w:left w:val="nil"/>
              <w:bottom w:val="nil"/>
              <w:right w:val="nil"/>
            </w:tcBorders>
            <w:shd w:val="clear" w:color="auto" w:fill="auto"/>
            <w:noWrap/>
            <w:vAlign w:val="center"/>
          </w:tcPr>
          <w:p w14:paraId="2686BF3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B3F7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58BDB2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97ECD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166D5DB5">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36356</w:t>
            </w:r>
          </w:p>
        </w:tc>
        <w:tc>
          <w:tcPr>
            <w:tcW w:w="2400" w:type="dxa"/>
            <w:tcBorders>
              <w:top w:val="nil"/>
              <w:left w:val="nil"/>
              <w:bottom w:val="nil"/>
              <w:right w:val="nil"/>
            </w:tcBorders>
            <w:shd w:val="clear" w:color="auto" w:fill="auto"/>
            <w:noWrap/>
            <w:vAlign w:val="center"/>
          </w:tcPr>
          <w:p w14:paraId="01D1011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04D0E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F6CB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25B976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30A68D4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17087</w:t>
            </w:r>
          </w:p>
        </w:tc>
        <w:tc>
          <w:tcPr>
            <w:tcW w:w="2400" w:type="dxa"/>
            <w:tcBorders>
              <w:top w:val="nil"/>
              <w:left w:val="nil"/>
              <w:bottom w:val="nil"/>
              <w:right w:val="nil"/>
            </w:tcBorders>
            <w:shd w:val="clear" w:color="auto" w:fill="auto"/>
            <w:noWrap/>
            <w:vAlign w:val="center"/>
          </w:tcPr>
          <w:p w14:paraId="0584D12B">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0.038</w:t>
            </w:r>
          </w:p>
        </w:tc>
      </w:tr>
      <w:tr w14:paraId="6D8EA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2A9323E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4E0067B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252159B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35542</w:t>
            </w:r>
          </w:p>
        </w:tc>
        <w:tc>
          <w:tcPr>
            <w:tcW w:w="2400" w:type="dxa"/>
            <w:tcBorders>
              <w:top w:val="nil"/>
              <w:left w:val="nil"/>
              <w:bottom w:val="nil"/>
              <w:right w:val="nil"/>
            </w:tcBorders>
            <w:shd w:val="clear" w:color="auto" w:fill="auto"/>
            <w:noWrap/>
            <w:vAlign w:val="center"/>
          </w:tcPr>
          <w:p w14:paraId="385698A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24D6B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single" w:color="auto" w:sz="4" w:space="0"/>
              <w:right w:val="nil"/>
            </w:tcBorders>
            <w:shd w:val="clear" w:color="auto" w:fill="auto"/>
            <w:noWrap/>
            <w:vAlign w:val="center"/>
          </w:tcPr>
          <w:p w14:paraId="7D1654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single" w:color="auto" w:sz="4" w:space="0"/>
              <w:right w:val="nil"/>
            </w:tcBorders>
            <w:shd w:val="clear" w:color="auto" w:fill="auto"/>
            <w:noWrap/>
            <w:vAlign w:val="center"/>
          </w:tcPr>
          <w:p w14:paraId="560521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single" w:color="auto" w:sz="4" w:space="0"/>
              <w:right w:val="nil"/>
            </w:tcBorders>
            <w:shd w:val="clear" w:color="auto" w:fill="auto"/>
            <w:noWrap/>
            <w:vAlign w:val="center"/>
          </w:tcPr>
          <w:p w14:paraId="2C63B553">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15911</w:t>
            </w:r>
          </w:p>
        </w:tc>
        <w:tc>
          <w:tcPr>
            <w:tcW w:w="2400" w:type="dxa"/>
            <w:tcBorders>
              <w:top w:val="nil"/>
              <w:left w:val="nil"/>
              <w:bottom w:val="single" w:color="auto" w:sz="4" w:space="0"/>
              <w:right w:val="nil"/>
            </w:tcBorders>
            <w:shd w:val="clear" w:color="auto" w:fill="auto"/>
            <w:noWrap/>
            <w:vAlign w:val="center"/>
          </w:tcPr>
          <w:p w14:paraId="45AC1AE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0.04</w:t>
            </w:r>
          </w:p>
        </w:tc>
      </w:tr>
    </w:tbl>
    <w:p w14:paraId="639F3D34">
      <w:pPr>
        <w:numPr>
          <w:ilvl w:val="0"/>
          <w:numId w:val="0"/>
        </w:numPr>
        <w:bidi w:val="0"/>
        <w:rPr>
          <w:rFonts w:hint="eastAsia" w:hAnsi="Cambria Math" w:eastAsia="宋体"/>
          <w:i w:val="0"/>
          <w:sz w:val="28"/>
          <w:szCs w:val="28"/>
          <w:lang w:val="en-US" w:eastAsia="zh-CN"/>
        </w:rPr>
      </w:pPr>
    </w:p>
    <w:p w14:paraId="053C2D6F">
      <w:pPr>
        <w:bidi w:val="0"/>
        <w:rPr>
          <w:rFonts w:hint="eastAsia" w:ascii="黑体" w:hAnsi="黑体" w:eastAsia="黑体" w:cs="黑体"/>
          <w:sz w:val="24"/>
          <w:szCs w:val="24"/>
          <w:lang w:val="en-US" w:eastAsia="zh-CN"/>
        </w:rPr>
      </w:pPr>
      <w:r>
        <mc:AlternateContent>
          <mc:Choice Requires="wps">
            <w:drawing>
              <wp:anchor distT="0" distB="0" distL="114300" distR="114300" simplePos="0" relativeHeight="25166950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1" name="椭圆 2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950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S7KlR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wp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NS7KlR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置信度</w:t>
      </w:r>
    </w:p>
    <w:p w14:paraId="41B06855">
      <w:pPr>
        <w:bidi w:val="0"/>
        <w:rPr>
          <w:rFonts w:hint="eastAsia" w:ascii="黑体" w:hAnsi="黑体" w:eastAsia="黑体" w:cs="黑体"/>
          <w:sz w:val="24"/>
          <w:szCs w:val="24"/>
          <w:lang w:val="en-US" w:eastAsia="zh-CN"/>
        </w:rPr>
      </w:pPr>
    </w:p>
    <w:p w14:paraId="2AB6A210">
      <w:pPr>
        <w:numPr>
          <w:ilvl w:val="0"/>
          <w:numId w:val="0"/>
        </w:numPr>
        <w:bidi w:val="0"/>
        <w:rPr>
          <w:rFonts w:hint="default" w:hAnsi="Cambria Math" w:eastAsia="Courier New"/>
          <w:i w:val="0"/>
          <w:iCs w:val="0"/>
          <w:sz w:val="28"/>
          <w:szCs w:val="28"/>
        </w:rPr>
      </w:pPr>
      <m:oMath>
        <m:m>
          <m:mPr>
            <m:mcs>
              <m:mc>
                <m:mcPr>
                  <m:count m:val="1"/>
                  <m:mcJc m:val="left"/>
                </m:mcPr>
              </m:mc>
            </m:mcs>
            <m:plcHide m:val="1"/>
            <m:ctrlPr>
              <w:rPr>
                <w:rFonts w:hint="default" w:ascii="Cambria Math" w:hAnsi="Cambria Math" w:eastAsia="Courier New"/>
                <w:i w:val="0"/>
                <w:iCs w:val="0"/>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Confidence</m:t>
              </m:r>
              <m:r>
                <m:rPr>
                  <m:sty m:val="p"/>
                </m:rPr>
                <w:rPr>
                  <w:rFonts w:hint="default" w:ascii="Cambria Math" w:hAnsi="Cambria Math" w:eastAsia="Courier New"/>
                  <w:sz w:val="28"/>
                  <w:szCs w:val="28"/>
                </w:rPr>
                <m:t>=</m:t>
              </m:r>
              <m:r>
                <m:rPr>
                  <m:sty m:val="p"/>
                </m:rPr>
                <w:rPr>
                  <w:rFonts w:hint="default" w:ascii="Cambria Math" w:hAnsi="Cambria Math"/>
                  <w:sz w:val="28"/>
                  <w:szCs w:val="28"/>
                  <w:lang w:val="en-US" w:eastAsia="zh-CN"/>
                </w:rPr>
                <m:t>Support(I)/Support(A)</m:t>
              </m:r>
              <m:ctrlPr>
                <w:rPr>
                  <w:rFonts w:hint="default" w:ascii="Cambria Math" w:hAnsi="Cambria Math" w:eastAsia="Courier New"/>
                  <w:i w:val="0"/>
                  <w:iCs w:val="0"/>
                  <w:sz w:val="28"/>
                  <w:szCs w:val="28"/>
                </w:rPr>
              </m:ctrlPr>
            </m:e>
          </m:mr>
        </m:m>
      </m:oMath>
      <w:r>
        <w:rPr>
          <w:rFonts w:hint="eastAsia" w:hAnsi="Cambria Math"/>
          <w:i w:val="0"/>
          <w:iCs w:val="0"/>
          <w:sz w:val="28"/>
          <w:szCs w:val="28"/>
          <w:lang w:val="en-US" w:eastAsia="zh-CN"/>
        </w:rPr>
        <w:t xml:space="preserve">        </w:t>
      </w:r>
      <m:oMath>
        <m:r>
          <m:rPr>
            <m:sty m:val="p"/>
          </m:rPr>
          <w:rPr>
            <w:rFonts w:hint="default" w:ascii="Cambria Math" w:hAnsi="Cambria Math"/>
            <w:sz w:val="28"/>
          </w:rPr>
          <m:t>(</m:t>
        </m:r>
        <m:r>
          <m:rPr>
            <m:sty m:val="p"/>
          </m:rPr>
          <w:rPr>
            <w:rFonts w:hint="default" w:ascii="Cambria Math" w:hAnsi="Cambria Math"/>
            <w:sz w:val="28"/>
            <w:lang w:val="en-US" w:eastAsia="zh-CN"/>
          </w:rPr>
          <m:t>15</m:t>
        </m:r>
        <m:r>
          <m:rPr>
            <m:sty m:val="p"/>
          </m:rPr>
          <w:rPr>
            <w:rFonts w:hint="default" w:ascii="Cambria Math" w:hAnsi="Cambria Math"/>
            <w:sz w:val="28"/>
          </w:rPr>
          <m:t>)</m:t>
        </m:r>
      </m:oMath>
    </w:p>
    <w:p w14:paraId="58270F1C">
      <w:pPr>
        <w:numPr>
          <w:ilvl w:val="0"/>
          <w:numId w:val="0"/>
        </w:numPr>
        <w:bidi w:val="0"/>
        <w:rPr>
          <w:rFonts w:hint="eastAsia" w:ascii="黑体" w:hAnsi="黑体" w:eastAsia="黑体" w:cs="黑体"/>
          <w:i w:val="0"/>
          <w:sz w:val="24"/>
          <w:szCs w:val="24"/>
          <w:lang w:val="en-US" w:eastAsia="zh-CN"/>
        </w:rPr>
      </w:pPr>
    </w:p>
    <w:p w14:paraId="5318A966">
      <w:pPr>
        <w:numPr>
          <w:ilvl w:val="0"/>
          <w:numId w:val="0"/>
        </w:num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置信度越强，代表商品之间的关联性越强</w:t>
      </w:r>
    </w:p>
    <w:p w14:paraId="674B4553">
      <w:pPr>
        <w:numPr>
          <w:ilvl w:val="0"/>
          <w:numId w:val="0"/>
        </w:numPr>
        <w:bidi w:val="0"/>
        <w:rPr>
          <w:rFonts w:hint="eastAsia" w:ascii="黑体" w:hAnsi="黑体" w:eastAsia="黑体" w:cs="黑体"/>
          <w:i w:val="0"/>
          <w:sz w:val="24"/>
          <w:szCs w:val="24"/>
          <w:lang w:val="en-US" w:eastAsia="zh-CN"/>
        </w:rPr>
      </w:pPr>
    </w:p>
    <w:p w14:paraId="3EB76987">
      <w:pPr>
        <w:numPr>
          <w:ilvl w:val="0"/>
          <w:numId w:val="0"/>
        </w:numPr>
        <w:bidi w:val="0"/>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计算结果：</w:t>
      </w:r>
    </w:p>
    <w:p w14:paraId="22D546BB">
      <w:pPr>
        <w:numPr>
          <w:ilvl w:val="0"/>
          <w:numId w:val="0"/>
        </w:numPr>
        <w:bidi w:val="0"/>
        <w:rPr>
          <w:rFonts w:hint="eastAsia" w:ascii="黑体" w:hAnsi="黑体" w:eastAsia="黑体" w:cs="黑体"/>
          <w:i w:val="0"/>
          <w:sz w:val="24"/>
          <w:szCs w:val="24"/>
          <w:lang w:val="en-US" w:eastAsia="zh-CN"/>
        </w:rPr>
      </w:pPr>
      <w:r>
        <w:rPr>
          <w:rFonts w:hint="eastAsia" w:ascii="黑体" w:hAnsi="黑体" w:eastAsia="黑体" w:cs="黑体"/>
          <w:i w:val="0"/>
          <w:sz w:val="24"/>
          <w:szCs w:val="24"/>
          <w:lang w:val="en-US" w:eastAsia="zh-CN"/>
        </w:rPr>
        <w:t>家具用品和烟酒水饮之间的关联度最强，其置信度为25%、家具用品和粮油调味商品组合其次，关联度为22%、休闲食品和家居用品商品组合关联度为15%。</w:t>
      </w:r>
    </w:p>
    <w:p w14:paraId="6EBD6DB0">
      <w:pPr>
        <w:numPr>
          <w:ilvl w:val="0"/>
          <w:numId w:val="0"/>
        </w:numPr>
        <w:bidi w:val="0"/>
        <w:rPr>
          <w:rFonts w:hint="eastAsia" w:ascii="黑体" w:hAnsi="黑体" w:eastAsia="黑体" w:cs="黑体"/>
          <w:i w:val="0"/>
          <w:sz w:val="24"/>
          <w:szCs w:val="24"/>
          <w:lang w:val="en-US" w:eastAsia="zh-CN"/>
        </w:rPr>
      </w:pPr>
    </w:p>
    <w:p w14:paraId="1F8951BF">
      <w:pPr>
        <w:bidi w:val="0"/>
        <w:rPr>
          <w:rFonts w:hint="default" w:ascii="黑体" w:hAnsi="黑体" w:eastAsia="黑体" w:cs="黑体"/>
          <w:sz w:val="24"/>
          <w:szCs w:val="24"/>
          <w:lang w:val="en-US" w:eastAsia="zh-CN"/>
        </w:rPr>
      </w:pPr>
      <w:r>
        <mc:AlternateContent>
          <mc:Choice Requires="wps">
            <w:drawing>
              <wp:anchor distT="0" distB="0" distL="114300" distR="114300" simplePos="0" relativeHeight="25167052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2" name="椭圆 2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7052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DRWWvN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Uwo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DRWWvN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lang w:val="en-US" w:eastAsia="zh-CN"/>
        </w:rPr>
        <w:t xml:space="preserve">   </w:t>
      </w:r>
      <w:r>
        <w:rPr>
          <w:rFonts w:hint="eastAsia" w:ascii="黑体" w:hAnsi="黑体" w:eastAsia="黑体" w:cs="黑体"/>
          <w:sz w:val="24"/>
          <w:szCs w:val="24"/>
          <w:lang w:val="en-US" w:eastAsia="zh-CN"/>
        </w:rPr>
        <w:t>销售建议</w:t>
      </w:r>
    </w:p>
    <w:p w14:paraId="34A8C268">
      <w:pPr>
        <w:numPr>
          <w:ilvl w:val="0"/>
          <w:numId w:val="0"/>
        </w:numPr>
        <w:bidi w:val="0"/>
        <w:rPr>
          <w:rFonts w:hint="default" w:ascii="黑体" w:hAnsi="黑体" w:eastAsia="黑体" w:cs="黑体"/>
          <w:i w:val="0"/>
          <w:sz w:val="24"/>
          <w:szCs w:val="24"/>
          <w:lang w:val="en-US" w:eastAsia="zh-CN"/>
        </w:rPr>
      </w:pPr>
    </w:p>
    <w:p w14:paraId="4A30649A">
      <w:pPr>
        <w:bidi w:val="0"/>
        <w:ind w:firstLine="480" w:firstLineChars="200"/>
        <w:rPr>
          <w:rFonts w:hint="eastAsia" w:ascii="黑体" w:hAnsi="黑体" w:eastAsia="黑体" w:cs="黑体"/>
          <w:sz w:val="24"/>
          <w:szCs w:val="24"/>
        </w:rPr>
      </w:pPr>
      <w:r>
        <w:rPr>
          <w:rFonts w:hint="eastAsia" w:ascii="黑体" w:hAnsi="黑体" w:eastAsia="黑体" w:cs="黑体"/>
          <w:sz w:val="24"/>
          <w:szCs w:val="24"/>
        </w:rPr>
        <w:t>基于数据分析发现，购买家具用品的顾客有25%的概率会同时购买烟酒水饮，22%的概率购买粮油调味品，同时休闲食品与家居用品也存在15%的关联度。建议门店采取以下策略：在家具区域邻近设置烟酒水饮展柜和粮油调味品堆头，推出"购家具加价换购酒水"和"安家落户粮油套餐"等联合促销；同时在休闲食品区搭配陈列小型家居用品，开展"零食满赠家居好物"活动，通过这种基于消费关联的交叉陈列和组合营销，有效提升客单价和交叉销售机会。</w:t>
      </w:r>
    </w:p>
    <w:p w14:paraId="54EB0BC5">
      <w:pPr>
        <w:bidi w:val="0"/>
        <w:ind w:firstLine="480" w:firstLineChars="200"/>
        <w:rPr>
          <w:rFonts w:hint="eastAsia" w:ascii="黑体" w:hAnsi="黑体" w:eastAsia="黑体" w:cs="黑体"/>
          <w:sz w:val="24"/>
          <w:szCs w:val="24"/>
        </w:rPr>
      </w:pPr>
    </w:p>
    <w:p w14:paraId="77552BF2">
      <w:pPr>
        <w:bidi w:val="0"/>
        <w:ind w:firstLine="480" w:firstLineChars="200"/>
        <w:rPr>
          <w:rFonts w:hint="eastAsia" w:ascii="黑体" w:hAnsi="黑体" w:eastAsia="黑体" w:cs="黑体"/>
          <w:sz w:val="24"/>
          <w:szCs w:val="24"/>
        </w:rPr>
      </w:pPr>
    </w:p>
    <w:p w14:paraId="591BAFED">
      <w:pPr>
        <w:bidi w:val="0"/>
        <w:ind w:firstLine="480" w:firstLineChars="200"/>
        <w:rPr>
          <w:rFonts w:hint="eastAsia" w:ascii="黑体" w:hAnsi="黑体" w:eastAsia="黑体" w:cs="黑体"/>
          <w:sz w:val="24"/>
          <w:szCs w:val="24"/>
        </w:rPr>
      </w:pPr>
    </w:p>
    <w:p w14:paraId="711191D2">
      <w:pPr>
        <w:bidi w:val="0"/>
        <w:ind w:firstLine="480" w:firstLineChars="200"/>
        <w:rPr>
          <w:rFonts w:hint="eastAsia" w:ascii="黑体" w:hAnsi="黑体" w:eastAsia="黑体" w:cs="黑体"/>
          <w:sz w:val="24"/>
          <w:szCs w:val="24"/>
        </w:rPr>
      </w:pPr>
    </w:p>
    <w:p w14:paraId="38744222">
      <w:pPr>
        <w:bidi w:val="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5.4  问题四模型的建立与求解</w:t>
      </w:r>
    </w:p>
    <w:p w14:paraId="42268705">
      <w:pPr>
        <w:bidi w:val="0"/>
        <w:rPr>
          <w:rFonts w:hint="eastAsia" w:ascii="黑体" w:hAnsi="黑体" w:eastAsia="黑体" w:cs="黑体"/>
          <w:b/>
          <w:bCs/>
          <w:sz w:val="24"/>
          <w:szCs w:val="24"/>
          <w:lang w:val="en-US" w:eastAsia="zh-CN"/>
        </w:rPr>
      </w:pPr>
    </w:p>
    <w:p w14:paraId="505566B2">
      <w:pPr>
        <w:bidi w:val="0"/>
        <w:rPr>
          <w:rFonts w:hint="eastAsia" w:ascii="黑体" w:hAnsi="黑体" w:eastAsia="黑体" w:cs="黑体"/>
          <w:b/>
          <w:bCs/>
          <w:sz w:val="24"/>
          <w:szCs w:val="24"/>
        </w:rPr>
      </w:pPr>
      <w:r>
        <w:rPr>
          <w:rFonts w:hint="eastAsia" w:ascii="黑体" w:hAnsi="黑体" w:eastAsia="黑体" w:cs="黑体"/>
          <w:b/>
          <w:bCs/>
          <w:sz w:val="24"/>
          <w:szCs w:val="24"/>
        </w:rPr>
        <w:t>如何实现智能自动化决策？</w:t>
      </w:r>
    </w:p>
    <w:p w14:paraId="721C09FB">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1.</w:t>
      </w:r>
      <w:r>
        <w:rPr>
          <w:rFonts w:hint="eastAsia" w:ascii="黑体" w:hAnsi="黑体" w:eastAsia="黑体" w:cs="黑体"/>
          <w:b w:val="0"/>
          <w:bCs/>
          <w:sz w:val="24"/>
          <w:szCs w:val="24"/>
        </w:rPr>
        <w:t>将这些数据和技术整合成一个闭环系统：</w:t>
      </w:r>
    </w:p>
    <w:p w14:paraId="0DF8A492">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ind w:firstLine="240" w:firstLineChars="100"/>
        <w:textAlignment w:val="auto"/>
        <w:rPr>
          <w:rFonts w:hint="eastAsia" w:ascii="黑体" w:hAnsi="黑体" w:eastAsia="黑体" w:cs="黑体"/>
          <w:b w:val="0"/>
          <w:bCs/>
          <w:sz w:val="24"/>
          <w:szCs w:val="24"/>
        </w:rPr>
      </w:pPr>
      <w:r>
        <w:rPr>
          <w:rFonts w:hint="default" w:ascii="Courier New" w:hAnsi="Courier New" w:eastAsia="黑体" w:cs="Courier New"/>
          <w:b w:val="0"/>
          <w:bCs/>
          <w:kern w:val="2"/>
          <w:sz w:val="24"/>
          <w:szCs w:val="24"/>
          <w:lang w:val="en-US" w:eastAsia="zh-CN" w:bidi="ar-SA"/>
        </w:rPr>
        <w:t>o</w:t>
      </w:r>
      <w:r>
        <w:rPr>
          <w:rFonts w:hint="eastAsia" w:ascii="黑体" w:hAnsi="黑体" w:eastAsia="黑体" w:cs="黑体"/>
          <w:b w:val="0"/>
          <w:bCs/>
          <w:sz w:val="24"/>
          <w:szCs w:val="24"/>
        </w:rPr>
        <w:t>数据输入：采集器持续录入消费者、环境、库存等多元数据，存入大数据平台。</w:t>
      </w:r>
    </w:p>
    <w:p w14:paraId="05E1FD82">
      <w:pPr>
        <w:keepNext w:val="0"/>
        <w:keepLines w:val="0"/>
        <w:pageBreakBefore w:val="0"/>
        <w:widowControl w:val="0"/>
        <w:numPr>
          <w:ilvl w:val="1"/>
          <w:numId w:val="0"/>
        </w:numPr>
        <w:kinsoku/>
        <w:wordWrap/>
        <w:overflowPunct/>
        <w:topLinePunct w:val="0"/>
        <w:autoSpaceDE/>
        <w:autoSpaceDN/>
        <w:bidi w:val="0"/>
        <w:adjustRightInd/>
        <w:snapToGrid/>
        <w:spacing w:before="0" w:beforeAutospacing="1" w:after="0" w:afterAutospacing="1"/>
        <w:ind w:firstLine="240" w:firstLineChars="100"/>
        <w:textAlignment w:val="auto"/>
        <w:rPr>
          <w:rFonts w:hint="eastAsia" w:ascii="黑体" w:hAnsi="黑体" w:eastAsia="黑体" w:cs="黑体"/>
          <w:b w:val="0"/>
          <w:bCs/>
          <w:sz w:val="24"/>
          <w:szCs w:val="24"/>
        </w:rPr>
      </w:pPr>
      <w:r>
        <w:rPr>
          <w:rFonts w:hint="default" w:ascii="Courier New" w:hAnsi="Courier New" w:eastAsia="黑体" w:cs="Courier New"/>
          <w:b w:val="0"/>
          <w:bCs/>
          <w:kern w:val="2"/>
          <w:sz w:val="24"/>
          <w:szCs w:val="24"/>
          <w:lang w:val="en-US" w:eastAsia="zh-CN" w:bidi="ar-SA"/>
        </w:rPr>
        <w:t>o</w:t>
      </w:r>
      <w:r>
        <w:rPr>
          <w:rFonts w:hint="eastAsia" w:ascii="黑体" w:hAnsi="黑体" w:eastAsia="黑体" w:cs="黑体"/>
          <w:b w:val="0"/>
          <w:bCs/>
          <w:sz w:val="24"/>
          <w:szCs w:val="24"/>
        </w:rPr>
        <w:t>模型决策：机器学习模型基于这些数据，自动做出决策。</w:t>
      </w:r>
    </w:p>
    <w:p w14:paraId="15E89567">
      <w:pPr>
        <w:keepNext w:val="0"/>
        <w:keepLines w:val="0"/>
        <w:pageBreakBefore w:val="0"/>
        <w:widowControl w:val="0"/>
        <w:numPr>
          <w:ilvl w:val="2"/>
          <w:numId w:val="0"/>
        </w:numPr>
        <w:kinsoku/>
        <w:wordWrap/>
        <w:overflowPunct/>
        <w:topLinePunct w:val="0"/>
        <w:autoSpaceDE/>
        <w:autoSpaceDN/>
        <w:bidi w:val="0"/>
        <w:adjustRightInd/>
        <w:snapToGrid/>
        <w:spacing w:before="0" w:beforeAutospacing="1" w:after="0" w:afterAutospacing="1"/>
        <w:ind w:firstLine="480" w:firstLineChars="200"/>
        <w:textAlignment w:val="auto"/>
        <w:rPr>
          <w:rFonts w:hint="eastAsia" w:ascii="黑体" w:hAnsi="黑体" w:eastAsia="黑体" w:cs="黑体"/>
          <w:b w:val="0"/>
          <w:bCs/>
          <w:sz w:val="24"/>
          <w:szCs w:val="24"/>
        </w:rPr>
      </w:pPr>
      <w:r>
        <w:rPr>
          <w:rFonts w:hint="default" w:ascii="Wingdings" w:hAnsi="Wingdings" w:eastAsia="黑体" w:cs="Wingdings"/>
          <w:b w:val="0"/>
          <w:bCs/>
          <w:kern w:val="2"/>
          <w:sz w:val="24"/>
          <w:szCs w:val="24"/>
          <w:lang w:val="en-US" w:eastAsia="zh-CN" w:bidi="ar-SA"/>
        </w:rPr>
        <w:t></w:t>
      </w:r>
      <w:r>
        <w:rPr>
          <w:rFonts w:hint="eastAsia" w:ascii="黑体" w:hAnsi="黑体" w:eastAsia="黑体" w:cs="黑体"/>
          <w:b w:val="0"/>
          <w:bCs/>
          <w:sz w:val="24"/>
          <w:szCs w:val="24"/>
        </w:rPr>
        <w:t>示例1：预测模型判断明天高温且周末，自动向附近小区的会员推送冰啤酒和烧烤食材的优惠信息。</w:t>
      </w:r>
    </w:p>
    <w:p w14:paraId="2EAA66D9">
      <w:pPr>
        <w:keepNext w:val="0"/>
        <w:keepLines w:val="0"/>
        <w:pageBreakBefore w:val="0"/>
        <w:widowControl w:val="0"/>
        <w:numPr>
          <w:ilvl w:val="2"/>
          <w:numId w:val="0"/>
        </w:numPr>
        <w:kinsoku/>
        <w:wordWrap/>
        <w:overflowPunct/>
        <w:topLinePunct w:val="0"/>
        <w:autoSpaceDE/>
        <w:autoSpaceDN/>
        <w:bidi w:val="0"/>
        <w:adjustRightInd/>
        <w:snapToGrid/>
        <w:spacing w:before="0" w:beforeAutospacing="1" w:after="0" w:afterAutospacing="1"/>
        <w:ind w:firstLine="480" w:firstLineChars="200"/>
        <w:textAlignment w:val="auto"/>
        <w:rPr>
          <w:rFonts w:hint="eastAsia" w:ascii="黑体" w:hAnsi="黑体" w:eastAsia="黑体" w:cs="黑体"/>
          <w:b w:val="0"/>
          <w:bCs/>
          <w:sz w:val="24"/>
          <w:szCs w:val="24"/>
        </w:rPr>
      </w:pPr>
      <w:r>
        <w:rPr>
          <w:rFonts w:hint="default" w:ascii="Wingdings" w:hAnsi="Wingdings" w:eastAsia="黑体" w:cs="Wingdings"/>
          <w:b w:val="0"/>
          <w:bCs/>
          <w:kern w:val="2"/>
          <w:sz w:val="24"/>
          <w:szCs w:val="24"/>
          <w:lang w:val="en-US" w:eastAsia="zh-CN" w:bidi="ar-SA"/>
        </w:rPr>
        <w:t></w:t>
      </w:r>
      <w:r>
        <w:rPr>
          <w:rFonts w:hint="eastAsia" w:ascii="黑体" w:hAnsi="黑体" w:eastAsia="黑体" w:cs="黑体"/>
          <w:b w:val="0"/>
          <w:bCs/>
          <w:sz w:val="24"/>
          <w:szCs w:val="24"/>
        </w:rPr>
        <w:t>示例2：库存模型发现A商品库存高且滞销，同时关联模型发现A与B商品关联性强，自动生成“买A赠B”的促销方案，并下发到POS系统。</w:t>
      </w:r>
    </w:p>
    <w:p w14:paraId="041B9604">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2.</w:t>
      </w:r>
      <w:r>
        <w:rPr>
          <w:rFonts w:hint="eastAsia" w:ascii="黑体" w:hAnsi="黑体" w:eastAsia="黑体" w:cs="黑体"/>
          <w:b w:val="0"/>
          <w:bCs/>
          <w:sz w:val="24"/>
          <w:szCs w:val="24"/>
        </w:rPr>
        <w:t>行动执行：系统将决策自动转化为行动（如发送短信、生成工单、调整价格）。</w:t>
      </w:r>
    </w:p>
    <w:p w14:paraId="3F7A3F09">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3.</w:t>
      </w:r>
      <w:r>
        <w:rPr>
          <w:rFonts w:hint="eastAsia" w:ascii="黑体" w:hAnsi="黑体" w:eastAsia="黑体" w:cs="黑体"/>
          <w:b w:val="0"/>
          <w:bCs/>
          <w:sz w:val="24"/>
          <w:szCs w:val="24"/>
        </w:rPr>
        <w:t>效果评估：行动产生的新数据（如销量变化、客单价变化）再次被采集，反馈给模型进行自我优化。</w:t>
      </w:r>
    </w:p>
    <w:p w14:paraId="36C5E8A3">
      <w:pPr>
        <w:keepNext w:val="0"/>
        <w:keepLines w:val="0"/>
        <w:pageBreakBefore w:val="0"/>
        <w:widowControl w:val="0"/>
        <w:numPr>
          <w:ilvl w:val="0"/>
          <w:numId w:val="0"/>
        </w:numPr>
        <w:kinsoku/>
        <w:wordWrap/>
        <w:overflowPunct/>
        <w:topLinePunct w:val="0"/>
        <w:autoSpaceDE/>
        <w:autoSpaceDN/>
        <w:bidi w:val="0"/>
        <w:adjustRightInd/>
        <w:snapToGrid/>
        <w:spacing w:before="0" w:beforeAutospacing="1" w:after="100" w:afterAutospacing="1"/>
        <w:textAlignment w:val="auto"/>
        <w:rPr>
          <w:rFonts w:hint="eastAsia" w:ascii="黑体" w:hAnsi="黑体" w:eastAsia="黑体" w:cs="黑体"/>
          <w:b w:val="0"/>
          <w:bCs/>
          <w:sz w:val="24"/>
          <w:szCs w:val="24"/>
        </w:rPr>
      </w:pPr>
      <w:r>
        <w:rPr>
          <w:rFonts w:hint="eastAsia" w:ascii="黑体" w:hAnsi="黑体" w:eastAsia="黑体" w:cs="黑体"/>
          <w:b w:val="0"/>
          <w:bCs/>
          <w:kern w:val="2"/>
          <w:sz w:val="24"/>
          <w:szCs w:val="24"/>
          <w:lang w:val="en-US" w:eastAsia="zh-CN" w:bidi="ar-SA"/>
        </w:rPr>
        <w:t>4.</w:t>
      </w:r>
      <w:r>
        <w:rPr>
          <w:rFonts w:hint="eastAsia" w:ascii="黑体" w:hAnsi="黑体" w:eastAsia="黑体" w:cs="黑体"/>
          <w:b w:val="0"/>
          <w:bCs/>
          <w:sz w:val="24"/>
          <w:szCs w:val="24"/>
        </w:rPr>
        <w:t>最终愿景：门店经理的职责从“做决定”逐渐转变为“监督和优化AI系统做出的决定”，从而实现营销决策的科学化与智能化升级。</w:t>
      </w:r>
    </w:p>
    <w:p w14:paraId="1AAF814B">
      <w:pPr>
        <w:bidi w:val="0"/>
        <w:rPr>
          <w:rFonts w:hint="eastAsia" w:ascii="黑体" w:hAnsi="黑体" w:eastAsia="黑体" w:cs="黑体"/>
          <w:b w:val="0"/>
          <w:bCs/>
          <w:sz w:val="24"/>
          <w:szCs w:val="24"/>
          <w:lang w:val="en-US" w:eastAsia="zh-CN"/>
        </w:rPr>
      </w:pPr>
    </w:p>
    <w:p w14:paraId="6992E77A">
      <w:pPr>
        <w:bidi w:val="0"/>
        <w:rPr>
          <w:rFonts w:hint="eastAsia" w:ascii="黑体" w:hAnsi="黑体" w:eastAsia="黑体" w:cs="黑体"/>
          <w:b w:val="0"/>
          <w:bCs/>
          <w:sz w:val="24"/>
          <w:szCs w:val="24"/>
          <w:lang w:val="en-US" w:eastAsia="zh-CN"/>
        </w:rPr>
      </w:pPr>
    </w:p>
    <w:p w14:paraId="5EDD34BC">
      <w:pPr>
        <w:bidi w:val="0"/>
        <w:rPr>
          <w:rFonts w:hint="eastAsia" w:ascii="黑体" w:hAnsi="黑体" w:eastAsia="黑体" w:cs="黑体"/>
          <w:b w:val="0"/>
          <w:bCs/>
          <w:sz w:val="24"/>
          <w:szCs w:val="24"/>
          <w:lang w:val="en-US" w:eastAsia="zh-CN"/>
        </w:rPr>
      </w:pPr>
    </w:p>
    <w:p w14:paraId="5A51794D">
      <w:pPr>
        <w:bidi w:val="0"/>
        <w:rPr>
          <w:rFonts w:hint="eastAsia" w:ascii="黑体" w:hAnsi="黑体" w:eastAsia="黑体" w:cs="黑体"/>
          <w:b w:val="0"/>
          <w:bCs/>
          <w:sz w:val="24"/>
          <w:szCs w:val="24"/>
          <w:lang w:val="en-US" w:eastAsia="zh-CN"/>
        </w:rPr>
      </w:pPr>
    </w:p>
    <w:p w14:paraId="2AB6F7B9">
      <w:pPr>
        <w:bidi w:val="0"/>
        <w:rPr>
          <w:rFonts w:hint="eastAsia" w:ascii="黑体" w:hAnsi="黑体" w:eastAsia="黑体" w:cs="黑体"/>
          <w:b w:val="0"/>
          <w:bCs/>
          <w:sz w:val="24"/>
          <w:szCs w:val="24"/>
          <w:lang w:val="en-US" w:eastAsia="zh-CN"/>
        </w:rPr>
      </w:pPr>
    </w:p>
    <w:p w14:paraId="3EEE3BE6">
      <w:pPr>
        <w:bidi w:val="0"/>
        <w:rPr>
          <w:rFonts w:hint="eastAsia" w:ascii="黑体" w:hAnsi="黑体" w:eastAsia="黑体" w:cs="黑体"/>
          <w:b w:val="0"/>
          <w:bCs/>
          <w:sz w:val="24"/>
          <w:szCs w:val="24"/>
          <w:lang w:val="en-US" w:eastAsia="zh-CN"/>
        </w:rPr>
      </w:pPr>
    </w:p>
    <w:p w14:paraId="059FB700">
      <w:pPr>
        <w:bidi w:val="0"/>
        <w:rPr>
          <w:rFonts w:hint="eastAsia" w:ascii="黑体" w:hAnsi="黑体" w:eastAsia="黑体" w:cs="黑体"/>
          <w:b w:val="0"/>
          <w:bCs/>
          <w:sz w:val="24"/>
          <w:szCs w:val="24"/>
          <w:lang w:val="en-US" w:eastAsia="zh-CN"/>
        </w:rPr>
      </w:pPr>
    </w:p>
    <w:p w14:paraId="3AC6B401">
      <w:pPr>
        <w:bidi w:val="0"/>
        <w:rPr>
          <w:rFonts w:hint="eastAsia" w:ascii="黑体" w:hAnsi="黑体" w:eastAsia="黑体" w:cs="黑体"/>
          <w:b w:val="0"/>
          <w:bCs/>
          <w:sz w:val="24"/>
          <w:szCs w:val="24"/>
          <w:lang w:val="en-US" w:eastAsia="zh-CN"/>
        </w:rPr>
      </w:pPr>
    </w:p>
    <w:p w14:paraId="5DEBA437">
      <w:pPr>
        <w:bidi w:val="0"/>
        <w:rPr>
          <w:rFonts w:hint="eastAsia" w:ascii="黑体" w:hAnsi="黑体" w:eastAsia="黑体" w:cs="黑体"/>
          <w:b w:val="0"/>
          <w:bCs/>
          <w:sz w:val="24"/>
          <w:szCs w:val="24"/>
          <w:lang w:val="en-US" w:eastAsia="zh-CN"/>
        </w:rPr>
      </w:pPr>
    </w:p>
    <w:p w14:paraId="328F411F">
      <w:pPr>
        <w:bidi w:val="0"/>
        <w:rPr>
          <w:rFonts w:hint="eastAsia" w:ascii="黑体" w:hAnsi="黑体" w:eastAsia="黑体" w:cs="黑体"/>
          <w:b w:val="0"/>
          <w:bCs/>
          <w:sz w:val="24"/>
          <w:szCs w:val="24"/>
          <w:lang w:val="en-US" w:eastAsia="zh-CN"/>
        </w:rPr>
      </w:pPr>
    </w:p>
    <w:p w14:paraId="3061A3A5">
      <w:pPr>
        <w:bidi w:val="0"/>
        <w:rPr>
          <w:rFonts w:hint="eastAsia" w:ascii="黑体" w:hAnsi="黑体" w:eastAsia="黑体" w:cs="黑体"/>
          <w:b w:val="0"/>
          <w:bCs/>
          <w:sz w:val="24"/>
          <w:szCs w:val="24"/>
          <w:lang w:val="en-US" w:eastAsia="zh-CN"/>
        </w:rPr>
      </w:pPr>
    </w:p>
    <w:p w14:paraId="5E374987">
      <w:pPr>
        <w:bidi w:val="0"/>
        <w:rPr>
          <w:rFonts w:hint="eastAsia" w:ascii="黑体" w:hAnsi="黑体" w:eastAsia="黑体" w:cs="黑体"/>
          <w:b w:val="0"/>
          <w:bCs/>
          <w:sz w:val="24"/>
          <w:szCs w:val="24"/>
          <w:lang w:val="en-US" w:eastAsia="zh-CN"/>
        </w:rPr>
      </w:pPr>
    </w:p>
    <w:p w14:paraId="36F32AF9">
      <w:pPr>
        <w:bidi w:val="0"/>
        <w:rPr>
          <w:rFonts w:hint="eastAsia" w:ascii="黑体" w:hAnsi="黑体" w:eastAsia="黑体" w:cs="黑体"/>
          <w:b w:val="0"/>
          <w:bCs/>
          <w:sz w:val="24"/>
          <w:szCs w:val="24"/>
          <w:lang w:val="en-US" w:eastAsia="zh-CN"/>
        </w:rPr>
      </w:pPr>
    </w:p>
    <w:p w14:paraId="599418AC">
      <w:pPr>
        <w:bidi w:val="0"/>
        <w:rPr>
          <w:rFonts w:hint="eastAsia" w:ascii="黑体" w:hAnsi="黑体" w:eastAsia="黑体" w:cs="黑体"/>
          <w:b w:val="0"/>
          <w:bCs/>
          <w:sz w:val="24"/>
          <w:szCs w:val="24"/>
          <w:lang w:val="en-US" w:eastAsia="zh-CN"/>
        </w:rPr>
      </w:pPr>
    </w:p>
    <w:p w14:paraId="4C294A06">
      <w:pPr>
        <w:bidi w:val="0"/>
        <w:rPr>
          <w:rFonts w:hint="eastAsia" w:ascii="黑体" w:hAnsi="黑体" w:eastAsia="黑体" w:cs="黑体"/>
          <w:b w:val="0"/>
          <w:bCs/>
          <w:sz w:val="24"/>
          <w:szCs w:val="24"/>
          <w:lang w:val="en-US" w:eastAsia="zh-CN"/>
        </w:rPr>
      </w:pPr>
    </w:p>
    <w:p w14:paraId="626726E3">
      <w:pPr>
        <w:bidi w:val="0"/>
        <w:rPr>
          <w:rFonts w:hint="eastAsia" w:ascii="黑体" w:hAnsi="黑体" w:eastAsia="黑体" w:cs="黑体"/>
          <w:b w:val="0"/>
          <w:bCs/>
          <w:sz w:val="24"/>
          <w:szCs w:val="24"/>
          <w:lang w:val="en-US" w:eastAsia="zh-CN"/>
        </w:rPr>
      </w:pPr>
    </w:p>
    <w:p w14:paraId="0E980CAC">
      <w:pPr>
        <w:bidi w:val="0"/>
        <w:rPr>
          <w:rFonts w:hint="eastAsia" w:ascii="黑体" w:hAnsi="黑体" w:eastAsia="黑体" w:cs="黑体"/>
          <w:b w:val="0"/>
          <w:bCs/>
          <w:sz w:val="24"/>
          <w:szCs w:val="24"/>
          <w:lang w:val="en-US" w:eastAsia="zh-CN"/>
        </w:rPr>
      </w:pPr>
    </w:p>
    <w:p w14:paraId="6A78A26E">
      <w:pPr>
        <w:bidi w:val="0"/>
        <w:rPr>
          <w:rFonts w:hint="eastAsia" w:ascii="黑体" w:hAnsi="黑体" w:eastAsia="黑体" w:cs="黑体"/>
          <w:b w:val="0"/>
          <w:bCs/>
          <w:sz w:val="24"/>
          <w:szCs w:val="24"/>
          <w:lang w:val="en-US" w:eastAsia="zh-CN"/>
        </w:rPr>
      </w:pPr>
    </w:p>
    <w:p w14:paraId="58EEDF94">
      <w:pPr>
        <w:pStyle w:val="2"/>
        <w:keepNext/>
        <w:keepLines/>
        <w:pageBreakBefore w:val="0"/>
        <w:widowControl w:val="0"/>
        <w:kinsoku/>
        <w:wordWrap/>
        <w:overflowPunct/>
        <w:topLinePunct w:val="0"/>
        <w:autoSpaceDE/>
        <w:autoSpaceDN/>
        <w:bidi w:val="0"/>
        <w:adjustRightInd/>
        <w:snapToGrid/>
        <w:spacing w:line="240" w:lineRule="auto"/>
        <w:ind w:firstLine="3092" w:firstLineChars="1100"/>
        <w:jc w:val="both"/>
        <w:textAlignment w:val="auto"/>
        <w:rPr>
          <w:rFonts w:hint="eastAsia"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六 参考文献</w:t>
      </w:r>
    </w:p>
    <w:p w14:paraId="259F04A4">
      <w:pPr>
        <w:numPr>
          <w:ilvl w:val="0"/>
          <w:numId w:val="0"/>
        </w:numPr>
        <w:bidi w:val="0"/>
        <w:rPr>
          <w:rFonts w:hint="eastAsia" w:ascii="黑体" w:hAnsi="黑体" w:eastAsia="黑体" w:cs="黑体"/>
          <w:b w:val="0"/>
          <w:bCs/>
          <w:sz w:val="24"/>
          <w:szCs w:val="24"/>
          <w:lang w:val="en-US" w:eastAsia="zh-CN"/>
        </w:rPr>
      </w:pPr>
      <w:r>
        <w:rPr>
          <w:rFonts w:hint="default" w:eastAsia="黑体" w:cs="黑体" w:asciiTheme="minorAscii" w:hAnsiTheme="minorAscii"/>
          <w:b/>
          <w:bCs w:val="0"/>
          <w:kern w:val="2"/>
          <w:sz w:val="24"/>
          <w:szCs w:val="24"/>
          <w:lang w:val="en-US" w:eastAsia="zh-CN" w:bidi="ar-SA"/>
        </w:rPr>
        <w:t>[1]</w:t>
      </w:r>
      <w:r>
        <w:rPr>
          <w:rFonts w:hint="eastAsia" w:ascii="黑体" w:hAnsi="黑体" w:eastAsia="黑体" w:cs="黑体"/>
          <w:b w:val="0"/>
          <w:bCs/>
          <w:sz w:val="24"/>
          <w:szCs w:val="24"/>
          <w:lang w:val="en-US" w:eastAsia="zh-CN"/>
        </w:rPr>
        <w:t>李长生</w:t>
      </w:r>
      <w:r>
        <w:rPr>
          <w:rFonts w:hint="default" w:eastAsia="黑体" w:cs="黑体" w:asciiTheme="minorAscii" w:hAnsiTheme="minorAscii"/>
          <w:b/>
          <w:bCs w:val="0"/>
          <w:sz w:val="24"/>
          <w:szCs w:val="24"/>
          <w:lang w:val="en-US" w:eastAsia="zh-CN"/>
        </w:rPr>
        <w:t>.</w:t>
      </w:r>
      <w:r>
        <w:rPr>
          <w:rFonts w:hint="default" w:eastAsia="黑体" w:cs="黑体" w:asciiTheme="minorAscii" w:hAnsiTheme="minorAscii"/>
          <w:b w:val="0"/>
          <w:bCs/>
          <w:sz w:val="24"/>
          <w:szCs w:val="24"/>
          <w:lang w:val="en-US" w:eastAsia="zh-CN"/>
        </w:rPr>
        <w:t>SARIMA</w:t>
      </w:r>
      <w:r>
        <w:rPr>
          <w:rFonts w:hint="eastAsia" w:ascii="黑体" w:hAnsi="黑体" w:eastAsia="黑体" w:cs="黑体"/>
          <w:b w:val="0"/>
          <w:bCs/>
          <w:sz w:val="24"/>
          <w:szCs w:val="24"/>
          <w:lang w:val="en-US" w:eastAsia="zh-CN"/>
        </w:rPr>
        <w:t>与</w:t>
      </w:r>
      <w:r>
        <w:rPr>
          <w:rFonts w:hint="default" w:eastAsia="黑体" w:cs="黑体" w:asciiTheme="minorAscii" w:hAnsiTheme="minorAscii"/>
          <w:b w:val="0"/>
          <w:bCs/>
          <w:sz w:val="24"/>
          <w:szCs w:val="24"/>
          <w:lang w:val="en-US" w:eastAsia="zh-CN"/>
        </w:rPr>
        <w:t>Prophet</w:t>
      </w:r>
      <w:r>
        <w:rPr>
          <w:rFonts w:hint="eastAsia" w:ascii="黑体" w:hAnsi="黑体" w:eastAsia="黑体" w:cs="黑体"/>
          <w:b w:val="0"/>
          <w:bCs/>
          <w:sz w:val="24"/>
          <w:szCs w:val="24"/>
          <w:lang w:val="en-US" w:eastAsia="zh-CN"/>
        </w:rPr>
        <w:t>的混合算法在时间序列预测中的应用研究</w:t>
      </w:r>
      <w:r>
        <w:rPr>
          <w:rFonts w:hint="eastAsia" w:ascii="黑体" w:hAnsi="黑体" w:eastAsia="黑体" w:cs="黑体"/>
          <w:b/>
          <w:bCs w:val="0"/>
          <w:sz w:val="24"/>
          <w:szCs w:val="24"/>
          <w:lang w:val="en-US" w:eastAsia="zh-CN"/>
        </w:rPr>
        <w:t>[J].</w:t>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s://kns.cnki.net/kcms2/organ/detail?v=GWCpWhBv_VMLezsY-xFZXOCAkdqTkc7l6sB0pqReRtXl70RpbDgXGps29ShlbTbKJgiCmDSuRK9D2YE5CmU-30oHeX8ZNL59J7EIA6XVyK2mmxmAdcq3MQlczFIrL-EkIYRpI_voV_2Nz3PdG7_fMsX_pYlvGx1lqQsAj3QecPXvo5I8CAoLv1NVBnJmVpCPlCWhi9ug7HzvuqPtuxFQUtiLg_rp-7I35lKPSd6tPJsgPgjAnNIe-Atellw-thBMbWSKqvQ3s4-5nPX7Mevrlw==&amp;uniplatform=NZKPT&amp;language=CHS" \t "https://kns.cnki.net/kcms2/article/_blank" </w:instrText>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14"/>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t>兰州石化职业技术大学信息工程学院</w:t>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黑体" w:hAnsi="黑体" w:eastAsia="黑体" w:cs="黑体"/>
          <w:b w:val="0"/>
          <w:bCs w:val="0"/>
          <w:i w:val="0"/>
          <w:iCs w:val="0"/>
          <w:caps w:val="0"/>
          <w:color w:val="000000" w:themeColor="text1"/>
          <w:spacing w:val="0"/>
          <w:sz w:val="24"/>
          <w:szCs w:val="24"/>
          <w:u w:val="none"/>
          <w:bdr w:val="none" w:color="auto" w:sz="0" w:space="0"/>
          <w:shd w:val="clear" w:fill="FFFFFF"/>
          <w:lang w:eastAsia="zh-CN"/>
          <w14:textFill>
            <w14:solidFill>
              <w14:schemeClr w14:val="tx1"/>
            </w14:solidFill>
          </w14:textFill>
        </w:rPr>
        <w:t>，</w:t>
      </w:r>
      <w:r>
        <w:rPr>
          <w:rFonts w:hint="default" w:eastAsia="黑体" w:cs="黑体" w:asciiTheme="minorAscii" w:hAnsiTheme="minorAscii"/>
          <w:b/>
          <w:bCs w:val="0"/>
          <w:sz w:val="24"/>
          <w:szCs w:val="24"/>
          <w:lang w:val="en-US" w:eastAsia="zh-CN"/>
        </w:rPr>
        <w:t>2025，46(01).</w:t>
      </w:r>
    </w:p>
    <w:p w14:paraId="380A8CA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黑体" w:hAnsi="黑体" w:eastAsia="黑体" w:cs="黑体"/>
          <w:i w:val="0"/>
          <w:iCs w:val="0"/>
          <w:caps w:val="0"/>
          <w:color w:val="000000" w:themeColor="text1"/>
          <w:spacing w:val="0"/>
          <w:sz w:val="24"/>
          <w:szCs w:val="24"/>
          <w:lang w:val="en-US" w:eastAsia="zh-CN"/>
          <w14:textFill>
            <w14:solidFill>
              <w14:schemeClr w14:val="tx1"/>
            </w14:solidFill>
          </w14:textFill>
        </w:rPr>
      </w:pPr>
      <w:r>
        <w:rPr>
          <w:rFonts w:hint="eastAsia" w:ascii="黑体" w:hAnsi="黑体" w:eastAsia="黑体" w:cs="黑体"/>
          <w:b/>
          <w:bCs w:val="0"/>
          <w:sz w:val="24"/>
          <w:szCs w:val="24"/>
          <w:lang w:val="en-US" w:eastAsia="zh-CN"/>
        </w:rPr>
        <w:t>[2]</w:t>
      </w:r>
      <w:r>
        <w:rPr>
          <w:rFonts w:hint="eastAsia" w:ascii="黑体" w:hAnsi="黑体" w:eastAsia="黑体" w:cs="黑体"/>
          <w:b w:val="0"/>
          <w:bCs/>
          <w:sz w:val="24"/>
          <w:szCs w:val="24"/>
          <w:lang w:val="en-US" w:eastAsia="zh-CN"/>
        </w:rPr>
        <w:t>赵洪英，菜乐才，李先杰</w:t>
      </w:r>
      <w:r>
        <w:rPr>
          <w:rFonts w:hint="eastAsia" w:ascii="黑体" w:hAnsi="黑体" w:eastAsia="黑体" w:cs="黑体"/>
          <w:b/>
          <w:bCs w:val="0"/>
          <w:sz w:val="24"/>
          <w:szCs w:val="24"/>
          <w:lang w:val="en-US" w:eastAsia="zh-CN"/>
        </w:rPr>
        <w:t>.</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fldChar w:fldCharType="begin"/>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instrText xml:space="preserve"> HYPERLINK "https://wenku.baidu.com/view/51cb1d4fe45c3b3567ec8baf?fr=xueshu_top" \t "https://xueshu.baidu.com/usercenter/paper/_blank" </w:instrTex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fldChar w:fldCharType="separate"/>
      </w:r>
      <w:r>
        <w:rPr>
          <w:rStyle w:val="14"/>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关联规则挖掘的</w:t>
      </w:r>
      <w:r>
        <w:rPr>
          <w:rStyle w:val="14"/>
          <w:rFonts w:hint="default" w:eastAsia="黑体" w:cs="黑体" w:asciiTheme="minorAscii" w:hAnsiTheme="minorAscii"/>
          <w:b w:val="0"/>
          <w:bCs w:val="0"/>
          <w:i w:val="0"/>
          <w:iCs w:val="0"/>
          <w:caps w:val="0"/>
          <w:color w:val="000000" w:themeColor="text1"/>
          <w:spacing w:val="0"/>
          <w:sz w:val="24"/>
          <w:szCs w:val="24"/>
          <w:u w:val="none"/>
          <w:bdr w:val="none" w:color="auto" w:sz="0" w:space="0"/>
          <w14:textFill>
            <w14:solidFill>
              <w14:schemeClr w14:val="tx1"/>
            </w14:solidFill>
          </w14:textFill>
        </w:rPr>
        <w:t>Apriori</w:t>
      </w:r>
      <w:r>
        <w:rPr>
          <w:rStyle w:val="14"/>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t>算法综述</w:t>
      </w:r>
      <w:r>
        <w:rPr>
          <w:rFonts w:hint="eastAsia" w:ascii="黑体" w:hAnsi="黑体" w:eastAsia="黑体" w:cs="黑体"/>
          <w:b w:val="0"/>
          <w:bCs w:val="0"/>
          <w:i w:val="0"/>
          <w:iCs w:val="0"/>
          <w:caps w:val="0"/>
          <w:color w:val="000000" w:themeColor="text1"/>
          <w:spacing w:val="0"/>
          <w:sz w:val="24"/>
          <w:szCs w:val="24"/>
          <w:u w:val="none"/>
          <w:bdr w:val="none" w:color="auto" w:sz="0" w:space="0"/>
          <w14:textFill>
            <w14:solidFill>
              <w14:schemeClr w14:val="tx1"/>
            </w14:solidFill>
          </w14:textFill>
        </w:rPr>
        <w:fldChar w:fldCharType="end"/>
      </w:r>
      <w:r>
        <w:rPr>
          <w:rFonts w:hint="default" w:eastAsia="黑体" w:cs="黑体" w:asciiTheme="minorAscii" w:hAnsiTheme="minorAscii"/>
          <w:b/>
          <w:bCs w:val="0"/>
          <w:sz w:val="24"/>
          <w:szCs w:val="24"/>
          <w:lang w:val="en-US" w:eastAsia="zh-CN"/>
        </w:rPr>
        <w:t>[J]</w:t>
      </w:r>
      <w:r>
        <w:rPr>
          <w:rFonts w:hint="default" w:eastAsia="黑体" w:cs="黑体" w:asciiTheme="minorAscii" w:hAnsiTheme="minorAscii"/>
          <w:b/>
          <w:bCs w:val="0"/>
          <w:sz w:val="24"/>
          <w:szCs w:val="24"/>
          <w:lang w:val="en-US" w:eastAsia="zh-CN"/>
        </w:rPr>
        <w:t>.</w:t>
      </w:r>
      <w:r>
        <w:rPr>
          <w:rFonts w:hint="eastAsia" w:ascii="黑体" w:hAnsi="黑体" w:eastAsia="黑体" w:cs="黑体"/>
          <w:b w:val="0"/>
          <w:bCs/>
          <w:sz w:val="24"/>
          <w:szCs w:val="24"/>
          <w:lang w:val="en-US" w:eastAsia="zh-CN"/>
        </w:rPr>
        <w:t>四川理工学院</w:t>
      </w:r>
      <w:r>
        <w:rPr>
          <w:rFonts w:hint="eastAsia" w:ascii="黑体" w:hAnsi="黑体" w:eastAsia="黑体" w:cs="黑体"/>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default" w:eastAsia="黑体" w:cs="黑体" w:asciiTheme="minorAscii" w:hAnsiTheme="minorAscii"/>
          <w:b/>
          <w:bCs w:val="0"/>
          <w:sz w:val="24"/>
          <w:szCs w:val="24"/>
          <w:lang w:val="en-US" w:eastAsia="zh-CN"/>
        </w:rPr>
        <w:t>2025，46(01).</w:t>
      </w:r>
      <w:r>
        <w:rPr>
          <w:rFonts w:hint="default" w:eastAsia="黑体" w:cs="黑体" w:asciiTheme="minorAscii" w:hAnsiTheme="minorAscii"/>
          <w:b/>
          <w:bCs/>
          <w:i w:val="0"/>
          <w:iCs w:val="0"/>
          <w:caps w:val="0"/>
          <w:color w:val="000000" w:themeColor="text1"/>
          <w:spacing w:val="0"/>
          <w:sz w:val="24"/>
          <w:szCs w:val="24"/>
          <w:bdr w:val="none" w:color="auto" w:sz="0" w:space="0"/>
          <w14:textFill>
            <w14:solidFill>
              <w14:schemeClr w14:val="tx1"/>
            </w14:solidFill>
          </w14:textFill>
        </w:rPr>
        <w:t>DOI：10.3969/j.issn.1673-1549.2011.01.019</w:t>
      </w:r>
      <w:r>
        <w:rPr>
          <w:rFonts w:hint="default" w:eastAsia="黑体" w:cs="黑体" w:asciiTheme="minorAscii" w:hAnsiTheme="minorAscii"/>
          <w:b/>
          <w:bCs/>
          <w:i w:val="0"/>
          <w:iCs w:val="0"/>
          <w:caps w:val="0"/>
          <w:color w:val="000000" w:themeColor="text1"/>
          <w:spacing w:val="0"/>
          <w:sz w:val="24"/>
          <w:szCs w:val="24"/>
          <w:bdr w:val="none" w:color="auto" w:sz="0" w:space="0"/>
          <w:lang w:val="en-US" w:eastAsia="zh-CN"/>
          <w14:textFill>
            <w14:solidFill>
              <w14:schemeClr w14:val="tx1"/>
            </w14:solidFill>
          </w14:textFill>
        </w:rPr>
        <w:t>.</w:t>
      </w:r>
    </w:p>
    <w:p w14:paraId="10397C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黑体" w:hAnsi="黑体" w:eastAsia="黑体" w:cs="黑体"/>
          <w:b/>
          <w:bCs w:val="0"/>
          <w:sz w:val="24"/>
          <w:szCs w:val="24"/>
          <w:lang w:val="en-US" w:eastAsia="zh-CN"/>
        </w:rPr>
      </w:pPr>
    </w:p>
    <w:p w14:paraId="6A4FE0F7">
      <w:pPr>
        <w:pStyle w:val="2"/>
        <w:keepNext/>
        <w:keepLines/>
        <w:pageBreakBefore w:val="0"/>
        <w:widowControl w:val="0"/>
        <w:kinsoku/>
        <w:wordWrap/>
        <w:overflowPunct/>
        <w:topLinePunct w:val="0"/>
        <w:autoSpaceDE/>
        <w:autoSpaceDN/>
        <w:bidi w:val="0"/>
        <w:adjustRightInd/>
        <w:snapToGrid/>
        <w:spacing w:line="240" w:lineRule="auto"/>
        <w:ind w:firstLine="3654" w:firstLineChars="1300"/>
        <w:jc w:val="both"/>
        <w:textAlignment w:val="auto"/>
        <w:rPr>
          <w:rFonts w:hint="default" w:ascii="黑体" w:hAnsi="黑体" w:eastAsia="黑体" w:cs="黑体"/>
          <w:b/>
          <w:bCs/>
          <w:color w:val="auto"/>
          <w:kern w:val="2"/>
          <w:sz w:val="28"/>
          <w:szCs w:val="28"/>
          <w:lang w:val="en-US" w:eastAsia="zh-CN" w:bidi="ar-SA"/>
        </w:rPr>
      </w:pPr>
      <w:r>
        <w:rPr>
          <w:rFonts w:hint="eastAsia" w:ascii="黑体" w:hAnsi="黑体" w:eastAsia="黑体" w:cs="黑体"/>
          <w:b/>
          <w:bCs/>
          <w:color w:val="auto"/>
          <w:kern w:val="2"/>
          <w:sz w:val="28"/>
          <w:szCs w:val="28"/>
          <w:lang w:val="en-US" w:eastAsia="zh-CN" w:bidi="ar-SA"/>
        </w:rPr>
        <w:t>七 附录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A41E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5EEAA0C5">
            <w:pPr>
              <w:pStyle w:val="7"/>
              <w:keepNext w:val="0"/>
              <w:keepLines w:val="0"/>
              <w:widowControl/>
              <w:suppressLineNumbers w:val="0"/>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BasicSQL</w:t>
            </w:r>
          </w:p>
        </w:tc>
      </w:tr>
      <w:tr w14:paraId="31A6A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auto"/>
          </w:tcPr>
          <w:p w14:paraId="34491A95">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dask.dataframe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dd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ddf = dd.read_csv(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chunk_size = </w:t>
            </w:r>
            <w:r>
              <w:rPr>
                <w:rFonts w:hint="default" w:ascii="monospace" w:hAnsi="monospace" w:eastAsia="monospace" w:cs="monospace"/>
                <w:color w:val="1750EB"/>
                <w:sz w:val="28"/>
                <w:szCs w:val="28"/>
                <w:shd w:val="clear" w:fill="FFFFFF"/>
              </w:rPr>
              <w:t xml:space="preserve">1000000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每个文件保存</w:t>
            </w:r>
            <w:r>
              <w:rPr>
                <w:rFonts w:hint="default" w:ascii="monospace" w:hAnsi="monospace" w:eastAsia="monospace" w:cs="monospace"/>
                <w:i/>
                <w:iCs/>
                <w:color w:val="8C8C8C"/>
                <w:sz w:val="28"/>
                <w:szCs w:val="28"/>
                <w:shd w:val="clear" w:fill="FFFFFF"/>
              </w:rPr>
              <w:t>100</w:t>
            </w:r>
            <w:r>
              <w:rPr>
                <w:rFonts w:hint="default" w:ascii="Courier New" w:hAnsi="Courier New" w:eastAsia="monospace" w:cs="Courier New"/>
                <w:i/>
                <w:iCs/>
                <w:color w:val="8C8C8C"/>
                <w:sz w:val="28"/>
                <w:szCs w:val="28"/>
                <w:shd w:val="clear" w:fill="FFFFFF"/>
              </w:rPr>
              <w:t>万行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chunk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chunksize</w:t>
            </w:r>
            <w:r>
              <w:rPr>
                <w:rFonts w:hint="default" w:ascii="monospace" w:hAnsi="monospace" w:eastAsia="monospace" w:cs="monospace"/>
                <w:color w:val="080808"/>
                <w:sz w:val="28"/>
                <w:szCs w:val="28"/>
                <w:shd w:val="clear" w:fill="FFFFFF"/>
              </w:rPr>
              <w:t>=chunk_size)):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chunk.to_excel(</w:t>
            </w:r>
            <w:r>
              <w:rPr>
                <w:rFonts w:hint="default" w:ascii="monospace" w:hAnsi="monospace" w:eastAsia="monospace" w:cs="monospace"/>
                <w:color w:val="067D17"/>
                <w:sz w:val="28"/>
                <w:szCs w:val="28"/>
                <w:shd w:val="clear" w:fill="FFFFFF"/>
              </w:rPr>
              <w:t>f</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i+</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.xlsx'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'completed'</w:t>
            </w:r>
            <w:r>
              <w:rPr>
                <w:rFonts w:hint="default" w:ascii="monospace" w:hAnsi="monospace" w:eastAsia="monospace" w:cs="monospace"/>
                <w:color w:val="080808"/>
                <w:sz w:val="28"/>
                <w:szCs w:val="28"/>
                <w:shd w:val="clear" w:fill="FFFFFF"/>
              </w:rPr>
              <w:t>)</w:t>
            </w:r>
          </w:p>
          <w:p w14:paraId="5E4AC527">
            <w:pPr>
              <w:numPr>
                <w:numId w:val="0"/>
              </w:numPr>
              <w:bidi w:val="0"/>
              <w:rPr>
                <w:rFonts w:hint="default" w:ascii="黑体" w:hAnsi="黑体" w:eastAsia="黑体" w:cs="黑体"/>
                <w:b w:val="0"/>
                <w:bCs/>
                <w:sz w:val="24"/>
                <w:szCs w:val="24"/>
                <w:vertAlign w:val="baseline"/>
                <w:lang w:val="en-US" w:eastAsia="zh-CN"/>
              </w:rPr>
            </w:pPr>
          </w:p>
        </w:tc>
      </w:tr>
    </w:tbl>
    <w:p w14:paraId="1EA5871F">
      <w:pPr>
        <w:bidi w:val="0"/>
        <w:rPr>
          <w:rFonts w:hint="default"/>
          <w:lang w:val="en-US" w:eastAsia="zh-CN"/>
        </w:rPr>
      </w:pPr>
    </w:p>
    <w:p w14:paraId="5B778E4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70B2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78857438">
            <w:pPr>
              <w:pStyle w:val="7"/>
              <w:keepNext w:val="0"/>
              <w:keepLines w:val="0"/>
              <w:widowControl/>
              <w:suppressLineNumbers w:val="0"/>
              <w:rPr>
                <w:rFonts w:hint="eastAsia" w:ascii="黑体" w:hAnsi="黑体" w:eastAsia="黑体" w:cs="黑体"/>
                <w:vertAlign w:val="baseline"/>
                <w:lang w:val="en-US" w:eastAsia="zh-CN"/>
              </w:rPr>
            </w:pPr>
            <w:r>
              <w:rPr>
                <w:rFonts w:hint="eastAsia" w:ascii="黑体" w:hAnsi="黑体" w:eastAsia="黑体" w:cs="黑体"/>
                <w:color w:val="080808"/>
                <w:sz w:val="24"/>
                <w:szCs w:val="24"/>
                <w:shd w:val="clear" w:fill="FFFFFF"/>
              </w:rPr>
              <w:t>question1-Category Classification</w:t>
            </w:r>
          </w:p>
        </w:tc>
      </w:tr>
      <w:tr w14:paraId="175F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BA04CA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读取数据并选择</w:t>
            </w:r>
            <w:r>
              <w:rPr>
                <w:rFonts w:hint="default" w:ascii="monospace" w:hAnsi="monospace" w:eastAsia="monospace" w:cs="monospace"/>
                <w:i/>
                <w:iCs/>
                <w:color w:val="8C8C8C"/>
                <w:sz w:val="28"/>
                <w:szCs w:val="28"/>
                <w:shd w:val="clear" w:fill="FFFFFF"/>
              </w:rPr>
              <w:t>28-31</w:t>
            </w:r>
            <w:r>
              <w:rPr>
                <w:rFonts w:hint="default" w:ascii="Courier New" w:hAnsi="Courier New" w:eastAsia="monospace" w:cs="Courier New"/>
                <w:i/>
                <w:iCs/>
                <w:color w:val="8C8C8C"/>
                <w:sz w:val="28"/>
                <w:szCs w:val="28"/>
                <w:shd w:val="clear" w:fill="FFFFFF"/>
              </w:rPr>
              <w:t>列（列索引</w:t>
            </w:r>
            <w:r>
              <w:rPr>
                <w:rFonts w:hint="default" w:ascii="monospace" w:hAnsi="monospace" w:eastAsia="monospace" w:cs="monospace"/>
                <w:i/>
                <w:iCs/>
                <w:color w:val="8C8C8C"/>
                <w:sz w:val="28"/>
                <w:szCs w:val="28"/>
                <w:shd w:val="clear" w:fill="FFFFFF"/>
              </w:rPr>
              <w:t>27-30</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usecols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三级品类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四级品类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打印数据预览</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数据预览：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(supermarket)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supermarket.to_csv(</w:t>
            </w:r>
            <w:r>
              <w:rPr>
                <w:rFonts w:hint="default" w:ascii="monospace" w:hAnsi="monospace" w:eastAsia="monospace" w:cs="monospace"/>
                <w:color w:val="067D17"/>
                <w:sz w:val="28"/>
                <w:szCs w:val="28"/>
                <w:shd w:val="clear" w:fill="FFFFFF"/>
              </w:rPr>
              <w:t>'question1-Category Classification.csv'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6CE7E785">
            <w:pPr>
              <w:bidi w:val="0"/>
              <w:rPr>
                <w:rFonts w:hint="default"/>
                <w:vertAlign w:val="baseline"/>
                <w:lang w:val="en-US" w:eastAsia="zh-CN"/>
              </w:rPr>
            </w:pPr>
          </w:p>
        </w:tc>
      </w:tr>
    </w:tbl>
    <w:p w14:paraId="6E06B037">
      <w:pPr>
        <w:bidi w:val="0"/>
        <w:rPr>
          <w:rFonts w:hint="default"/>
          <w:lang w:val="en-US" w:eastAsia="zh-CN"/>
        </w:rPr>
      </w:pPr>
    </w:p>
    <w:p w14:paraId="39D86E0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CE1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752A127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question1-oneamount</w:t>
            </w:r>
          </w:p>
        </w:tc>
      </w:tr>
      <w:tr w14:paraId="1A18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FB62E06">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26BDF3A7">
      <w:pPr>
        <w:bidi w:val="0"/>
        <w:rPr>
          <w:rFonts w:hint="default"/>
          <w:lang w:val="en-US" w:eastAsia="zh-CN"/>
        </w:rPr>
      </w:pPr>
    </w:p>
    <w:p w14:paraId="4126C79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0191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281BB26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question1-oneamount(see)</w:t>
            </w:r>
          </w:p>
        </w:tc>
      </w:tr>
      <w:tr w14:paraId="2CA3D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38BCC9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医疗保健</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非食</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1750EB"/>
                <w:sz w:val="28"/>
                <w:szCs w:val="28"/>
                <w:shd w:val="clear" w:fill="FFFFFF"/>
              </w:rPr>
              <w:t>11360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3263451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2012319</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w:t>
            </w:r>
            <w:r>
              <w:rPr>
                <w:rFonts w:hint="default" w:ascii="monospace" w:hAnsi="monospace" w:eastAsia="monospace" w:cs="monospace"/>
                <w:color w:val="067D17"/>
                <w:sz w:val="28"/>
                <w:szCs w:val="28"/>
                <w:shd w:val="clear" w:fill="FFFFFF"/>
              </w:rPr>
              <w:t>'#1f77b4'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'#ff7f0e'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'#2ca02c'</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'#d62728'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绘制柱状图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ax.bar(categories, 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bar.get_height()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ax.text(bar.get_x() + bar.get_width()/</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height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一级品类销售数量对比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移除网格线（去除虚线）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ax.grid(</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调整坐标轴样式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优化刻度标签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添加浅色背景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ax.set_facecolor(</w:t>
            </w:r>
            <w:r>
              <w:rPr>
                <w:rFonts w:hint="default" w:ascii="monospace" w:hAnsi="monospace" w:eastAsia="monospace" w:cs="monospace"/>
                <w:color w:val="067D17"/>
                <w:sz w:val="28"/>
                <w:szCs w:val="28"/>
                <w:shd w:val="clear" w:fill="FFFFFF"/>
              </w:rPr>
              <w:t>'#f9f9f9'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fig.patch.set_facecolor(</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1E29AAC8">
      <w:pPr>
        <w:bidi w:val="0"/>
        <w:rPr>
          <w:rFonts w:hint="default"/>
          <w:lang w:val="en-US" w:eastAsia="zh-CN"/>
        </w:rPr>
      </w:pPr>
    </w:p>
    <w:p w14:paraId="246F6E6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EA6A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3781A37F">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question1-onrprice</w:t>
            </w:r>
          </w:p>
        </w:tc>
      </w:tr>
      <w:tr w14:paraId="47EED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CC20EC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EDF14FE">
      <w:pPr>
        <w:bidi w:val="0"/>
        <w:rPr>
          <w:rFonts w:hint="default"/>
          <w:lang w:val="en-US" w:eastAsia="zh-CN"/>
        </w:rPr>
      </w:pPr>
    </w:p>
    <w:p w14:paraId="3691125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A003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31D8DB40">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question1-twoamout</w:t>
            </w:r>
          </w:p>
        </w:tc>
      </w:tr>
      <w:tr w14:paraId="7C53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4550CB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列（注意：</w:t>
            </w:r>
            <w:r>
              <w:rPr>
                <w:rFonts w:hint="default" w:ascii="monospace" w:hAnsi="monospace" w:eastAsia="monospace" w:cs="monospace"/>
                <w:i/>
                <w:iCs/>
                <w:color w:val="8C8C8C"/>
                <w:sz w:val="28"/>
                <w:szCs w:val="28"/>
                <w:shd w:val="clear" w:fill="FFFFFF"/>
              </w:rPr>
              <w:t>Python</w:t>
            </w:r>
            <w:r>
              <w:rPr>
                <w:rFonts w:hint="default" w:ascii="Courier New" w:hAnsi="Courier New" w:eastAsia="monospace" w:cs="Courier New"/>
                <w:i/>
                <w:iCs/>
                <w:color w:val="8C8C8C"/>
                <w:sz w:val="28"/>
                <w:szCs w:val="28"/>
                <w:shd w:val="clear" w:fill="FFFFFF"/>
              </w:rPr>
              <w:t>中列索引从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开始）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27</w:t>
            </w:r>
            <w:r>
              <w:rPr>
                <w:rFonts w:hint="default" w:ascii="Courier New" w:hAnsi="Courier New" w:eastAsia="monospace" w:cs="Courier New"/>
                <w:i/>
                <w:iCs/>
                <w:color w:val="8C8C8C"/>
                <w:sz w:val="28"/>
                <w:szCs w:val="28"/>
                <w:shd w:val="clear" w:fill="FFFFFF"/>
              </w:rPr>
              <w:t>索引，第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25</w:t>
            </w:r>
            <w:r>
              <w:rPr>
                <w:rFonts w:hint="default" w:ascii="Courier New" w:hAnsi="Courier New" w:eastAsia="monospace" w:cs="Courier New"/>
                <w:i/>
                <w:iCs/>
                <w:color w:val="8C8C8C"/>
                <w:sz w:val="28"/>
                <w:szCs w:val="28"/>
                <w:shd w:val="clear" w:fill="FFFFFF"/>
              </w:rPr>
              <w:t>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A24A421">
      <w:pPr>
        <w:bidi w:val="0"/>
        <w:rPr>
          <w:rFonts w:hint="default"/>
          <w:lang w:val="en-US" w:eastAsia="zh-CN"/>
        </w:rPr>
      </w:pPr>
    </w:p>
    <w:p w14:paraId="7CB2CBAE">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EF7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797B339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question1-twoamount(see)</w:t>
            </w:r>
          </w:p>
        </w:tc>
      </w:tr>
      <w:tr w14:paraId="0FB9C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329B28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56611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288479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44245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26581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27522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187407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46606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13580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437682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2635273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102634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3691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14323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1081992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368142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116</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创建图形</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categories_sorted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sales_sorted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使用渐变色</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plt.cm.viridis(np.linspace(</w:t>
            </w:r>
            <w:r>
              <w:rPr>
                <w:rFonts w:hint="default" w:ascii="monospace" w:hAnsi="monospace" w:eastAsia="monospace" w:cs="monospace"/>
                <w:color w:val="1750EB"/>
                <w:sz w:val="28"/>
                <w:szCs w:val="28"/>
                <w:shd w:val="clear" w:fill="FFFFFF"/>
              </w:rPr>
              <w:t>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ax.barh(categories_sorted, sales_sorted,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height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ax.text(width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二级品类销售数量排名</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轴为对数刻度（因数据量级差异大）</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ax.set_xscale(</w:t>
            </w:r>
            <w:r>
              <w:rPr>
                <w:rFonts w:hint="default" w:ascii="monospace" w:hAnsi="monospace" w:eastAsia="monospace" w:cs="monospace"/>
                <w:color w:val="067D17"/>
                <w:sz w:val="28"/>
                <w:szCs w:val="28"/>
                <w:shd w:val="clear" w:fill="FFFFFF"/>
              </w:rPr>
              <w:t>'log'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隐藏边框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spine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ax.spines[spine].set_visible(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调整刻度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w:t>
            </w:r>
            <w:r>
              <w:rPr>
                <w:rFonts w:hint="default" w:ascii="monospace" w:hAnsi="monospace" w:eastAsia="monospace" w:cs="monospace"/>
                <w:i/>
                <w:iCs/>
                <w:color w:val="8C8C8C"/>
                <w:sz w:val="28"/>
                <w:szCs w:val="28"/>
                <w:shd w:val="clear" w:fill="FFFFFF"/>
              </w:rPr>
              <w:t>y</w:t>
            </w:r>
            <w:r>
              <w:rPr>
                <w:rFonts w:hint="default" w:ascii="Courier New" w:hAnsi="Courier New" w:eastAsia="monospace" w:cs="Courier New"/>
                <w:i/>
                <w:iCs/>
                <w:color w:val="8C8C8C"/>
                <w:sz w:val="28"/>
                <w:szCs w:val="28"/>
                <w:shd w:val="clear" w:fill="FFFFFF"/>
              </w:rPr>
              <w:t>轴刻度线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添加参考线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添加图例说明</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ax.text(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采用对数坐标显示</w:t>
            </w:r>
            <w:r>
              <w:rPr>
                <w:rFonts w:hint="default" w:ascii="monospace" w:hAnsi="monospace" w:eastAsia="monospace" w:cs="monospace"/>
                <w:color w:val="067D17"/>
                <w:sz w:val="28"/>
                <w:szCs w:val="28"/>
                <w:shd w:val="clear" w:fill="FFFFFF"/>
              </w:rPr>
              <w:t xml:space="preserve"> | </w:t>
            </w:r>
            <w:r>
              <w:rPr>
                <w:rFonts w:hint="default" w:ascii="Courier New" w:hAnsi="Courier New" w:eastAsia="monospace" w:cs="Courier New"/>
                <w:color w:val="067D17"/>
                <w:sz w:val="28"/>
                <w:szCs w:val="28"/>
                <w:shd w:val="clear" w:fill="FFFFFF"/>
              </w:rPr>
              <w:t>数据来源：销售报表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transform</w:t>
            </w:r>
            <w:r>
              <w:rPr>
                <w:rFonts w:hint="default" w:ascii="monospace" w:hAnsi="monospace" w:eastAsia="monospace" w:cs="monospace"/>
                <w:color w:val="080808"/>
                <w:sz w:val="28"/>
                <w:szCs w:val="28"/>
                <w:shd w:val="clear" w:fill="FFFFFF"/>
              </w:rPr>
              <w:t>=ax.transAxes,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'category_sales_ranking.png'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p w14:paraId="2DDC8539">
            <w:pPr>
              <w:bidi w:val="0"/>
              <w:rPr>
                <w:rFonts w:hint="default"/>
                <w:vertAlign w:val="baseline"/>
                <w:lang w:val="en-US" w:eastAsia="zh-CN"/>
              </w:rPr>
            </w:pPr>
          </w:p>
        </w:tc>
      </w:tr>
    </w:tbl>
    <w:p w14:paraId="4909F066">
      <w:pPr>
        <w:bidi w:val="0"/>
        <w:rPr>
          <w:rFonts w:hint="default"/>
          <w:lang w:val="en-US" w:eastAsia="zh-CN"/>
        </w:rPr>
      </w:pPr>
    </w:p>
    <w:p w14:paraId="48B40778">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15B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52E419C8">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question1-twoprice</w:t>
            </w:r>
          </w:p>
        </w:tc>
      </w:tr>
      <w:tr w14:paraId="18909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AAF645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47114555">
      <w:pPr>
        <w:bidi w:val="0"/>
        <w:rPr>
          <w:rFonts w:hint="default"/>
          <w:lang w:val="en-US" w:eastAsia="zh-CN"/>
        </w:rPr>
      </w:pPr>
    </w:p>
    <w:p w14:paraId="11B973E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A33B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0E24078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question1-twoprice(see)</w:t>
            </w:r>
          </w:p>
        </w:tc>
      </w:tr>
      <w:tr w14:paraId="54D5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D4E486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mpl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设置中文字体和样式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黑体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1015161.26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2304534.48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223373.19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846415.23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71615.94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328405.39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1083863.55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305995.68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15536.59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114526.32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1295253.93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23948.93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13634.20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1513303.61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1052547.96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413367.35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145123.36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60169.55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76770.97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39499.73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5276976.99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3594422.66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10371.60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76487.39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30888.73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5160.82</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percentages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11.56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4.24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5.44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0.0013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26.46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18.03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0.03</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plt.cm.Blues(np.linspace(</w:t>
            </w:r>
            <w:r>
              <w:rPr>
                <w:rFonts w:hint="default" w:ascii="monospace" w:hAnsi="monospace" w:eastAsia="monospace" w:cs="monospace"/>
                <w:color w:val="1750EB"/>
                <w:sz w:val="28"/>
                <w:szCs w:val="28"/>
                <w:shd w:val="clear" w:fill="FFFFFF"/>
              </w:rPr>
              <w:t>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：条形图（</w:t>
            </w:r>
            <w:r>
              <w:rPr>
                <w:rFonts w:hint="default" w:ascii="monospace" w:hAnsi="monospace" w:eastAsia="monospace" w:cs="monospace"/>
                <w:i/>
                <w:iCs/>
                <w:color w:val="8C8C8C"/>
                <w:sz w:val="28"/>
                <w:szCs w:val="28"/>
                <w:shd w:val="clear" w:fill="FFFFFF"/>
              </w:rPr>
              <w:t>TOP15</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按销售额排序取前</w:t>
            </w:r>
            <w:r>
              <w:rPr>
                <w:rFonts w:hint="default" w:ascii="monospace" w:hAnsi="monospace" w:eastAsia="monospace" w:cs="monospace"/>
                <w:i/>
                <w:iCs/>
                <w:color w:val="8C8C8C"/>
                <w:sz w:val="28"/>
                <w:szCs w:val="28"/>
                <w:shd w:val="clear" w:fill="FFFFFF"/>
              </w:rPr>
              <w:t>15</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top_sales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bars = plt.barh(top_categories, top_sales,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=top_colors)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plt.text(width +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0.02</w:t>
            </w:r>
            <w:r>
              <w:rPr>
                <w:rFonts w:hint="default" w:ascii="monospace" w:hAnsi="monospace" w:eastAsia="monospace" w:cs="monospace"/>
                <w:color w:val="080808"/>
                <w:sz w:val="28"/>
                <w:szCs w:val="28"/>
                <w:shd w:val="clear" w:fill="FFFFFF"/>
              </w:rPr>
              <w:t>,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,.0f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'TOP15</w:t>
            </w:r>
            <w:r>
              <w:rPr>
                <w:rFonts w:hint="default" w:ascii="Courier New" w:hAnsi="Courier New" w:eastAsia="monospace" w:cs="Courier New"/>
                <w:color w:val="067D17"/>
                <w:sz w:val="28"/>
                <w:szCs w:val="28"/>
                <w:shd w:val="clear" w:fill="FFFFFF"/>
              </w:rPr>
              <w:t>二级品类销售额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销售额（元）</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2</w:t>
            </w:r>
            <w:r>
              <w:rPr>
                <w:rFonts w:hint="default" w:ascii="Courier New" w:hAnsi="Courier New" w:eastAsia="monospace" w:cs="Courier New"/>
                <w:i/>
                <w:iCs/>
                <w:color w:val="8C8C8C"/>
                <w:sz w:val="28"/>
                <w:szCs w:val="28"/>
                <w:shd w:val="clear" w:fill="FFFFFF"/>
              </w:rPr>
              <w:t>：饼图（</w:t>
            </w:r>
            <w:r>
              <w:rPr>
                <w:rFonts w:hint="default" w:ascii="monospace" w:hAnsi="monospace" w:eastAsia="monospace" w:cs="monospace"/>
                <w:i/>
                <w:iCs/>
                <w:color w:val="8C8C8C"/>
                <w:sz w:val="28"/>
                <w:szCs w:val="28"/>
                <w:shd w:val="clear" w:fill="FFFFFF"/>
              </w:rPr>
              <w:t>TOP8</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合并小品类为</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threshold = </w:t>
            </w:r>
            <w:r>
              <w:rPr>
                <w:rFonts w:hint="default" w:ascii="monospace" w:hAnsi="monospace" w:eastAsia="monospace" w:cs="monospace"/>
                <w:color w:val="1750EB"/>
                <w:sz w:val="28"/>
                <w:szCs w:val="28"/>
                <w:shd w:val="clear" w:fill="FFFFFF"/>
              </w:rPr>
              <w:t xml:space="preserve">3.0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百分比阈值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main_idx = [i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p &gt;= threshold]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other_percent = </w:t>
            </w:r>
            <w:r>
              <w:rPr>
                <w:rFonts w:hint="default" w:ascii="monospace" w:hAnsi="monospace" w:eastAsia="monospace" w:cs="monospace"/>
                <w:color w:val="000080"/>
                <w:sz w:val="28"/>
                <w:szCs w:val="28"/>
                <w:shd w:val="clear" w:fill="FFFFFF"/>
              </w:rPr>
              <w:t>sum</w:t>
            </w:r>
            <w:r>
              <w:rPr>
                <w:rFonts w:hint="default" w:ascii="monospace" w:hAnsi="monospace" w:eastAsia="monospace" w:cs="monospace"/>
                <w:color w:val="080808"/>
                <w:sz w:val="28"/>
                <w:szCs w:val="28"/>
                <w:shd w:val="clear" w:fill="FFFFFF"/>
              </w:rPr>
              <w:t xml:space="preserve">(p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not in </w:t>
            </w:r>
            <w:r>
              <w:rPr>
                <w:rFonts w:hint="default" w:ascii="monospace" w:hAnsi="monospace" w:eastAsia="monospace" w:cs="monospace"/>
                <w:color w:val="080808"/>
                <w:sz w:val="28"/>
                <w:szCs w:val="28"/>
                <w:shd w:val="clear" w:fill="FFFFFF"/>
              </w:rPr>
              <w:t>main_idx)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pie_percentages = [percentages[i]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[other_percent]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'#CCCCCC'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explode = [</w:t>
            </w:r>
            <w:r>
              <w:rPr>
                <w:rFonts w:hint="default" w:ascii="monospace" w:hAnsi="monospace" w:eastAsia="monospace" w:cs="monospace"/>
                <w:color w:val="1750EB"/>
                <w:sz w:val="28"/>
                <w:szCs w:val="28"/>
                <w:shd w:val="clear" w:fill="FFFFFF"/>
              </w:rPr>
              <w:t xml:space="preserve">0.1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i == pie_percentages.index(</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 xml:space="preserve">(pie_percentages)) </w:t>
            </w:r>
            <w:r>
              <w:rPr>
                <w:rFonts w:hint="default" w:ascii="monospace" w:hAnsi="monospace" w:eastAsia="monospace" w:cs="monospace"/>
                <w:color w:val="0033B3"/>
                <w:sz w:val="28"/>
                <w:szCs w:val="28"/>
                <w:shd w:val="clear" w:fill="FFFFFF"/>
              </w:rPr>
              <w:t xml:space="preserve">else </w:t>
            </w:r>
            <w:r>
              <w:rPr>
                <w:rFonts w:hint="default" w:ascii="monospace" w:hAnsi="monospace" w:eastAsia="monospace" w:cs="monospace"/>
                <w:color w:val="1750EB"/>
                <w:sz w:val="28"/>
                <w:szCs w:val="28"/>
                <w:shd w:val="clear" w:fill="FFFFFF"/>
              </w:rPr>
              <w:t xml:space="preserve">0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range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(pie_categories))]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wedges, texts = plt.pie(pie_percentages,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explode</w:t>
            </w:r>
            <w:r>
              <w:rPr>
                <w:rFonts w:hint="default" w:ascii="monospace" w:hAnsi="monospace" w:eastAsia="monospace" w:cs="monospace"/>
                <w:color w:val="080808"/>
                <w:sz w:val="28"/>
                <w:szCs w:val="28"/>
                <w:shd w:val="clear" w:fill="FFFFFF"/>
              </w:rPr>
              <w:t>=explode,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colors</w:t>
            </w:r>
            <w:r>
              <w:rPr>
                <w:rFonts w:hint="default" w:ascii="monospace" w:hAnsi="monospace" w:eastAsia="monospace" w:cs="monospace"/>
                <w:color w:val="080808"/>
                <w:sz w:val="28"/>
                <w:szCs w:val="28"/>
                <w:shd w:val="clear" w:fill="FFFFFF"/>
              </w:rPr>
              <w:t>=pie_colors,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startangle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wedgeprops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'linewidth'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'edgecolor'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添加旁注（图例）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plt.legend(wedges,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n</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p</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n,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zip</w:t>
            </w:r>
            <w:r>
              <w:rPr>
                <w:rFonts w:hint="default" w:ascii="monospace" w:hAnsi="monospace" w:eastAsia="monospace" w:cs="monospace"/>
                <w:color w:val="080808"/>
                <w:sz w:val="28"/>
                <w:szCs w:val="28"/>
                <w:shd w:val="clear" w:fill="FFFFFF"/>
              </w:rPr>
              <w:t>(pie_categories, 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title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品类占比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loc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 left"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bbox_to_anchor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二级品类销售额占比（</w:t>
            </w:r>
            <w:r>
              <w:rPr>
                <w:rFonts w:hint="default" w:ascii="monospace" w:hAnsi="monospace" w:eastAsia="monospace" w:cs="monospace"/>
                <w:color w:val="067D17"/>
                <w:sz w:val="28"/>
                <w:szCs w:val="28"/>
                <w:shd w:val="clear" w:fill="FFFFFF"/>
              </w:rPr>
              <w:t>TOP8+</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22A6045C">
      <w:pPr>
        <w:bidi w:val="0"/>
        <w:rPr>
          <w:rFonts w:hint="default"/>
          <w:lang w:val="en-US" w:eastAsia="zh-CN"/>
        </w:rPr>
      </w:pPr>
    </w:p>
    <w:p w14:paraId="5A9C276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2F0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6D91425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question2-bubblewater</w:t>
            </w:r>
          </w:p>
        </w:tc>
      </w:tr>
      <w:tr w14:paraId="0780F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07E5B6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'bubblewater.csv'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tc>
      </w:tr>
    </w:tbl>
    <w:p w14:paraId="38F02F03">
      <w:pPr>
        <w:bidi w:val="0"/>
        <w:rPr>
          <w:rFonts w:hint="default"/>
          <w:lang w:val="en-US" w:eastAsia="zh-CN"/>
        </w:rPr>
      </w:pPr>
    </w:p>
    <w:p w14:paraId="1DF9811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5CE7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6C0574AE">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question2-meat</w:t>
            </w:r>
          </w:p>
        </w:tc>
      </w:tr>
      <w:tr w14:paraId="56125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0049D69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冷藏肉制品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'meat.csv'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01DDAF7C">
            <w:pPr>
              <w:bidi w:val="0"/>
              <w:rPr>
                <w:rFonts w:hint="default"/>
                <w:vertAlign w:val="baseline"/>
                <w:lang w:val="en-US" w:eastAsia="zh-CN"/>
              </w:rPr>
            </w:pPr>
          </w:p>
        </w:tc>
      </w:tr>
    </w:tbl>
    <w:p w14:paraId="0EA02287">
      <w:pPr>
        <w:bidi w:val="0"/>
        <w:rPr>
          <w:rFonts w:hint="default"/>
          <w:lang w:val="en-US" w:eastAsia="zh-CN"/>
        </w:rPr>
      </w:pPr>
    </w:p>
    <w:p w14:paraId="31DFF7BB">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020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4C254FD2">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碳酸饮料季度可视化</w:t>
            </w:r>
          </w:p>
        </w:tc>
      </w:tr>
      <w:tr w14:paraId="58677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7AA2DB5">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设置中文字体支持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用来正常显示中文标签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用来正常显示负号</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months = [</w:t>
            </w:r>
            <w:r>
              <w:rPr>
                <w:rFonts w:hint="default" w:ascii="monospace" w:hAnsi="monospace" w:eastAsia="monospace" w:cs="monospace"/>
                <w:color w:val="067D17"/>
                <w:sz w:val="28"/>
                <w:szCs w:val="28"/>
                <w:shd w:val="clear" w:fill="FFFFFF"/>
              </w:rPr>
              <w:t>'2021-06'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seasonal_indices = [</w:t>
            </w:r>
            <w:r>
              <w:rPr>
                <w:rFonts w:hint="default" w:ascii="monospace" w:hAnsi="monospace" w:eastAsia="monospace" w:cs="monospace"/>
                <w:color w:val="1750EB"/>
                <w:sz w:val="28"/>
                <w:szCs w:val="28"/>
                <w:shd w:val="clear" w:fill="FFFFFF"/>
              </w:rPr>
              <w:t>1.359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2.298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0.567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0.690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绘制折线图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plt.plot(months, seasonal_indices, </w:t>
            </w:r>
            <w:r>
              <w:rPr>
                <w:rFonts w:hint="default" w:ascii="monospace" w:hAnsi="monospace" w:eastAsia="monospace" w:cs="monospace"/>
                <w:color w:val="660099"/>
                <w:sz w:val="28"/>
                <w:szCs w:val="28"/>
                <w:shd w:val="clear" w:fill="FFFFFF"/>
              </w:rPr>
              <w:t>marker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markerfacecolor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'red'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'darkred'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添加平均线（指数</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plt.axhline(</w:t>
            </w:r>
            <w:r>
              <w:rPr>
                <w:rFonts w:hint="default" w:ascii="monospace" w:hAnsi="monospace" w:eastAsia="monospace" w:cs="monospace"/>
                <w:color w:val="660099"/>
                <w:sz w:val="28"/>
                <w:szCs w:val="28"/>
                <w:shd w:val="clear" w:fill="FFFFFF"/>
              </w:rPr>
              <w:t>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'green'</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平均水平</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指数</w:t>
            </w:r>
            <w:r>
              <w:rPr>
                <w:rFonts w:hint="default" w:ascii="monospace" w:hAnsi="monospace" w:eastAsia="monospace" w:cs="monospace"/>
                <w:color w:val="067D17"/>
                <w:sz w:val="28"/>
                <w:szCs w:val="28"/>
                <w:shd w:val="clear" w:fill="FFFFFF"/>
              </w:rPr>
              <w:t>=1)'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设置标题和标签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碳酸饮料销售季节性指数变化趋势</w:t>
            </w:r>
            <w:r>
              <w:rPr>
                <w:rFonts w:hint="default" w:ascii="monospace" w:hAnsi="monospace" w:eastAsia="monospace" w:cs="monospace"/>
                <w:color w:val="067D17"/>
                <w:sz w:val="28"/>
                <w:szCs w:val="28"/>
                <w:shd w:val="clear" w:fill="FFFFFF"/>
              </w:rPr>
              <w:t xml:space="preserve"> (2021</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6</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-2022</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月份</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季节性指数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设置纵轴范围，更好地显示波动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plt.ylim(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旋转</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轴标签以避免重叠</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rotation</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45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添加网格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plt.grid(</w:t>
            </w:r>
            <w:r>
              <w:rPr>
                <w:rFonts w:hint="default" w:ascii="monospace" w:hAnsi="monospace" w:eastAsia="monospace" w:cs="monospace"/>
                <w:color w:val="0033B3"/>
                <w:sz w:val="28"/>
                <w:szCs w:val="28"/>
                <w:shd w:val="clear" w:fill="FFFFFF"/>
              </w:rPr>
              <w:t>True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在每个数据点上添加数值标签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v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(seasonal_indices):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plt.annotate(</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v</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.3f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(i, v), </w:t>
            </w:r>
            <w:r>
              <w:rPr>
                <w:rFonts w:hint="default" w:ascii="monospace" w:hAnsi="monospace" w:eastAsia="monospace" w:cs="monospace"/>
                <w:color w:val="660099"/>
                <w:sz w:val="28"/>
                <w:szCs w:val="28"/>
                <w:shd w:val="clear" w:fill="FFFFFF"/>
              </w:rPr>
              <w:t>textcoords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"offset points"</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xytext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调整布局</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5CAFA933">
      <w:pPr>
        <w:bidi w:val="0"/>
        <w:rPr>
          <w:rFonts w:hint="default"/>
          <w:lang w:val="en-US" w:eastAsia="zh-CN"/>
        </w:rPr>
      </w:pPr>
    </w:p>
    <w:p w14:paraId="45EDBE42">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FE2B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12CEB6F3">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Grouped_by_goods</w:t>
            </w:r>
          </w:p>
        </w:tc>
      </w:tr>
      <w:tr w14:paraId="34CB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FC72A07">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 xml:space="preserve"> goods_id </w:t>
            </w:r>
            <w:r>
              <w:rPr>
                <w:rFonts w:hint="default" w:ascii="Courier New" w:hAnsi="Courier New" w:eastAsia="monospace" w:cs="Courier New"/>
                <w:i/>
                <w:iCs/>
                <w:color w:val="8C8C8C"/>
                <w:sz w:val="28"/>
                <w:szCs w:val="28"/>
                <w:shd w:val="clear" w:fill="FFFFFF"/>
              </w:rPr>
              <w:t>分组，并保存每个分组到单独的</w:t>
            </w:r>
            <w:r>
              <w:rPr>
                <w:rFonts w:hint="default" w:ascii="monospace" w:hAnsi="monospace" w:eastAsia="monospace" w:cs="monospace"/>
                <w:i/>
                <w:iCs/>
                <w:color w:val="8C8C8C"/>
                <w:sz w:val="28"/>
                <w:szCs w:val="28"/>
                <w:shd w:val="clear" w:fill="FFFFFF"/>
              </w:rPr>
              <w:t xml:space="preserve"> CSV</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goods_id, group_data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df.groupby(</w:t>
            </w:r>
            <w:r>
              <w:rPr>
                <w:rFonts w:hint="default" w:ascii="monospace" w:hAnsi="monospace" w:eastAsia="monospace" w:cs="monospace"/>
                <w:color w:val="067D17"/>
                <w:sz w:val="28"/>
                <w:szCs w:val="28"/>
                <w:shd w:val="clear" w:fill="FFFFFF"/>
              </w:rPr>
              <w:t>'goods_id'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group_data.to_csv(</w:t>
            </w:r>
            <w:r>
              <w:rPr>
                <w:rFonts w:hint="default" w:ascii="monospace" w:hAnsi="monospace" w:eastAsia="monospace" w:cs="monospace"/>
                <w:color w:val="067D17"/>
                <w:sz w:val="28"/>
                <w:szCs w:val="28"/>
                <w:shd w:val="clear" w:fill="FFFFFF"/>
              </w:rPr>
              <w:t>'Grouped_by_goods.csv'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"compelte"</w:t>
            </w:r>
            <w:r>
              <w:rPr>
                <w:rFonts w:hint="default" w:ascii="monospace" w:hAnsi="monospace" w:eastAsia="monospace" w:cs="monospace"/>
                <w:color w:val="080808"/>
                <w:sz w:val="28"/>
                <w:szCs w:val="28"/>
                <w:shd w:val="clear" w:fill="FFFFFF"/>
              </w:rPr>
              <w:t>)</w:t>
            </w:r>
          </w:p>
        </w:tc>
      </w:tr>
    </w:tbl>
    <w:p w14:paraId="2E345156">
      <w:pPr>
        <w:bidi w:val="0"/>
        <w:rPr>
          <w:rFonts w:hint="default"/>
          <w:lang w:val="en-US" w:eastAsia="zh-CN"/>
        </w:rPr>
      </w:pPr>
    </w:p>
    <w:p w14:paraId="18DF3C3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F70E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CFCECE" w:themeFill="background2" w:themeFillShade="E5"/>
          </w:tcPr>
          <w:p w14:paraId="6FD6D595">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Grouped_by_bill</w:t>
            </w:r>
          </w:p>
        </w:tc>
      </w:tr>
      <w:tr w14:paraId="32D5F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A77F19C">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开始处理文件</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统计每个</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的记录数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bill_counts = 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显示统计信息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原始数据统计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总记录数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找出只有一条记录的</w:t>
            </w:r>
            <w:r>
              <w:rPr>
                <w:rFonts w:hint="default" w:ascii="monospace" w:hAnsi="monospace" w:eastAsia="monospace" w:cs="monospace"/>
                <w:i/>
                <w:iCs/>
                <w:color w:val="8C8C8C"/>
                <w:sz w:val="28"/>
                <w:szCs w:val="28"/>
                <w:shd w:val="clear" w:fill="FFFFFF"/>
              </w:rPr>
              <w:t>bills_id</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single_record_bills = bill_counts[bill_counts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multi_record_bills = bill_counts[bill_counts &gt;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(single_record_bills)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个只有一条记录的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(multi_record_bills)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个有多条记录的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删除只有一条记录的</w:t>
            </w:r>
            <w:r>
              <w:rPr>
                <w:rFonts w:hint="default" w:ascii="monospace" w:hAnsi="monospace" w:eastAsia="monospace" w:cs="monospace"/>
                <w:i/>
                <w:iCs/>
                <w:color w:val="8C8C8C"/>
                <w:sz w:val="28"/>
                <w:szCs w:val="28"/>
                <w:shd w:val="clear" w:fill="FFFFFF"/>
              </w:rPr>
              <w:t>bill</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df_filtered = df[~df[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].isin(single_record_bills)].copy()</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 = df_filtered.sort_values(</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保存到单个文件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df_sorted.to_csv(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处理完成！</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文件已保存为 </w:t>
            </w:r>
            <w:r>
              <w:rPr>
                <w:rFonts w:hint="default" w:ascii="monospace" w:hAnsi="monospace" w:eastAsia="monospace" w:cs="monospace"/>
                <w:color w:val="067D17"/>
                <w:sz w:val="28"/>
                <w:szCs w:val="28"/>
                <w:shd w:val="clear" w:fill="FFFFFF"/>
              </w:rPr>
              <w:t>'BOSS_sorted_by_bills_id.csv'"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显示一些示例数据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前</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个保留的</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及其记录数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retained_counts = 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].value_counts().head()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bill_id,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retained_counts.items():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f"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bill_id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count</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条记录</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p>
        </w:tc>
      </w:tr>
    </w:tbl>
    <w:p w14:paraId="23B4AFE9">
      <w:pPr>
        <w:bidi w:val="0"/>
        <w:rPr>
          <w:rFonts w:hint="default"/>
          <w:lang w:val="en-US" w:eastAsia="zh-CN"/>
        </w:rPr>
      </w:pPr>
    </w:p>
    <w:p w14:paraId="4EFA6EA3">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F673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25A8573B">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Apriori-support</w:t>
            </w:r>
          </w:p>
        </w:tc>
      </w:tr>
      <w:tr w14:paraId="6CBFE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E91B02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假设第一列列名为</w:t>
            </w:r>
            <w:r>
              <w:rPr>
                <w:rFonts w:hint="default" w:ascii="monospace" w:hAnsi="monospace" w:eastAsia="monospace" w:cs="monospace"/>
                <w:i/>
                <w:iCs/>
                <w:color w:val="8C8C8C"/>
                <w:sz w:val="28"/>
                <w:szCs w:val="28"/>
                <w:shd w:val="clear" w:fill="FFFFFF"/>
              </w:rPr>
              <w:t xml:space="preserve"> 'bills_id'</w:t>
            </w:r>
            <w:r>
              <w:rPr>
                <w:rFonts w:hint="default" w:ascii="Courier New" w:hAnsi="Courier New" w:eastAsia="monospace" w:cs="Courier New"/>
                <w:i/>
                <w:iCs/>
                <w:color w:val="8C8C8C"/>
                <w:sz w:val="28"/>
                <w:szCs w:val="28"/>
                <w:shd w:val="clear" w:fill="FFFFFF"/>
              </w:rPr>
              <w:t>，第七列列名为</w:t>
            </w:r>
            <w:r>
              <w:rPr>
                <w:rFonts w:hint="default" w:ascii="monospace" w:hAnsi="monospace" w:eastAsia="monospace" w:cs="monospace"/>
                <w:i/>
                <w:iCs/>
                <w:color w:val="8C8C8C"/>
                <w:sz w:val="28"/>
                <w:szCs w:val="28"/>
                <w:shd w:val="clear" w:fill="FFFFFF"/>
              </w:rPr>
              <w:t xml:space="preserve"> 'category'</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如果你的列名不同，请根据上面</w:t>
            </w:r>
            <w:r>
              <w:rPr>
                <w:rFonts w:hint="default" w:ascii="monospace" w:hAnsi="monospace" w:eastAsia="monospace" w:cs="monospace"/>
                <w:i/>
                <w:iCs/>
                <w:color w:val="8C8C8C"/>
                <w:sz w:val="28"/>
                <w:szCs w:val="28"/>
                <w:shd w:val="clear" w:fill="FFFFFF"/>
              </w:rPr>
              <w:t>head()</w:t>
            </w:r>
            <w:r>
              <w:rPr>
                <w:rFonts w:hint="default" w:ascii="Courier New" w:hAnsi="Courier New" w:eastAsia="monospace" w:cs="Courier New"/>
                <w:i/>
                <w:iCs/>
                <w:color w:val="8C8C8C"/>
                <w:sz w:val="28"/>
                <w:szCs w:val="28"/>
                <w:shd w:val="clear" w:fill="FFFFFF"/>
              </w:rPr>
              <w:t>打印的结果修改下面的列名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或</w:t>
            </w:r>
            <w:r>
              <w:rPr>
                <w:rFonts w:hint="default" w:ascii="monospace" w:hAnsi="monospace" w:eastAsia="monospace" w:cs="monospace"/>
                <w:i/>
                <w:iCs/>
                <w:color w:val="8C8C8C"/>
                <w:sz w:val="28"/>
                <w:szCs w:val="28"/>
                <w:shd w:val="clear" w:fill="FFFFFF"/>
              </w:rPr>
              <w:t>category</w:t>
            </w:r>
            <w:r>
              <w:rPr>
                <w:rFonts w:hint="default" w:ascii="Courier New" w:hAnsi="Courier New" w:eastAsia="monospace" w:cs="Courier New"/>
                <w:i/>
                <w:iCs/>
                <w:color w:val="8C8C8C"/>
                <w:sz w:val="28"/>
                <w:szCs w:val="28"/>
                <w:shd w:val="clear" w:fill="FFFFFF"/>
              </w:rPr>
              <w:t>为空的记录（如果存在）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df_clean = df.dropna(</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计算总交易账单数（唯一</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的数量）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df_clean[</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].nunique()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请将</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替换为你的实际列名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计算每个商品品类出现在多少笔交易中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因为同一个账单里同一个品类可能出现多次（例如买了多个同一品类的商品），我们需要先去除重复项</w:t>
            </w:r>
            <w:bookmarkStart w:id="0" w:name="_GoBack"/>
            <w:bookmarkEnd w:id="0"/>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我们只关心一个账单是否购买了某个品类，不关心购买了多少件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unique_transactions_per_item = df_clean.drop_duplicates(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item_frequency = unique_transactions_per_item[</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item_support = (item_frequency / total_transactions).round(</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round(4) </w:t>
            </w:r>
            <w:r>
              <w:rPr>
                <w:rFonts w:hint="default" w:ascii="Courier New" w:hAnsi="Courier New" w:eastAsia="monospace" w:cs="Courier New"/>
                <w:i/>
                <w:iCs/>
                <w:color w:val="8C8C8C"/>
                <w:sz w:val="28"/>
                <w:szCs w:val="28"/>
                <w:shd w:val="clear" w:fill="FFFFFF"/>
              </w:rPr>
              <w:t>保留</w:t>
            </w:r>
            <w:r>
              <w:rPr>
                <w:rFonts w:hint="default" w:ascii="monospace" w:hAnsi="monospace" w:eastAsia="monospace" w:cs="monospace"/>
                <w:i/>
                <w:iCs/>
                <w:color w:val="8C8C8C"/>
                <w:sz w:val="28"/>
                <w:szCs w:val="28"/>
                <w:shd w:val="clear" w:fill="FFFFFF"/>
              </w:rPr>
              <w:t>4</w:t>
            </w:r>
            <w:r>
              <w:rPr>
                <w:rFonts w:hint="default" w:ascii="Courier New" w:hAnsi="Courier New" w:eastAsia="monospace" w:cs="Courier New"/>
                <w:i/>
                <w:iCs/>
                <w:color w:val="8C8C8C"/>
                <w:sz w:val="28"/>
                <w:szCs w:val="28"/>
                <w:shd w:val="clear" w:fill="FFFFFF"/>
              </w:rPr>
              <w:t>位小数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将结果整合到一个清晰的数据框中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出现频次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item_frequency.values,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按支持度降序排列，方便查看最重要的商品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660099"/>
                <w:sz w:val="28"/>
                <w:szCs w:val="28"/>
                <w:shd w:val="clear" w:fill="FFFFFF"/>
              </w:rPr>
              <w:t>by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各商品品类支持度分析结果：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to_string(index=False)</w:t>
            </w:r>
            <w:r>
              <w:rPr>
                <w:rFonts w:hint="default" w:ascii="Courier New" w:hAnsi="Courier New" w:eastAsia="monospace" w:cs="Courier New"/>
                <w:i/>
                <w:iCs/>
                <w:color w:val="8C8C8C"/>
                <w:sz w:val="28"/>
                <w:szCs w:val="28"/>
                <w:shd w:val="clear" w:fill="FFFFFF"/>
              </w:rPr>
              <w:t>让输出更美观</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将结果保存到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'Apriori-support.csv'"</w:t>
            </w:r>
            <w:r>
              <w:rPr>
                <w:rFonts w:hint="default" w:ascii="monospace" w:hAnsi="monospace" w:eastAsia="monospace" w:cs="monospace"/>
                <w:color w:val="080808"/>
                <w:sz w:val="28"/>
                <w:szCs w:val="28"/>
                <w:shd w:val="clear" w:fill="FFFFFF"/>
              </w:rPr>
              <w:t>)</w:t>
            </w:r>
          </w:p>
          <w:p w14:paraId="2C4C3973">
            <w:pPr>
              <w:bidi w:val="0"/>
              <w:rPr>
                <w:rFonts w:hint="default"/>
                <w:vertAlign w:val="baseline"/>
                <w:lang w:val="en-US" w:eastAsia="zh-CN"/>
              </w:rPr>
            </w:pPr>
          </w:p>
        </w:tc>
      </w:tr>
    </w:tbl>
    <w:p w14:paraId="3138BE21">
      <w:pPr>
        <w:bidi w:val="0"/>
        <w:rPr>
          <w:rFonts w:hint="default"/>
          <w:lang w:val="en-US" w:eastAsia="zh-CN"/>
        </w:rPr>
      </w:pPr>
    </w:p>
    <w:p w14:paraId="61A03D9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05A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7D966F4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Apriori-support2</w:t>
            </w:r>
          </w:p>
        </w:tc>
      </w:tr>
      <w:tr w14:paraId="133D6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35B170B">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itertools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from </w:t>
            </w:r>
            <w:r>
              <w:rPr>
                <w:rFonts w:hint="default" w:ascii="monospace" w:hAnsi="monospace" w:eastAsia="monospace" w:cs="monospace"/>
                <w:color w:val="080808"/>
                <w:sz w:val="28"/>
                <w:szCs w:val="28"/>
                <w:shd w:val="clear" w:fill="FFFFFF"/>
              </w:rPr>
              <w:t xml:space="preserve">collections </w:t>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defaultdict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替换为你的文件名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bills_col = df.columns[</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第一列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mysl_category_name_lv2_col = df.columns[</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第七列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使用列</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账单</w:t>
            </w:r>
            <w:r>
              <w:rPr>
                <w:rFonts w:hint="default" w:ascii="monospace" w:hAnsi="monospace" w:eastAsia="monospace" w:cs="monospace"/>
                <w:color w:val="067D17"/>
                <w:sz w:val="28"/>
                <w:szCs w:val="28"/>
                <w:shd w:val="clear" w:fill="FFFFFF"/>
              </w:rPr>
              <w:t>ID-&gt;'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bills_col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mysl_category_name_lv2_col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数据预处理：去除重复的账单</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品类组合（一个账单中同一品类只计一次）</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df_unique = df.drop_duplicates(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=[bills_col, mysl_category_name_lv2_col])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df_unique[bills_col].nunique()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获取所有商品品类</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all_categories = df_unique[mysl_category_name_lv2_col].unique()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共有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(all_categories)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创建商品共现矩阵</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首先创建每个账单的商品列表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bill_items = df_unique.groupby(bills_col)[mysl_category_name_lv2_col].apply(</w:t>
            </w:r>
            <w:r>
              <w:rPr>
                <w:rFonts w:hint="default" w:ascii="monospace" w:hAnsi="monospace" w:eastAsia="monospace" w:cs="monospace"/>
                <w:color w:val="000080"/>
                <w:sz w:val="28"/>
                <w:szCs w:val="28"/>
                <w:shd w:val="clear" w:fill="FFFFFF"/>
              </w:rPr>
              <w:t>list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计算所有两两组合的支持度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support_dict = defaultdict(</w:t>
            </w:r>
            <w:r>
              <w:rPr>
                <w:rFonts w:hint="default" w:ascii="monospace" w:hAnsi="monospace" w:eastAsia="monospace" w:cs="monospace"/>
                <w:color w:val="000080"/>
                <w:sz w:val="28"/>
                <w:szCs w:val="28"/>
                <w:shd w:val="clear" w:fill="FFFFFF"/>
              </w:rPr>
              <w:t>float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item_pair_count = defaultdict(</w:t>
            </w:r>
            <w:r>
              <w:rPr>
                <w:rFonts w:hint="default" w:ascii="monospace" w:hAnsi="monospace" w:eastAsia="monospace" w:cs="monospace"/>
                <w:color w:val="000080"/>
                <w:sz w:val="28"/>
                <w:szCs w:val="28"/>
                <w:shd w:val="clear" w:fill="FFFFFF"/>
              </w:rPr>
              <w:t>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遍历每个账单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bill_items: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生成该账单中所有可能的两两组合</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itertools.combinations(</w:t>
            </w:r>
            <w:r>
              <w:rPr>
                <w:rFonts w:hint="default" w:ascii="monospace" w:hAnsi="monospace" w:eastAsia="monospace" w:cs="monospace"/>
                <w:color w:val="000080"/>
                <w:sz w:val="28"/>
                <w:szCs w:val="28"/>
                <w:shd w:val="clear" w:fill="FFFFFF"/>
              </w:rPr>
              <w:t>sorted</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sorted</w:t>
            </w:r>
            <w:r>
              <w:rPr>
                <w:rFonts w:hint="default" w:ascii="Courier New" w:hAnsi="Courier New" w:eastAsia="monospace" w:cs="Courier New"/>
                <w:i/>
                <w:iCs/>
                <w:color w:val="8C8C8C"/>
                <w:sz w:val="28"/>
                <w:szCs w:val="28"/>
                <w:shd w:val="clear" w:fill="FFFFFF"/>
              </w:rPr>
              <w:t>确保顺序一致</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80808"/>
                <w:sz w:val="28"/>
                <w:szCs w:val="28"/>
                <w:shd w:val="clear" w:fill="FFFFFF"/>
              </w:rPr>
              <w:t xml:space="preserve">item_pair_count[pair]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 = count / total_transactions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support_dict[pair] =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转换为</w:t>
            </w:r>
            <w:r>
              <w:rPr>
                <w:rFonts w:hint="default" w:ascii="monospace" w:hAnsi="monospace" w:eastAsia="monospace" w:cs="monospace"/>
                <w:i/>
                <w:iCs/>
                <w:color w:val="8C8C8C"/>
                <w:sz w:val="28"/>
                <w:szCs w:val="28"/>
                <w:shd w:val="clear" w:fill="FFFFFF"/>
              </w:rPr>
              <w:t>DataFrame</w:t>
            </w:r>
            <w:r>
              <w:rPr>
                <w:rFonts w:hint="default" w:ascii="Courier New" w:hAnsi="Courier New" w:eastAsia="monospace" w:cs="Courier New"/>
                <w:i/>
                <w:iCs/>
                <w:color w:val="8C8C8C"/>
                <w:sz w:val="28"/>
                <w:szCs w:val="28"/>
                <w:shd w:val="clear" w:fill="FFFFFF"/>
              </w:rPr>
              <w:t>并排序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A'</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B'</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出现次数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count,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9. </w:t>
            </w:r>
            <w:r>
              <w:rPr>
                <w:rFonts w:hint="default" w:ascii="Courier New" w:hAnsi="Courier New" w:eastAsia="monospace" w:cs="Courier New"/>
                <w:i/>
                <w:iCs/>
                <w:color w:val="8C8C8C"/>
                <w:sz w:val="28"/>
                <w:szCs w:val="28"/>
                <w:shd w:val="clear" w:fill="FFFFFF"/>
              </w:rPr>
              <w:t>显示结果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发现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(support_df)</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个商品两两组合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支持度最高的</w:t>
            </w:r>
            <w:r>
              <w:rPr>
                <w:rFonts w:hint="default" w:ascii="monospace" w:hAnsi="monospace" w:eastAsia="monospace" w:cs="monospace"/>
                <w:color w:val="067D17"/>
                <w:sz w:val="28"/>
                <w:szCs w:val="28"/>
                <w:shd w:val="clear" w:fill="FFFFFF"/>
              </w:rPr>
              <w:t>20</w:t>
            </w:r>
            <w:r>
              <w:rPr>
                <w:rFonts w:hint="default" w:ascii="Courier New" w:hAnsi="Courier New" w:eastAsia="monospace" w:cs="Courier New"/>
                <w:color w:val="067D17"/>
                <w:sz w:val="28"/>
                <w:szCs w:val="28"/>
                <w:shd w:val="clear" w:fill="FFFFFF"/>
              </w:rPr>
              <w:t>个商品组合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(support_df_sorted.head(</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10. </w:t>
            </w:r>
            <w:r>
              <w:rPr>
                <w:rFonts w:hint="default" w:ascii="Courier New" w:hAnsi="Courier New" w:eastAsia="monospace" w:cs="Courier New"/>
                <w:i/>
                <w:iCs/>
                <w:color w:val="8C8C8C"/>
                <w:sz w:val="28"/>
                <w:szCs w:val="28"/>
                <w:shd w:val="clear" w:fill="FFFFFF"/>
              </w:rPr>
              <w:t>保存结果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'Apriori-support2.csv'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'utf-8-sig'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'Apriori-support2.csv'"</w:t>
            </w:r>
            <w:r>
              <w:rPr>
                <w:rFonts w:hint="default" w:ascii="monospace" w:hAnsi="monospace" w:eastAsia="monospace" w:cs="monospace"/>
                <w:color w:val="080808"/>
                <w:sz w:val="28"/>
                <w:szCs w:val="28"/>
                <w:shd w:val="clear" w:fill="FFFFFF"/>
              </w:rPr>
              <w:t>)</w:t>
            </w:r>
          </w:p>
        </w:tc>
      </w:tr>
    </w:tbl>
    <w:p w14:paraId="28AF6841">
      <w:pPr>
        <w:bidi w:val="0"/>
        <w:rPr>
          <w:rFonts w:hint="default"/>
          <w:lang w:val="en-US" w:eastAsia="zh-CN"/>
        </w:rPr>
      </w:pPr>
    </w:p>
    <w:p w14:paraId="7C5B0D72">
      <w:pPr>
        <w:bidi w:val="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EF" w:usb1="4000A44B" w:usb2="00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Bradley Hand ITC">
    <w:panose1 w:val="03070402050302030203"/>
    <w:charset w:val="00"/>
    <w:family w:val="auto"/>
    <w:pitch w:val="default"/>
    <w:sig w:usb0="00000003" w:usb1="00000000" w:usb2="00000000" w:usb3="00000000" w:csb0="20000001"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Bahnschrift SemiBold SemiCondense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Tempus Sans ITC">
    <w:panose1 w:val="04020404030D07020202"/>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Segoe UI">
    <w:panose1 w:val="020B0502040204020203"/>
    <w:charset w:val="00"/>
    <w:family w:val="auto"/>
    <w:pitch w:val="default"/>
    <w:sig w:usb0="E4002EFF" w:usb1="C000E47F" w:usb2="00000009" w:usb3="00000000" w:csb0="200001F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汉仪君黑-45简">
    <w:panose1 w:val="020B0604020202020204"/>
    <w:charset w:val="86"/>
    <w:family w:val="auto"/>
    <w:pitch w:val="default"/>
    <w:sig w:usb0="A00002BF" w:usb1="0ACF7CFA" w:usb2="00000016" w:usb3="00000000" w:csb0="2004000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JetBrains Mono">
    <w:altName w:val="宋体"/>
    <w:panose1 w:val="00000000000000000000"/>
    <w:charset w:val="86"/>
    <w:family w:val="modern"/>
    <w:pitch w:val="default"/>
    <w:sig w:usb0="00000000" w:usb1="00000000" w:usb2="00000000" w:usb3="00000000" w:csb0="00040000" w:csb1="00000000"/>
  </w:font>
  <w:font w:name="Courier New">
    <w:panose1 w:val="02070309020205020404"/>
    <w:charset w:val="86"/>
    <w:family w:val="modern"/>
    <w:pitch w:val="default"/>
    <w:sig w:usb0="E0002EFF" w:usb1="C0007843" w:usb2="00000009" w:usb3="00000000" w:csb0="400001FF" w:csb1="FFFF0000"/>
  </w:font>
  <w:font w:name="monospace">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1A49"/>
    <w:rsid w:val="06BB0C4F"/>
    <w:rsid w:val="099423DF"/>
    <w:rsid w:val="1502636C"/>
    <w:rsid w:val="190F6BAC"/>
    <w:rsid w:val="1FEB2CED"/>
    <w:rsid w:val="67BA7281"/>
    <w:rsid w:val="6E235C3C"/>
    <w:rsid w:val="734E74F3"/>
    <w:rsid w:val="74F26A6B"/>
    <w:rsid w:val="7A4A489F"/>
    <w:rsid w:val="7F74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Indent"/>
    <w:basedOn w:val="1"/>
    <w:link w:val="16"/>
    <w:qFormat/>
    <w:uiPriority w:val="0"/>
    <w:pPr>
      <w:ind w:left="359" w:leftChars="171" w:firstLine="890" w:firstLineChars="371"/>
    </w:pPr>
    <w:rPr>
      <w:rFonts w:ascii="宋体" w:hAnsi="宋体"/>
      <w:i/>
      <w:iCs/>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character" w:customStyle="1" w:styleId="16">
    <w:name w:val="正文文本缩进 Char"/>
    <w:link w:val="6"/>
    <w:qFormat/>
    <w:uiPriority w:val="0"/>
    <w:rPr>
      <w:rFonts w:ascii="宋体" w:hAnsi="宋体"/>
      <w:i/>
      <w:iCs/>
      <w:sz w:val="24"/>
    </w:rPr>
  </w:style>
  <w:style w:type="character" w:customStyle="1" w:styleId="17">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3832</Words>
  <Characters>4095</Characters>
  <Lines>0</Lines>
  <Paragraphs>0</Paragraphs>
  <TotalTime>47</TotalTime>
  <ScaleCrop>false</ScaleCrop>
  <LinksUpToDate>false</LinksUpToDate>
  <CharactersWithSpaces>4167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2025-08-17T08:17:00Z</dcterms:created>
  <dc:creator>颜艺帝</dc:creator>
  <cp:lastModifiedBy>颜艺帝</cp:lastModifiedBy>
  <dcterms:modified xsi:type="dcterms:W3CDTF">2025-08-22T11:33:53Z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96FD4CEAA7034504A5D09373EBAC8623_13</vt:lpwstr>
  </property>
  <property fmtid="{D5CDD505-2E9C-101B-9397-08002B2CF9AE}" pid="4" name="KSOTemplateDocerSaveRecord">
    <vt:lpwstr>eyJoZGlkIjoiNTllOThmNmUyYjY1YzZlZTkyYmM4NTFmNjQ0NTAwNmMiLCJ1c2VySWQiOiIxNTUyMTI5MDA4In0=</vt:lpwstr>
  </property>
</Properties>
</file>