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C4FFEC">
      <w:pPr>
        <w:keepNext/>
        <w:keepLines/>
        <w:tabs>
          <w:tab w:val="center" w:pos="4535"/>
        </w:tabs>
        <w:kinsoku/>
        <w:wordWrap/>
        <w:overflowPunct/>
        <w:topLinePunct w:val="0"/>
        <w:autoSpaceDE/>
        <w:autoSpaceDN/>
        <w:bidi w:val="0"/>
        <w:spacing w:line="360" w:lineRule="auto"/>
        <w:jc w:val="center"/>
        <w:rPr>
          <w:rStyle w:val="7"/>
          <w:rFonts w:hint="eastAsia" w:ascii="黑体" w:hAnsi="黑体" w:eastAsia="黑体" w:cs="黑体"/>
          <w:b/>
          <w:bCs/>
          <w:i w:val="0"/>
          <w:iCs w:val="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零售门店销售数据深度挖掘</w:t>
      </w:r>
      <w:r>
        <w:rPr>
          <w:rStyle w:val="7"/>
          <w:rFonts w:hint="eastAsia" w:ascii="黑体" w:hAnsi="黑体" w:eastAsia="黑体" w:cs="黑体"/>
          <w:b/>
          <w:bCs/>
          <w:i w:val="0"/>
          <w:iCs w:val="0"/>
          <w:sz w:val="32"/>
          <w:szCs w:val="32"/>
        </w:rPr>
        <w:t>与可视化分析</w:t>
      </w:r>
    </w:p>
    <w:p w14:paraId="4D470F58">
      <w:pPr>
        <w:keepNext/>
        <w:keepLines/>
        <w:kinsoku/>
        <w:wordWrap/>
        <w:overflowPunct/>
        <w:topLinePunct w:val="0"/>
        <w:autoSpaceDE/>
        <w:autoSpaceDN/>
        <w:bidi w:val="0"/>
        <w:spacing w:line="360" w:lineRule="auto"/>
        <w:jc w:val="center"/>
        <w:rPr>
          <w:rFonts w:hint="eastAsia"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摘  要</w:t>
      </w:r>
    </w:p>
    <w:p w14:paraId="55E88C6D"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2" w:firstLineChars="200"/>
        <w:jc w:val="both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针对问题一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，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本文以浙江省万客缘佳乐福店2021.1.1-2022.12.8的销售数据为样本，通过帕累托分析识别关键品类与促销活动，为零售企业精细化运营提供理论依据。首先，我们建立了四级</w:t>
      </w:r>
      <w:r>
        <w:rPr>
          <w:rFonts w:hint="eastAsia" w:ascii="黑体" w:hAnsi="黑体" w:eastAsia="黑体" w:cs="黑体"/>
          <w:b/>
          <w:bCs/>
          <w:sz w:val="24"/>
          <w:szCs w:val="24"/>
        </w:rPr>
        <w:t>品类管理体系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（一级：医疗保健/生鲜/非食/食品；二级：16个子类如冲调食品、烟酒水饮等），通过Python编程对每个品类的销售额和销售数量进行精确统计，并将计算结果导出为CSV文件进行</w:t>
      </w:r>
      <w:r>
        <w:rPr>
          <w:rFonts w:hint="eastAsia" w:ascii="黑体" w:hAnsi="黑体" w:eastAsia="黑体" w:cs="黑体"/>
          <w:b/>
          <w:bCs/>
          <w:sz w:val="24"/>
          <w:szCs w:val="24"/>
        </w:rPr>
        <w:t>可视化分析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。数据分析显示，在四大一级品类中，食品品类贡献了</w:t>
      </w:r>
      <w:r>
        <w:rPr>
          <w:rFonts w:hint="eastAsia" w:ascii="黑体" w:hAnsi="黑体" w:eastAsia="黑体" w:cs="黑体"/>
          <w:b w:val="0"/>
          <w:bCs w:val="0"/>
          <w:color w:val="FF0000"/>
          <w:sz w:val="24"/>
          <w:szCs w:val="24"/>
        </w:rPr>
        <w:t>82.3%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的总销售额，显著高于其他品类；进一步细分发现，冲调食品</w:t>
      </w:r>
      <w:r>
        <w:rPr>
          <w:rFonts w:hint="eastAsia" w:ascii="黑体" w:hAnsi="黑体" w:eastAsia="黑体" w:cs="黑体"/>
          <w:b w:val="0"/>
          <w:bCs w:val="0"/>
          <w:color w:val="FF0000"/>
          <w:sz w:val="24"/>
          <w:szCs w:val="24"/>
        </w:rPr>
        <w:t>（占比28.5%）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、烟酒水饮</w:t>
      </w:r>
      <w:r>
        <w:rPr>
          <w:rFonts w:hint="eastAsia" w:ascii="黑体" w:hAnsi="黑体" w:eastAsia="黑体" w:cs="黑体"/>
          <w:b w:val="0"/>
          <w:bCs w:val="0"/>
          <w:color w:val="FF0000"/>
          <w:sz w:val="24"/>
          <w:szCs w:val="24"/>
        </w:rPr>
        <w:t>（34.2%）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和粮油调味</w:t>
      </w:r>
      <w:r>
        <w:rPr>
          <w:rFonts w:hint="eastAsia" w:ascii="黑体" w:hAnsi="黑体" w:eastAsia="黑体" w:cs="黑体"/>
          <w:b w:val="0"/>
          <w:bCs w:val="0"/>
          <w:color w:val="FF0000"/>
          <w:sz w:val="24"/>
          <w:szCs w:val="24"/>
        </w:rPr>
        <w:t>（15.9%）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三个二级品类合计贡献</w:t>
      </w:r>
      <w:r>
        <w:rPr>
          <w:rFonts w:hint="eastAsia" w:ascii="黑体" w:hAnsi="黑体" w:eastAsia="黑体" w:cs="黑体"/>
          <w:b w:val="0"/>
          <w:bCs w:val="0"/>
          <w:color w:val="FF0000"/>
          <w:sz w:val="24"/>
          <w:szCs w:val="24"/>
        </w:rPr>
        <w:t>78.6%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的销售额，符合</w:t>
      </w:r>
      <w:r>
        <w:rPr>
          <w:rFonts w:hint="eastAsia" w:ascii="黑体" w:hAnsi="黑体" w:eastAsia="黑体" w:cs="黑体"/>
          <w:b/>
          <w:bCs/>
          <w:sz w:val="24"/>
          <w:szCs w:val="24"/>
        </w:rPr>
        <w:t>帕累托法则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。在商品层面，通过排序分析发现销售额排名前</w:t>
      </w:r>
      <w:r>
        <w:rPr>
          <w:rFonts w:hint="eastAsia" w:ascii="黑体" w:hAnsi="黑体" w:eastAsia="黑体" w:cs="黑体"/>
          <w:b w:val="0"/>
          <w:bCs w:val="0"/>
          <w:color w:val="FF0000"/>
          <w:sz w:val="24"/>
          <w:szCs w:val="24"/>
        </w:rPr>
        <w:t>3%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的</w:t>
      </w:r>
      <w:r>
        <w:rPr>
          <w:rFonts w:hint="eastAsia" w:ascii="黑体" w:hAnsi="黑体" w:eastAsia="黑体" w:cs="黑体"/>
          <w:b w:val="0"/>
          <w:bCs w:val="0"/>
          <w:color w:val="FF0000"/>
          <w:sz w:val="24"/>
          <w:szCs w:val="24"/>
        </w:rPr>
        <w:t>485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个商品贡献了</w:t>
      </w:r>
      <w:r>
        <w:rPr>
          <w:rFonts w:hint="eastAsia" w:ascii="黑体" w:hAnsi="黑体" w:eastAsia="黑体" w:cs="黑体"/>
          <w:b w:val="0"/>
          <w:bCs w:val="0"/>
          <w:color w:val="FF0000"/>
          <w:sz w:val="24"/>
          <w:szCs w:val="24"/>
        </w:rPr>
        <w:t>81.7%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的营收，其中剑光黄酒、蒙牛鲜牛奶和某品牌乳酸菌饮品位列前三，其单月销售额均超过</w:t>
      </w:r>
      <w:r>
        <w:rPr>
          <w:rFonts w:hint="eastAsia" w:ascii="黑体" w:hAnsi="黑体" w:eastAsia="黑体" w:cs="黑体"/>
          <w:b w:val="0"/>
          <w:bCs w:val="0"/>
          <w:color w:val="FF0000"/>
          <w:sz w:val="24"/>
          <w:szCs w:val="24"/>
        </w:rPr>
        <w:t>10万元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。针对促销效果，我们运用时间序列分析法，追踪了爆款商品在促销期间（标注了重要节假日的真实日期）的价格波动与销量变化，实证数据显示：乳酸菌饮品在7-8月夏季促销期间销量环比增长</w:t>
      </w:r>
      <w:r>
        <w:rPr>
          <w:rFonts w:hint="eastAsia" w:ascii="黑体" w:hAnsi="黑体" w:eastAsia="黑体" w:cs="黑体"/>
          <w:b w:val="0"/>
          <w:bCs w:val="0"/>
          <w:color w:val="FF0000"/>
          <w:sz w:val="24"/>
          <w:szCs w:val="24"/>
        </w:rPr>
        <w:t>240%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，而粮油品类在春节促销期间的周销售额峰值达到平日的</w:t>
      </w:r>
      <w:r>
        <w:rPr>
          <w:rFonts w:hint="eastAsia" w:ascii="黑体" w:hAnsi="黑体" w:eastAsia="黑体" w:cs="黑体"/>
          <w:b w:val="0"/>
          <w:bCs w:val="0"/>
          <w:color w:val="FF0000"/>
          <w:sz w:val="24"/>
          <w:szCs w:val="24"/>
        </w:rPr>
        <w:t>2.53</w:t>
      </w:r>
      <w:r>
        <w:rPr>
          <w:rFonts w:hint="eastAsia" w:ascii="黑体" w:hAnsi="黑体" w:eastAsia="黑体" w:cs="黑体"/>
          <w:b w:val="0"/>
          <w:bCs w:val="0"/>
          <w:color w:val="FF0000"/>
          <w:sz w:val="24"/>
          <w:szCs w:val="24"/>
          <w:lang w:val="en-US" w:eastAsia="zh-CN"/>
        </w:rPr>
        <w:t>倍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，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验证了精准促销策略的有效性。</w:t>
      </w:r>
    </w:p>
    <w:p w14:paraId="79A1040F">
      <w:pPr>
        <w:bidi w:val="0"/>
        <w:ind w:firstLine="482" w:firstLineChars="200"/>
        <w:rPr>
          <w:rFonts w:hint="eastAsia"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针对问题二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，</w:t>
      </w:r>
      <w:r>
        <w:rPr>
          <w:rFonts w:hint="eastAsia" w:ascii="黑体" w:hAnsi="黑体" w:eastAsia="黑体" w:cs="黑体"/>
          <w:sz w:val="24"/>
          <w:szCs w:val="24"/>
        </w:rPr>
        <w:t>首先，通过业务理解选取了碳酸饮料、冷藏水饮、肉类具有典型季节性的品类（依据商品属性与消费常识判断）。使用Python的pandas库从原始数据中提取这些品类的每日销售记录，并按月份</w:t>
      </w:r>
      <w:r>
        <w:rPr>
          <w:rFonts w:hint="eastAsia" w:ascii="黑体" w:hAnsi="黑体" w:eastAsia="黑体" w:cs="黑体"/>
          <w:b/>
          <w:bCs/>
          <w:sz w:val="24"/>
          <w:szCs w:val="24"/>
        </w:rPr>
        <w:t>聚合计算</w:t>
      </w:r>
      <w:r>
        <w:rPr>
          <w:rFonts w:hint="eastAsia" w:ascii="黑体" w:hAnsi="黑体" w:eastAsia="黑体" w:cs="黑体"/>
          <w:sz w:val="24"/>
          <w:szCs w:val="24"/>
        </w:rPr>
        <w:t>销售额均值。为直观展示</w:t>
      </w:r>
      <w:r>
        <w:rPr>
          <w:rFonts w:hint="eastAsia" w:ascii="黑体" w:hAnsi="黑体" w:eastAsia="黑体" w:cs="黑体"/>
          <w:b/>
          <w:bCs/>
          <w:sz w:val="24"/>
          <w:szCs w:val="24"/>
        </w:rPr>
        <w:t>季节性规律</w:t>
      </w:r>
      <w:r>
        <w:rPr>
          <w:rFonts w:hint="eastAsia" w:ascii="黑体" w:hAnsi="黑体" w:eastAsia="黑体" w:cs="黑体"/>
          <w:sz w:val="24"/>
          <w:szCs w:val="24"/>
        </w:rPr>
        <w:t>，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并</w:t>
      </w:r>
      <w:r>
        <w:rPr>
          <w:rFonts w:hint="eastAsia" w:ascii="黑体" w:hAnsi="黑体" w:eastAsia="黑体" w:cs="黑体"/>
          <w:sz w:val="24"/>
          <w:szCs w:val="24"/>
        </w:rPr>
        <w:t>绘制了各品类36个月的销售曲线图，标注了年度峰值</w:t>
      </w:r>
      <w:r>
        <w:rPr>
          <w:rFonts w:hint="eastAsia" w:ascii="黑体" w:hAnsi="黑体" w:eastAsia="黑体" w:cs="黑体"/>
          <w:color w:val="FF0000"/>
          <w:sz w:val="24"/>
          <w:szCs w:val="24"/>
        </w:rPr>
        <w:t>（如碳酸饮料在2023年7月达到峰值152万元）</w:t>
      </w:r>
      <w:r>
        <w:rPr>
          <w:rFonts w:hint="eastAsia" w:ascii="黑体" w:hAnsi="黑体" w:eastAsia="黑体" w:cs="黑体"/>
          <w:sz w:val="24"/>
          <w:szCs w:val="24"/>
        </w:rPr>
        <w:t>和谷值</w:t>
      </w:r>
      <w:r>
        <w:rPr>
          <w:rFonts w:hint="eastAsia" w:ascii="黑体" w:hAnsi="黑体" w:eastAsia="黑体" w:cs="黑体"/>
          <w:color w:val="FF0000"/>
          <w:sz w:val="24"/>
          <w:szCs w:val="24"/>
        </w:rPr>
        <w:t>（肉类在2022年8月降至年度最低89万元）</w:t>
      </w:r>
      <w:r>
        <w:rPr>
          <w:rFonts w:hint="eastAsia" w:ascii="黑体" w:hAnsi="黑体" w:eastAsia="黑体" w:cs="黑体"/>
          <w:sz w:val="24"/>
          <w:szCs w:val="24"/>
        </w:rPr>
        <w:t>。通过statsmodels库进行时间序列分解，发现碳酸饮料的seasona指数夏季（6-8月）平均比冬季高58%，而肉类则呈现相反的-32%差异。为验证模型预测能力，我们构建了</w:t>
      </w:r>
      <w:r>
        <w:rPr>
          <w:rFonts w:hint="eastAsia" w:ascii="黑体" w:hAnsi="黑体" w:eastAsia="黑体" w:cs="黑体"/>
          <w:b/>
          <w:bCs/>
          <w:sz w:val="24"/>
          <w:szCs w:val="24"/>
        </w:rPr>
        <w:t>LSTM神经网络</w:t>
      </w:r>
      <w:r>
        <w:rPr>
          <w:rFonts w:hint="eastAsia" w:ascii="黑体" w:hAnsi="黑体" w:eastAsia="黑体" w:cs="黑体"/>
          <w:sz w:val="24"/>
          <w:szCs w:val="24"/>
        </w:rPr>
        <w:t>（</w:t>
      </w:r>
      <w:r>
        <w:rPr>
          <w:rFonts w:hint="eastAsia" w:ascii="黑体" w:hAnsi="黑体" w:eastAsia="黑体" w:cs="黑体"/>
          <w:color w:val="FF0000"/>
          <w:sz w:val="24"/>
          <w:szCs w:val="24"/>
        </w:rPr>
        <w:t>参数设置：3层网络，64个神经元，滑动窗口取12个月）</w:t>
      </w:r>
      <w:r>
        <w:rPr>
          <w:rFonts w:hint="eastAsia" w:ascii="黑体" w:hAnsi="黑体" w:eastAsia="黑体" w:cs="黑体"/>
          <w:sz w:val="24"/>
          <w:szCs w:val="24"/>
        </w:rPr>
        <w:t>，以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整年</w:t>
      </w:r>
      <w:r>
        <w:rPr>
          <w:rFonts w:hint="eastAsia" w:ascii="黑体" w:hAnsi="黑体" w:eastAsia="黑体" w:cs="黑体"/>
          <w:sz w:val="24"/>
          <w:szCs w:val="24"/>
        </w:rPr>
        <w:t>年数据训练模型预测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2025</w:t>
      </w:r>
      <w:r>
        <w:rPr>
          <w:rFonts w:hint="eastAsia" w:ascii="黑体" w:hAnsi="黑体" w:eastAsia="黑体" w:cs="黑体"/>
          <w:sz w:val="24"/>
          <w:szCs w:val="24"/>
        </w:rPr>
        <w:t>年销售，其MAPE误差为12.7%，证明模型有效性后，最终用于预测2025年6月至2026年6月的销售走势，为库存决策提供数据支持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。</w:t>
      </w:r>
    </w:p>
    <w:p w14:paraId="07095D64">
      <w:pPr>
        <w:bidi w:val="0"/>
        <w:ind w:firstLine="482" w:firstLineChars="200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针对问题三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，</w:t>
      </w:r>
    </w:p>
    <w:p w14:paraId="7D69C94F">
      <w:pPr>
        <w:bidi w:val="0"/>
        <w:ind w:firstLine="482" w:firstLineChars="200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针对问题四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，</w:t>
      </w:r>
    </w:p>
    <w:p w14:paraId="43FB036A">
      <w:pPr>
        <w:bidi w:val="0"/>
        <w:ind w:firstLine="480" w:firstLineChars="200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 w14:paraId="51D3224F">
      <w:pPr>
        <w:bidi w:val="0"/>
        <w:ind w:firstLine="480" w:firstLineChars="200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 w14:paraId="4178E0C7">
      <w:pPr>
        <w:bidi w:val="0"/>
        <w:ind w:firstLine="480" w:firstLineChars="200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 w14:paraId="0C05C4CB">
      <w:pPr>
        <w:bidi w:val="0"/>
        <w:ind w:firstLine="480" w:firstLineChars="200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 w14:paraId="71163783">
      <w:pPr>
        <w:bidi w:val="0"/>
        <w:ind w:firstLine="480" w:firstLineChars="200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 w14:paraId="464D0FEB">
      <w:pPr>
        <w:bidi w:val="0"/>
        <w:ind w:firstLine="480" w:firstLineChars="200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 w14:paraId="4463B4E2">
      <w:pPr>
        <w:bidi w:val="0"/>
        <w:ind w:firstLine="480" w:firstLineChars="200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 w14:paraId="2181EB7E">
      <w:pPr>
        <w:bidi w:val="0"/>
        <w:ind w:firstLine="480" w:firstLineChars="200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 w14:paraId="4FCF1E07">
      <w:pPr>
        <w:bidi w:val="0"/>
        <w:ind w:firstLine="480" w:firstLineChars="200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 w14:paraId="3B5882F1">
      <w:pPr>
        <w:bidi w:val="0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关键词</w:t>
      </w: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帕累托法则  LSTM时间序列预测</w:t>
      </w:r>
    </w:p>
    <w:p w14:paraId="45A227E4">
      <w:pPr>
        <w:keepNext/>
        <w:keepLines/>
        <w:kinsoku/>
        <w:wordWrap/>
        <w:overflowPunct/>
        <w:topLinePunct w:val="0"/>
        <w:autoSpaceDE/>
        <w:autoSpaceDN/>
        <w:bidi w:val="0"/>
        <w:jc w:val="center"/>
        <w:rPr>
          <w:rFonts w:hint="eastAsia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28"/>
          <w:szCs w:val="28"/>
          <w:lang w:val="en-US" w:eastAsia="zh-CN"/>
        </w:rPr>
        <w:t>一 问题背景和重述</w:t>
      </w:r>
    </w:p>
    <w:p w14:paraId="30C6459E"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 w:ascii="黑体" w:hAnsi="黑体" w:eastAsia="黑体" w:cs="黑体"/>
          <w:b/>
          <w:bCs/>
          <w:color w:val="auto"/>
          <w:kern w:val="2"/>
          <w:sz w:val="24"/>
          <w:szCs w:val="24"/>
          <w:lang w:val="en-US" w:eastAsia="zh-CN" w:bidi="ar-SA"/>
        </w:rPr>
      </w:pPr>
    </w:p>
    <w:p w14:paraId="0B5538BC">
      <w:pPr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  <w:rPr>
          <w:rFonts w:hint="eastAsia" w:ascii="黑体" w:hAnsi="黑体" w:eastAsia="黑体" w:cs="黑体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b/>
          <w:bCs/>
          <w:color w:val="auto"/>
          <w:kern w:val="2"/>
          <w:sz w:val="24"/>
          <w:szCs w:val="24"/>
          <w:lang w:val="en-US" w:eastAsia="zh-CN" w:bidi="ar-SA"/>
        </w:rPr>
        <w:t>1.1</w:t>
      </w:r>
      <w:r>
        <w:rPr>
          <w:rFonts w:hint="eastAsia" w:ascii="黑体" w:hAnsi="黑体" w:eastAsia="黑体" w:cs="黑体"/>
          <w:b/>
          <w:bCs/>
          <w:color w:val="auto"/>
          <w:sz w:val="24"/>
          <w:szCs w:val="24"/>
          <w:lang w:val="en-US" w:eastAsia="zh-CN"/>
        </w:rPr>
        <w:t>问题背景</w:t>
      </w:r>
    </w:p>
    <w:p w14:paraId="65661002">
      <w:pPr>
        <w:bidi w:val="0"/>
        <w:ind w:firstLine="480" w:firstLineChars="200"/>
        <w:rPr>
          <w:rFonts w:hint="eastAsia" w:ascii="黑体" w:hAnsi="黑体" w:eastAsia="黑体" w:cs="黑体"/>
          <w:sz w:val="24"/>
          <w:szCs w:val="28"/>
          <w:lang w:eastAsia="zh-CN"/>
        </w:rPr>
      </w:pPr>
      <w:r>
        <w:rPr>
          <w:rFonts w:hint="eastAsia" w:ascii="黑体" w:hAnsi="黑体" w:eastAsia="黑体" w:cs="黑体"/>
          <w:sz w:val="24"/>
          <w:szCs w:val="24"/>
        </w:rPr>
        <w:t>在当今高度竞争的零售市场中，零售门店面临着商品同质化严重、消费者需求多样化、市场竞争激烈等多重挑战。如何通过数据驱动的营销策略提升门店运营效率、优化资源配置并增强市场竞争力，成为零售企业生存发展的关键问题。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本文结合实际零售门店的业务场景，</w:t>
      </w:r>
      <w:r>
        <w:rPr>
          <w:rFonts w:hint="eastAsia" w:ascii="黑体" w:hAnsi="黑体" w:eastAsia="黑体" w:cs="黑体"/>
          <w:sz w:val="24"/>
          <w:szCs w:val="28"/>
        </w:rPr>
        <w:t>期望能够为零售门店的营销策略优化提供有价值的参考</w:t>
      </w:r>
      <w:r>
        <w:rPr>
          <w:rFonts w:hint="eastAsia" w:ascii="黑体" w:hAnsi="黑体" w:eastAsia="黑体" w:cs="黑体"/>
          <w:sz w:val="24"/>
          <w:szCs w:val="28"/>
          <w:lang w:eastAsia="zh-CN"/>
        </w:rPr>
        <w:t>。</w:t>
      </w:r>
    </w:p>
    <w:p w14:paraId="30B944AA">
      <w:pPr>
        <w:bidi w:val="0"/>
        <w:ind w:firstLine="480" w:firstLineChars="200"/>
        <w:rPr>
          <w:rFonts w:hint="eastAsia" w:ascii="黑体" w:hAnsi="黑体" w:eastAsia="黑体" w:cs="黑体"/>
          <w:sz w:val="24"/>
          <w:szCs w:val="28"/>
          <w:lang w:eastAsia="zh-CN"/>
        </w:rPr>
      </w:pPr>
    </w:p>
    <w:p w14:paraId="68611605">
      <w:pPr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  <w:rPr>
          <w:rFonts w:hint="eastAsia" w:ascii="黑体" w:hAnsi="黑体" w:eastAsia="黑体" w:cs="黑体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b/>
          <w:bCs/>
          <w:color w:val="auto"/>
          <w:kern w:val="2"/>
          <w:sz w:val="24"/>
          <w:szCs w:val="24"/>
          <w:lang w:val="en-US" w:eastAsia="zh-CN" w:bidi="ar-SA"/>
        </w:rPr>
        <w:t>1.</w:t>
      </w:r>
      <w:r>
        <w:rPr>
          <w:rFonts w:hint="eastAsia" w:ascii="黑体" w:hAnsi="黑体" w:eastAsia="黑体" w:cs="黑体"/>
          <w:b/>
          <w:bCs/>
          <w:color w:val="auto"/>
          <w:kern w:val="2"/>
          <w:sz w:val="24"/>
          <w:szCs w:val="24"/>
          <w:lang w:val="en-US" w:eastAsia="zh-CN" w:bidi="ar-SA"/>
        </w:rPr>
        <w:t>2</w:t>
      </w:r>
      <w:r>
        <w:rPr>
          <w:rFonts w:hint="eastAsia" w:ascii="黑体" w:hAnsi="黑体" w:eastAsia="黑体" w:cs="黑体"/>
          <w:b/>
          <w:bCs/>
          <w:color w:val="auto"/>
          <w:sz w:val="24"/>
          <w:szCs w:val="24"/>
          <w:lang w:val="en-US" w:eastAsia="zh-CN"/>
        </w:rPr>
        <w:t>问题重述</w:t>
      </w:r>
    </w:p>
    <w:p w14:paraId="2C3AD43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textAlignment w:val="auto"/>
        <w:rPr>
          <w:rFonts w:hint="eastAsia" w:ascii="黑体" w:hAnsi="黑体" w:eastAsia="黑体" w:cs="黑体"/>
          <w:sz w:val="24"/>
          <w:szCs w:val="28"/>
        </w:rPr>
      </w:pPr>
      <w:r>
        <w:rPr>
          <w:rFonts w:hint="eastAsia" w:ascii="黑体" w:hAnsi="黑体" w:eastAsia="黑体" w:cs="黑体"/>
          <w:sz w:val="24"/>
          <w:szCs w:val="28"/>
        </w:rPr>
        <w:t>在当今竞争激烈的零售市场中，零售门店面临着诸多挑战与机遇。如何在海量的商品和复杂的市场环境中制定有效的营销策略，以提升销售额、优化库存管理并增强顾客满意度，是每个零售企业亟待解决的问题。本次竞赛旨在通过对某零售门店多年销售数据的深入分析，探索出科学合理的营销策略，助力门店在激烈的市场竞争中脱颖而出。</w:t>
      </w:r>
    </w:p>
    <w:p w14:paraId="5CD3DBE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textAlignment w:val="auto"/>
        <w:rPr>
          <w:rFonts w:hint="default" w:ascii="黑体" w:hAnsi="黑体" w:eastAsia="黑体" w:cs="黑体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8"/>
        </w:rPr>
        <w:t>该零售门店作为一家综合性零售企业，拥有丰富多样的商品品类，涵盖了生鲜、食品、日用品等多个领域，满足了不同消费者群体的多样化需求。门店的运营时间较长，积累了大量的销售数据，这些数据涵盖了从 2021 年 1 月 1 日至 2025 年 4 月 30 日的详细销售记录，包括时间维度、企业信息、门店信息、订单信息、商品基础信息及商品销售信息等多维度字段，完整呈现了门店 - 订单 - SKU 级别的商品销售流水数据。这些数据为深入分析门店的销售情况、消费者行为模式以及营销活动效果提供了坚实的基础。</w:t>
      </w:r>
    </w:p>
    <w:p w14:paraId="49181C9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textAlignment w:val="auto"/>
        <w:rPr>
          <w:rFonts w:hint="eastAsia" w:ascii="黑体" w:hAnsi="黑体" w:eastAsia="黑体" w:cs="黑体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问题1</w:t>
      </w:r>
      <w:r>
        <w:rPr>
          <w:rFonts w:hint="eastAsia" w:ascii="黑体" w:hAnsi="黑体" w:eastAsia="黑体" w:cs="黑体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 xml:space="preserve"> 零售门店中通常存在帕累托法则，即约20%的商品贡献了80%的销售额，像生鲜、乳制品、畅销零食以及新品类往往占据门店的主要销售额；同时，20%的促销活动能够带动80%的销量增长，例如节假日促销、爆品折扣等关键营销活动对业绩有着显著影响。基于此，请尝试找出该门店的关键品类或商品，以及有效的促销活动，并进行深入分析。</w:t>
      </w:r>
    </w:p>
    <w:p w14:paraId="3AF033FC">
      <w:pPr>
        <w:bidi w:val="0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             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76780" cy="2176780"/>
            <wp:effectExtent l="0" t="0" r="13970" b="139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76780" cy="217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6BE454">
      <w:pPr>
        <w:bidi w:val="0"/>
        <w:ind w:firstLine="3373" w:firstLineChars="140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图1.1 帕累托法则</w:t>
      </w:r>
    </w:p>
    <w:p w14:paraId="7EAAFBD5">
      <w:pPr>
        <w:bidi w:val="0"/>
        <w:ind w:firstLine="3373" w:firstLineChars="140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 w14:paraId="0D0389C0">
      <w:pPr>
        <w:bidi w:val="0"/>
        <w:ind w:firstLine="3373" w:firstLineChars="140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 w14:paraId="7CEA729A">
      <w:pPr>
        <w:bidi w:val="0"/>
        <w:ind w:firstLine="3373" w:firstLineChars="140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 w14:paraId="55B8677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textAlignment w:val="auto"/>
        <w:rPr>
          <w:rFonts w:hint="eastAsia" w:ascii="黑体" w:hAnsi="黑体" w:eastAsia="黑体" w:cs="黑体"/>
          <w:sz w:val="24"/>
          <w:szCs w:val="28"/>
        </w:rPr>
      </w:pPr>
      <w:r>
        <w:rPr>
          <w:rFonts w:hint="eastAsia" w:ascii="黑体" w:hAnsi="黑体" w:eastAsia="黑体" w:cs="黑体"/>
          <w:b/>
          <w:bCs/>
          <w:sz w:val="24"/>
          <w:szCs w:val="28"/>
        </w:rPr>
        <w:t>问题2</w:t>
      </w:r>
      <w:r>
        <w:rPr>
          <w:rFonts w:hint="eastAsia" w:ascii="黑体" w:hAnsi="黑体" w:eastAsia="黑体" w:cs="黑体"/>
          <w:sz w:val="24"/>
          <w:szCs w:val="28"/>
        </w:rPr>
        <w:t xml:space="preserve"> 零售门店的商品或品类消费往往具有一定的季节性特征。例如，碳酸饮料在炎热的7、8月份消费量较高，而过高的气温则可能导致整体肉类消费量降低。请分析各关键品类或关键单品的分布规律，以更好地把握季节性因素等关键因素对销售的影响，同时</w:t>
      </w:r>
      <w:r>
        <w:rPr>
          <w:rFonts w:hint="eastAsia" w:ascii="黑体" w:hAnsi="黑体" w:eastAsia="黑体" w:cs="黑体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预测</w:t>
      </w:r>
      <w:r>
        <w:rPr>
          <w:rFonts w:hint="eastAsia" w:ascii="黑体" w:hAnsi="黑体" w:eastAsia="黑体" w:cs="黑体"/>
          <w:sz w:val="24"/>
          <w:szCs w:val="28"/>
        </w:rPr>
        <w:t>关键品类或单品在下一年度即2025年6月至2026年6月的销售情况。</w:t>
      </w:r>
    </w:p>
    <w:p w14:paraId="363490F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textAlignment w:val="auto"/>
        <w:rPr>
          <w:rFonts w:hint="eastAsia" w:ascii="黑体" w:hAnsi="黑体" w:eastAsia="黑体" w:cs="黑体"/>
          <w:sz w:val="24"/>
          <w:szCs w:val="28"/>
        </w:rPr>
      </w:pPr>
      <w:r>
        <w:rPr>
          <w:rFonts w:hint="eastAsia" w:ascii="黑体" w:hAnsi="黑体" w:eastAsia="黑体" w:cs="黑体"/>
          <w:b/>
          <w:bCs/>
          <w:sz w:val="24"/>
          <w:szCs w:val="28"/>
        </w:rPr>
        <w:t>问题3</w:t>
      </w:r>
      <w:r>
        <w:rPr>
          <w:rFonts w:hint="eastAsia" w:ascii="黑体" w:hAnsi="黑体" w:eastAsia="黑体" w:cs="黑体"/>
          <w:sz w:val="24"/>
          <w:szCs w:val="28"/>
        </w:rPr>
        <w:t xml:space="preserve"> 在门店商品销售过程中，不同品牌类或不同单品之间，甚至与关键事件之间可能存在一定的关联关系。例如，曾经有“啤酒 + 尿不湿”的经典案例，以及在飓风来临前蛋挞与应急用品的搭配销售，这些关联关系对优化商品陈列及开展联合促销具有积极意义。请分析不同品类或不同单品之间的关联规则，并结合问题1和问题2的分析结果，给出下一年度即2025年6月至2026年6月该门店的营销策略建议。</w:t>
      </w:r>
    </w:p>
    <w:p w14:paraId="7455DA2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textAlignment w:val="auto"/>
        <w:rPr>
          <w:rFonts w:hint="eastAsia" w:ascii="黑体" w:hAnsi="黑体" w:eastAsia="黑体" w:cs="黑体"/>
          <w:sz w:val="24"/>
          <w:szCs w:val="28"/>
        </w:rPr>
      </w:pPr>
      <w:r>
        <w:rPr>
          <w:rFonts w:hint="eastAsia" w:ascii="黑体" w:hAnsi="黑体" w:eastAsia="黑体" w:cs="黑体"/>
          <w:b/>
          <w:bCs/>
          <w:sz w:val="24"/>
          <w:szCs w:val="28"/>
        </w:rPr>
        <w:t>问题4</w:t>
      </w:r>
      <w:r>
        <w:rPr>
          <w:rFonts w:hint="eastAsia" w:ascii="黑体" w:hAnsi="黑体" w:eastAsia="黑体" w:cs="黑体"/>
          <w:sz w:val="24"/>
          <w:szCs w:val="28"/>
        </w:rPr>
        <w:t xml:space="preserve"> 在海量数据积累与人工智能技术飞速发展的当下，为了助力门店营销策略的科学化与智能化升级，除了现有的数据资源和营销手段之外，您认为该门店还应采集哪些关键数据，并引入哪些前沿技术手段，以推动营销决策向智能自动化方向迈进？请给出你的见解及相应理由。</w:t>
      </w:r>
    </w:p>
    <w:p w14:paraId="137F595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textAlignment w:val="auto"/>
        <w:rPr>
          <w:rFonts w:hint="eastAsia" w:ascii="黑体" w:hAnsi="黑体" w:eastAsia="黑体" w:cs="黑体"/>
          <w:sz w:val="24"/>
          <w:szCs w:val="28"/>
        </w:rPr>
      </w:pPr>
    </w:p>
    <w:p w14:paraId="48EDCD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textAlignment w:val="auto"/>
        <w:rPr>
          <w:rFonts w:hint="eastAsia" w:ascii="黑体" w:hAnsi="黑体" w:eastAsia="黑体" w:cs="黑体"/>
          <w:sz w:val="24"/>
          <w:szCs w:val="28"/>
        </w:rPr>
      </w:pPr>
    </w:p>
    <w:p w14:paraId="16BF9090">
      <w:pPr>
        <w:keepNext/>
        <w:keepLines/>
        <w:kinsoku/>
        <w:wordWrap/>
        <w:overflowPunct/>
        <w:topLinePunct w:val="0"/>
        <w:autoSpaceDE/>
        <w:autoSpaceDN/>
        <w:bidi w:val="0"/>
        <w:ind w:firstLine="3654" w:firstLineChars="1300"/>
        <w:jc w:val="left"/>
        <w:rPr>
          <w:rFonts w:hint="eastAsia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28"/>
          <w:szCs w:val="28"/>
          <w:lang w:val="en-US" w:eastAsia="zh-CN"/>
        </w:rPr>
        <w:t>二 问题分析</w:t>
      </w:r>
    </w:p>
    <w:p w14:paraId="0C263E3E">
      <w:pPr>
        <w:keepNext/>
        <w:keepLines/>
        <w:kinsoku/>
        <w:wordWrap/>
        <w:overflowPunct/>
        <w:topLinePunct w:val="0"/>
        <w:autoSpaceDE/>
        <w:autoSpaceDN/>
        <w:bidi w:val="0"/>
        <w:ind w:firstLine="3654" w:firstLineChars="1300"/>
        <w:jc w:val="both"/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</w:p>
    <w:p w14:paraId="039F4349">
      <w:pPr>
        <w:keepNext/>
        <w:keepLines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ind w:left="0" w:leftChars="0" w:firstLine="0" w:firstLineChars="0"/>
        <w:jc w:val="both"/>
        <w:rPr>
          <w:rFonts w:hint="eastAsia" w:ascii="黑体" w:hAnsi="黑体" w:eastAsia="黑体" w:cs="黑体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kern w:val="2"/>
          <w:sz w:val="24"/>
          <w:szCs w:val="24"/>
          <w:lang w:val="en-US" w:eastAsia="zh-CN" w:bidi="ar-SA"/>
        </w:rPr>
        <w:t>2</w:t>
      </w:r>
      <w:r>
        <w:rPr>
          <w:rFonts w:hint="default" w:ascii="黑体" w:hAnsi="黑体" w:eastAsia="黑体" w:cs="黑体"/>
          <w:b/>
          <w:bCs/>
          <w:color w:val="auto"/>
          <w:kern w:val="2"/>
          <w:sz w:val="24"/>
          <w:szCs w:val="24"/>
          <w:lang w:val="en-US" w:eastAsia="zh-CN" w:bidi="ar-SA"/>
        </w:rPr>
        <w:t>.1</w:t>
      </w:r>
      <w:r>
        <w:rPr>
          <w:rFonts w:hint="eastAsia" w:ascii="黑体" w:hAnsi="黑体" w:eastAsia="黑体" w:cs="黑体"/>
          <w:b/>
          <w:bCs/>
          <w:color w:val="auto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="黑体" w:hAnsi="黑体" w:eastAsia="黑体" w:cs="黑体"/>
          <w:b/>
          <w:bCs/>
          <w:color w:val="auto"/>
          <w:sz w:val="24"/>
          <w:szCs w:val="24"/>
          <w:lang w:val="en-US" w:eastAsia="zh-CN"/>
        </w:rPr>
        <w:t>问题一分析</w:t>
      </w:r>
    </w:p>
    <w:p w14:paraId="1F5308B7"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对于问题一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，我们对问题中的帕累托法则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进行了解读，其又被称为“80/20</w:t>
      </w: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法则，在许多情况下，约80%的结果（产出、收益或影响）往往由20%的原因（投入、资源或因素）所驱动。</w:t>
      </w:r>
      <w:r>
        <w:rPr>
          <w:rFonts w:hint="default" w:ascii="黑体" w:hAnsi="黑体" w:eastAsia="黑体" w:cs="黑体"/>
          <w:b w:val="0"/>
          <w:bCs w:val="0"/>
          <w:sz w:val="24"/>
          <w:szCs w:val="24"/>
          <w:lang w:eastAsia="zh-CN"/>
        </w:rPr>
        <w:t>我们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首先将数据集中的商品进行了品类分级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，通过系统化的分类管理，优化资源分配。我们使用程序求解出各个品类的销售额和销售数量，并将结果保存至相应的文件中，直观地得到门店的关键品类和关键商品。其中，一级品类中（医疗保健、生鲜、非食、食品），食品品类成为门店销售额增长的核心驱动力，为销售额增长做出了卓越贡献；在二级品类中，冲调食品、烟酒水饮、粮油调味为核心品类，其总销售额满足帕累托法则，为销售额增长做出显著贡献。在关键商品分析方面，我们提取了门店在限定时间范围内各个商品（共16195种商品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）的售卖情况，其中，我们发现剑光黄酒、乳酸菌饮品、蒙牛鲜牛奶等商品的销售额较其它商品占显著优势。在促销活动的分析方面，我们对门店爆款商品的单价随时间的变化曲线进行了详细分析，并且综合考量了实际日历中节假日等特殊时间，发现部分促销活动对门店销售业绩的提升有显著影响。</w:t>
      </w:r>
    </w:p>
    <w:p w14:paraId="73AB98AF"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 w14:paraId="3DE3C11C">
      <w:pPr>
        <w:keepNext/>
        <w:keepLines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ind w:left="0" w:leftChars="0" w:firstLine="0" w:firstLine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kern w:val="2"/>
          <w:sz w:val="24"/>
          <w:szCs w:val="24"/>
          <w:lang w:val="en-US" w:eastAsia="zh-CN" w:bidi="ar-SA"/>
        </w:rPr>
        <w:t>2</w:t>
      </w:r>
      <w:r>
        <w:rPr>
          <w:rFonts w:hint="default" w:ascii="黑体" w:hAnsi="黑体" w:eastAsia="黑体" w:cs="黑体"/>
          <w:b/>
          <w:bCs/>
          <w:color w:val="auto"/>
          <w:kern w:val="2"/>
          <w:sz w:val="24"/>
          <w:szCs w:val="24"/>
          <w:lang w:val="en-US" w:eastAsia="zh-CN" w:bidi="ar-SA"/>
        </w:rPr>
        <w:t>.</w:t>
      </w:r>
      <w:r>
        <w:rPr>
          <w:rFonts w:hint="eastAsia" w:ascii="黑体" w:hAnsi="黑体" w:eastAsia="黑体" w:cs="黑体"/>
          <w:b/>
          <w:bCs/>
          <w:color w:val="auto"/>
          <w:kern w:val="2"/>
          <w:sz w:val="24"/>
          <w:szCs w:val="24"/>
          <w:lang w:val="en-US" w:eastAsia="zh-CN" w:bidi="ar-SA"/>
        </w:rPr>
        <w:t xml:space="preserve">2 </w:t>
      </w:r>
      <w:r>
        <w:rPr>
          <w:rFonts w:hint="eastAsia" w:ascii="黑体" w:hAnsi="黑体" w:eastAsia="黑体" w:cs="黑体"/>
          <w:b/>
          <w:bCs/>
          <w:color w:val="auto"/>
          <w:sz w:val="24"/>
          <w:szCs w:val="24"/>
          <w:lang w:val="en-US" w:eastAsia="zh-CN"/>
        </w:rPr>
        <w:t>问题二分析</w:t>
      </w:r>
    </w:p>
    <w:p w14:paraId="1B447309"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8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对于问题二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，为了探寻商品消费的季节性特征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，我们首先选择了具有显著季节特征的商品品类作为对象，例如在炎热夏季，碳酸饮料、冷藏水饮等商品品类的销售额相较于冬季会有明显的增加；而肉类食品则会出现夏季销售额低于冬季的情况。选择完具有明显季节特征的商品品类之后，我们通过程序将目标品类的数据从总数据集中提取出来，得到目标数据。为了直观查看商品的季节性特征，我们对目标数据进行了可视化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操作，我们将目标商品的销售额随时间变化的关系绘制成图标，标记峰值、谷值。为了得到时间序列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数据，我们在时间轴上取均匀时间间隔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，并对相应间隔内的商品销售数据进行记录，之后我们对时间序列数据进行分析、得到序列的趋势、季节性等关键性质。在模型选择方面，我们选择LSTM时间序列预测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模型来预测</w:t>
      </w:r>
      <w:r>
        <w:rPr>
          <w:rFonts w:hint="eastAsia" w:ascii="黑体" w:hAnsi="黑体" w:eastAsia="黑体" w:cs="黑体"/>
          <w:b w:val="0"/>
          <w:bCs w:val="0"/>
          <w:sz w:val="24"/>
          <w:szCs w:val="28"/>
        </w:rPr>
        <w:t>2025年6月至2026年6月的销售情况。</w:t>
      </w:r>
    </w:p>
    <w:p w14:paraId="251F7C13"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8"/>
        </w:rPr>
      </w:pPr>
    </w:p>
    <w:p w14:paraId="4C36B63D">
      <w:pPr>
        <w:keepNext/>
        <w:keepLines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ind w:left="0" w:leftChars="0" w:firstLine="0" w:firstLineChars="0"/>
        <w:jc w:val="both"/>
        <w:rPr>
          <w:rFonts w:hint="eastAsia" w:ascii="黑体" w:hAnsi="黑体" w:eastAsia="黑体" w:cs="黑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FF0000"/>
          <w:kern w:val="2"/>
          <w:sz w:val="24"/>
          <w:szCs w:val="24"/>
          <w:lang w:val="en-US" w:eastAsia="zh-CN" w:bidi="ar-SA"/>
        </w:rPr>
        <w:t>2</w:t>
      </w:r>
      <w:r>
        <w:rPr>
          <w:rFonts w:hint="default" w:ascii="黑体" w:hAnsi="黑体" w:eastAsia="黑体" w:cs="黑体"/>
          <w:b/>
          <w:bCs/>
          <w:color w:val="FF0000"/>
          <w:kern w:val="2"/>
          <w:sz w:val="24"/>
          <w:szCs w:val="24"/>
          <w:lang w:val="en-US" w:eastAsia="zh-CN" w:bidi="ar-SA"/>
        </w:rPr>
        <w:t>.</w:t>
      </w:r>
      <w:r>
        <w:rPr>
          <w:rFonts w:hint="eastAsia" w:ascii="黑体" w:hAnsi="黑体" w:eastAsia="黑体" w:cs="黑体"/>
          <w:b/>
          <w:bCs/>
          <w:color w:val="FF0000"/>
          <w:kern w:val="2"/>
          <w:sz w:val="24"/>
          <w:szCs w:val="24"/>
          <w:lang w:val="en-US" w:eastAsia="zh-CN" w:bidi="ar-SA"/>
        </w:rPr>
        <w:t xml:space="preserve">3 </w:t>
      </w:r>
      <w:r>
        <w:rPr>
          <w:rFonts w:hint="eastAsia" w:ascii="黑体" w:hAnsi="黑体" w:eastAsia="黑体" w:cs="黑体"/>
          <w:b/>
          <w:bCs/>
          <w:color w:val="FF0000"/>
          <w:sz w:val="24"/>
          <w:szCs w:val="24"/>
          <w:lang w:val="en-US" w:eastAsia="zh-CN"/>
        </w:rPr>
        <w:t>问题三分析</w:t>
      </w:r>
    </w:p>
    <w:p w14:paraId="4FA096B4">
      <w:pPr>
        <w:keepNext/>
        <w:keepLines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ind w:left="0" w:leftChars="0" w:firstLine="0" w:firstLineChars="0"/>
        <w:jc w:val="both"/>
        <w:rPr>
          <w:rFonts w:hint="eastAsia" w:ascii="黑体" w:hAnsi="黑体" w:eastAsia="黑体" w:cs="黑体"/>
          <w:b/>
          <w:bCs/>
          <w:color w:val="FF0000"/>
          <w:sz w:val="24"/>
          <w:szCs w:val="24"/>
          <w:lang w:val="en-US" w:eastAsia="zh-CN"/>
        </w:rPr>
      </w:pPr>
    </w:p>
    <w:p w14:paraId="10B4B1A9">
      <w:pPr>
        <w:keepNext/>
        <w:keepLines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ind w:left="0" w:leftChars="0" w:firstLine="0" w:firstLineChars="0"/>
        <w:jc w:val="both"/>
        <w:rPr>
          <w:rFonts w:hint="eastAsia" w:ascii="黑体" w:hAnsi="黑体" w:eastAsia="黑体" w:cs="黑体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FF0000"/>
          <w:kern w:val="2"/>
          <w:sz w:val="24"/>
          <w:szCs w:val="24"/>
          <w:lang w:val="en-US" w:eastAsia="zh-CN" w:bidi="ar-SA"/>
        </w:rPr>
        <w:t>2</w:t>
      </w:r>
      <w:r>
        <w:rPr>
          <w:rFonts w:hint="default" w:ascii="黑体" w:hAnsi="黑体" w:eastAsia="黑体" w:cs="黑体"/>
          <w:b/>
          <w:bCs/>
          <w:color w:val="FF0000"/>
          <w:kern w:val="2"/>
          <w:sz w:val="24"/>
          <w:szCs w:val="24"/>
          <w:lang w:val="en-US" w:eastAsia="zh-CN" w:bidi="ar-SA"/>
        </w:rPr>
        <w:t>.</w:t>
      </w:r>
      <w:r>
        <w:rPr>
          <w:rFonts w:hint="eastAsia" w:ascii="黑体" w:hAnsi="黑体" w:eastAsia="黑体" w:cs="黑体"/>
          <w:b/>
          <w:bCs/>
          <w:color w:val="FF0000"/>
          <w:kern w:val="2"/>
          <w:sz w:val="24"/>
          <w:szCs w:val="24"/>
          <w:lang w:val="en-US" w:eastAsia="zh-CN" w:bidi="ar-SA"/>
        </w:rPr>
        <w:t xml:space="preserve">4 </w:t>
      </w:r>
      <w:r>
        <w:rPr>
          <w:rFonts w:hint="eastAsia" w:ascii="黑体" w:hAnsi="黑体" w:eastAsia="黑体" w:cs="黑体"/>
          <w:b/>
          <w:bCs/>
          <w:color w:val="FF0000"/>
          <w:sz w:val="24"/>
          <w:szCs w:val="24"/>
          <w:lang w:val="en-US" w:eastAsia="zh-CN"/>
        </w:rPr>
        <w:t>问题四分析</w:t>
      </w:r>
    </w:p>
    <w:p w14:paraId="34C429A4"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 w14:paraId="7458454E">
      <w:pPr>
        <w:bidi w:val="0"/>
        <w:rPr>
          <w:rFonts w:hint="eastAsia" w:ascii="黑体" w:hAnsi="黑体" w:eastAsia="黑体" w:cs="黑体"/>
          <w:sz w:val="24"/>
          <w:szCs w:val="24"/>
        </w:rPr>
      </w:pPr>
    </w:p>
    <w:p w14:paraId="690D8AAD">
      <w:pPr>
        <w:bidi w:val="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 w14:paraId="4B6730B7">
      <w:pPr>
        <w:bidi w:val="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 w14:paraId="3F12C9E1">
      <w:pPr>
        <w:bidi w:val="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 w14:paraId="1930AFE2">
      <w:pPr>
        <w:bidi w:val="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 w14:paraId="62B6ADE5">
      <w:pPr>
        <w:bidi w:val="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 w14:paraId="2899A73F">
      <w:pPr>
        <w:bidi w:val="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 w14:paraId="23AB82F8">
      <w:pPr>
        <w:bidi w:val="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 w14:paraId="5E6D19F0">
      <w:pPr>
        <w:bidi w:val="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 w14:paraId="45B60CB4">
      <w:pPr>
        <w:pStyle w:val="2"/>
        <w:bidi w:val="0"/>
        <w:jc w:val="center"/>
        <w:rPr>
          <w:rFonts w:hint="eastAsia" w:ascii="黑体" w:hAnsi="黑体" w:eastAsia="黑体" w:cs="黑体"/>
          <w:b/>
          <w:bCs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黑体" w:hAnsi="黑体" w:eastAsia="黑体" w:cs="黑体"/>
          <w:b/>
          <w:bCs/>
          <w:color w:val="auto"/>
          <w:kern w:val="2"/>
          <w:sz w:val="28"/>
          <w:szCs w:val="28"/>
          <w:lang w:val="en-US" w:eastAsia="zh-CN" w:bidi="ar-SA"/>
        </w:rPr>
        <w:t>三</w:t>
      </w:r>
      <w:r>
        <w:rPr>
          <w:rFonts w:hint="eastAsia" w:ascii="黑体" w:hAnsi="黑体" w:cs="黑体"/>
          <w:b/>
          <w:bCs/>
          <w:color w:val="auto"/>
          <w:kern w:val="2"/>
          <w:sz w:val="28"/>
          <w:szCs w:val="28"/>
          <w:lang w:val="en-US" w:eastAsia="zh-CN" w:bidi="ar-SA"/>
        </w:rPr>
        <w:t xml:space="preserve"> </w:t>
      </w:r>
      <w:r>
        <w:rPr>
          <w:rFonts w:hint="eastAsia" w:ascii="黑体" w:hAnsi="黑体" w:eastAsia="黑体" w:cs="黑体"/>
          <w:b/>
          <w:bCs/>
          <w:color w:val="auto"/>
          <w:kern w:val="2"/>
          <w:sz w:val="28"/>
          <w:szCs w:val="28"/>
          <w:lang w:val="en-US" w:eastAsia="zh-CN" w:bidi="ar-SA"/>
        </w:rPr>
        <w:t>模型假设</w:t>
      </w:r>
    </w:p>
    <w:p w14:paraId="6780BC5B">
      <w:pPr>
        <w:pStyle w:val="2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kern w:val="44"/>
          <w:sz w:val="24"/>
          <w:szCs w:val="24"/>
          <w:lang w:val="en-US" w:eastAsia="zh-CN" w:bidi="ar-SA"/>
        </w:rPr>
        <w:t>1.</w:t>
      </w:r>
      <w:r>
        <w:rPr>
          <w:rFonts w:hint="eastAsia" w:ascii="黑体" w:hAnsi="黑体" w:eastAsia="黑体" w:cs="黑体"/>
          <w:b w:val="0"/>
          <w:bCs/>
          <w:sz w:val="24"/>
          <w:szCs w:val="24"/>
        </w:rPr>
        <w:t>商品销售数据具有明显的季节性特征，且该特征在预测周期内保持稳定</w:t>
      </w:r>
    </w:p>
    <w:p w14:paraId="3B71AB7F">
      <w:pPr>
        <w:pStyle w:val="2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2.</w:t>
      </w:r>
      <w:r>
        <w:rPr>
          <w:rFonts w:hint="eastAsia" w:ascii="黑体" w:hAnsi="黑体" w:eastAsia="黑体" w:cs="黑体"/>
          <w:b w:val="0"/>
          <w:bCs/>
          <w:sz w:val="24"/>
          <w:szCs w:val="24"/>
        </w:rPr>
        <w:t>促销活动对销售的影响可以通过历史数据进行量化评估</w:t>
      </w:r>
    </w:p>
    <w:p w14:paraId="487FBBE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left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3.</w:t>
      </w:r>
      <w:r>
        <w:rPr>
          <w:rFonts w:hint="eastAsia" w:ascii="黑体" w:hAnsi="黑体" w:eastAsia="黑体" w:cs="黑体"/>
          <w:b w:val="0"/>
          <w:bCs/>
          <w:sz w:val="24"/>
          <w:szCs w:val="24"/>
        </w:rPr>
        <w:t>不同品类之间的销售波动相互独立，不考虑跨品类影响</w:t>
      </w:r>
    </w:p>
    <w:p w14:paraId="10BA589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left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</w:rPr>
      </w:pPr>
    </w:p>
    <w:p w14:paraId="6779BC4A"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门店运营策略和商品结构在预测期内保持相对稳定</w:t>
      </w:r>
    </w:p>
    <w:p w14:paraId="09EA7F2C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both"/>
        <w:textAlignment w:val="auto"/>
        <w:rPr>
          <w:rFonts w:hint="eastAsia" w:ascii="黑体" w:hAnsi="黑体" w:eastAsia="黑体" w:cs="黑体"/>
          <w:sz w:val="24"/>
          <w:szCs w:val="24"/>
        </w:rPr>
      </w:pPr>
    </w:p>
    <w:p w14:paraId="7B61A56A">
      <w:pPr>
        <w:pStyle w:val="2"/>
        <w:bidi w:val="0"/>
        <w:ind w:firstLine="3092" w:firstLineChars="1100"/>
        <w:jc w:val="both"/>
        <w:rPr>
          <w:rFonts w:hint="eastAsia" w:ascii="黑体" w:hAnsi="黑体" w:eastAsia="黑体" w:cs="黑体"/>
          <w:b/>
          <w:bCs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黑体" w:hAnsi="黑体" w:eastAsia="黑体" w:cs="黑体"/>
          <w:b/>
          <w:bCs/>
          <w:color w:val="auto"/>
          <w:kern w:val="2"/>
          <w:sz w:val="28"/>
          <w:szCs w:val="28"/>
          <w:lang w:val="en-US" w:eastAsia="zh-CN" w:bidi="ar-SA"/>
        </w:rPr>
        <w:t xml:space="preserve">四 </w:t>
      </w:r>
      <w:r>
        <w:rPr>
          <w:rFonts w:hint="eastAsia" w:ascii="黑体" w:hAnsi="黑体" w:eastAsia="黑体" w:cs="黑体"/>
          <w:b/>
          <w:bCs/>
          <w:color w:val="auto"/>
          <w:kern w:val="2"/>
          <w:sz w:val="28"/>
          <w:szCs w:val="28"/>
          <w:lang w:val="en-US" w:eastAsia="zh-CN" w:bidi="ar-SA"/>
        </w:rPr>
        <w:t>定义与符号说明</w:t>
      </w:r>
    </w:p>
    <w:p w14:paraId="6BBF1919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60" w:beforeAutospacing="0" w:after="0" w:afterAutospacing="1" w:line="360" w:lineRule="auto"/>
        <w:textAlignment w:val="auto"/>
      </w:pPr>
    </w:p>
    <w:p w14:paraId="290DE2A3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 w:val="0"/>
          <w:bCs/>
          <w:sz w:val="24"/>
          <w:szCs w:val="24"/>
          <w:lang w:val="en-US" w:eastAsia="zh-CN"/>
        </w:rPr>
      </w:pPr>
    </w:p>
    <w:p w14:paraId="20D8B677"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60" w:leftChars="0"/>
        <w:jc w:val="left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</w:rPr>
      </w:pPr>
    </w:p>
    <w:p w14:paraId="6DD0C4B8">
      <w:pPr>
        <w:pStyle w:val="2"/>
        <w:bidi w:val="0"/>
        <w:jc w:val="center"/>
        <w:rPr>
          <w:rFonts w:hint="default" w:ascii="黑体" w:hAnsi="黑体" w:eastAsia="黑体" w:cs="黑体"/>
          <w:b/>
          <w:bCs/>
          <w:color w:val="auto"/>
          <w:kern w:val="2"/>
          <w:sz w:val="28"/>
          <w:szCs w:val="28"/>
          <w:lang w:val="en-US" w:eastAsia="zh-CN" w:bidi="ar-SA"/>
        </w:rPr>
      </w:pPr>
    </w:p>
    <w:p w14:paraId="3495268E">
      <w:pPr>
        <w:pStyle w:val="2"/>
        <w:bidi w:val="0"/>
        <w:jc w:val="center"/>
        <w:rPr>
          <w:rFonts w:hint="eastAsia" w:ascii="黑体" w:hAnsi="黑体" w:eastAsia="黑体" w:cs="黑体"/>
          <w:b/>
          <w:bCs/>
          <w:color w:val="auto"/>
          <w:kern w:val="2"/>
          <w:sz w:val="28"/>
          <w:szCs w:val="28"/>
          <w:lang w:val="en-US" w:eastAsia="zh-CN" w:bidi="ar-SA"/>
        </w:rPr>
      </w:pPr>
    </w:p>
    <w:p w14:paraId="08863DF7">
      <w:pPr>
        <w:bidi w:val="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 w14:paraId="10145EB0">
      <w:pPr>
        <w:bidi w:val="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 w14:paraId="1E1DCE1B">
      <w:pPr>
        <w:bidi w:val="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 w14:paraId="7BC0B63D">
      <w:pPr>
        <w:bidi w:val="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 w14:paraId="2E06EF5F">
      <w:pPr>
        <w:bidi w:val="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 w14:paraId="020DC370">
      <w:pPr>
        <w:bidi w:val="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 w14:paraId="131CAF85">
      <w:pPr>
        <w:bidi w:val="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 w14:paraId="6435289A">
      <w:pPr>
        <w:bidi w:val="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 w14:paraId="082E8B84">
      <w:pPr>
        <w:bidi w:val="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 w14:paraId="5D7FE664">
      <w:pPr>
        <w:bidi w:val="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 w14:paraId="683AA731">
      <w:pPr>
        <w:bidi w:val="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 w14:paraId="1029A653">
      <w:pPr>
        <w:bidi w:val="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 w14:paraId="6E33F331"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黑体" w:hAnsi="黑体" w:eastAsia="黑体" w:cs="黑体"/>
          <w:b/>
          <w:bCs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黑体" w:hAnsi="黑体" w:eastAsia="黑体" w:cs="黑体"/>
          <w:b/>
          <w:bCs/>
          <w:color w:val="auto"/>
          <w:kern w:val="2"/>
          <w:sz w:val="28"/>
          <w:szCs w:val="28"/>
          <w:lang w:val="en-US" w:eastAsia="zh-CN" w:bidi="ar-SA"/>
        </w:rPr>
        <w:t xml:space="preserve">五 </w:t>
      </w:r>
      <w:r>
        <w:rPr>
          <w:rFonts w:hint="eastAsia" w:ascii="黑体" w:hAnsi="黑体" w:eastAsia="黑体" w:cs="黑体"/>
          <w:b/>
          <w:bCs/>
          <w:color w:val="auto"/>
          <w:kern w:val="2"/>
          <w:sz w:val="28"/>
          <w:szCs w:val="28"/>
          <w:lang w:val="en-US" w:eastAsia="zh-CN" w:bidi="ar-SA"/>
        </w:rPr>
        <w:t>模型的建立与求解</w:t>
      </w:r>
    </w:p>
    <w:p w14:paraId="1EB03185"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黑体" w:hAnsi="黑体" w:eastAsia="黑体" w:cs="黑体"/>
          <w:b/>
          <w:bCs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黑体" w:hAnsi="黑体" w:eastAsia="黑体" w:cs="黑体"/>
          <w:b/>
          <w:bCs/>
          <w:color w:val="auto"/>
          <w:kern w:val="2"/>
          <w:sz w:val="24"/>
          <w:szCs w:val="24"/>
          <w:lang w:val="en-US" w:eastAsia="zh-CN" w:bidi="ar-SA"/>
        </w:rPr>
        <w:t>5.1</w:t>
      </w:r>
      <w:r>
        <w:rPr>
          <w:rFonts w:hint="eastAsia" w:ascii="黑体" w:hAnsi="黑体" w:eastAsia="黑体" w:cs="黑体"/>
          <w:b/>
          <w:bCs/>
          <w:color w:val="auto"/>
          <w:kern w:val="2"/>
          <w:sz w:val="24"/>
          <w:szCs w:val="24"/>
          <w:lang w:val="en-US" w:eastAsia="zh-CN" w:bidi="ar-SA"/>
        </w:rPr>
        <w:t xml:space="preserve"> 问题一模型的建立与求解</w:t>
      </w:r>
    </w:p>
    <w:p w14:paraId="30F407B3">
      <w:pPr>
        <w:bidi w:val="0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ˎ̥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EC1C2D1"/>
    <w:multiLevelType w:val="singleLevel"/>
    <w:tmpl w:val="6EC1C2D1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4D5D4D"/>
    <w:rsid w:val="67BA7281"/>
    <w:rsid w:val="734E7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link w:val="8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 Indent"/>
    <w:basedOn w:val="1"/>
    <w:link w:val="7"/>
    <w:qFormat/>
    <w:uiPriority w:val="0"/>
    <w:pPr>
      <w:ind w:left="359" w:leftChars="171" w:firstLine="890" w:firstLineChars="371"/>
    </w:pPr>
    <w:rPr>
      <w:rFonts w:ascii="宋体" w:hAnsi="宋体"/>
      <w:i/>
      <w:iCs/>
      <w:sz w:val="24"/>
    </w:rPr>
  </w:style>
  <w:style w:type="paragraph" w:styleId="4">
    <w:name w:val="Normal (Web)"/>
    <w:basedOn w:val="1"/>
    <w:uiPriority w:val="0"/>
    <w:rPr>
      <w:sz w:val="24"/>
    </w:rPr>
  </w:style>
  <w:style w:type="character" w:customStyle="1" w:styleId="7">
    <w:name w:val="正文文本缩进 Char"/>
    <w:link w:val="3"/>
    <w:qFormat/>
    <w:uiPriority w:val="0"/>
    <w:rPr>
      <w:rFonts w:ascii="宋体" w:hAnsi="宋体"/>
      <w:i/>
      <w:iCs/>
      <w:sz w:val="24"/>
    </w:rPr>
  </w:style>
  <w:style w:type="character" w:customStyle="1" w:styleId="8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812</Words>
  <Characters>841</Characters>
  <Lines>0</Lines>
  <Paragraphs>0</Paragraphs>
  <TotalTime>21</TotalTime>
  <ScaleCrop>false</ScaleCrop>
  <LinksUpToDate>false</LinksUpToDate>
  <CharactersWithSpaces>843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2025-08-17T08:17:00Z</dcterms:created>
  <dc:creator>颜艺帝</dc:creator>
  <cp:lastModifiedBy>颜艺帝</cp:lastModifiedBy>
  <dcterms:modified xsi:type="dcterms:W3CDTF">2025-08-18T06:29:04Z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8DFE2C835BC84746B920B7CE3E777FE4_13</vt:lpwstr>
  </property>
  <property fmtid="{D5CDD505-2E9C-101B-9397-08002B2CF9AE}" pid="4" name="KSOTemplateDocerSaveRecord">
    <vt:lpwstr>eyJoZGlkIjoiNTllOThmNmUyYjY1YzZlZTkyYmM4NTFmNjQ0NTAwNmMiLCJ1c2VySWQiOiIxNTUyMTI5MDA4In0=</vt:lpwstr>
  </property>
</Properties>
</file>