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 Diagramme des exigences du système d'automatisation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skinparam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defaultFontName Arial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arrowColor DimGray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actorBorderColor DimGray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actorFontColor DimGray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actorBackgroundColor LightBlue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rectangleBorderColor DimGray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rectangleFontColor DimGray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rectangleBackgroundColor LightBlue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actor "Utilisateur\n(Application graphique)" as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rectangle "Application graphique\n(Modbus/TCP)" as app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rectangle "Robot FANUC\n(Mi10 ou Mi20)" as fanuc_robot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rectangle "Convoyeur" as conveyor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rectangle "Écran tactile\n(Modbus/TCP)" as touchscreen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rectangle "Robot Niryo\n(Ned2)" as niryo_robot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rectangle "Poste de stockage 1" as storage1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rectangle "Poste de stockage 2" as storage2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 --&gt; app : Contrôle et supervision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 --&gt; fanuc_robot : Contrôle et supervision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 --&gt; conveyor : Contrôle et supervision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 --&gt; niryo_robot : Contrôle et supervision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touchscreen --&gt; niryo_robot : Contrôle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fanuc_robot -left-&gt; storage1 : Prendre pièce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fanuc_robot -right-&gt; conveyor : Poser pièce sur le convoyeur si CptPiece1=0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conveyor -right-&gt; niryo_robot : Si CptPiece1=1 alors Transporter pièce du convoyeur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niryo_robot -right-&gt; conveyor : Prendre pièce Si CptPiece2=1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niryo_robot -right-&gt; storage2 : Déposer pièce dans le poste de stockage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