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Sommaire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Situation dans le projet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Cahier des charges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Analyse et spécification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4.1 Diagrammes UML/SysML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Description des matériels, logiciels et langages de programmation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Inventaire des solutions de conception possibles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Conception de la solution retenue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7.1 Diagrammes UML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7.2 Algorithmes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7.3 Schémas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Réalisation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Tests unitaires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Intégration et validation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Diagrammes de Gantt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11.1 Planning prévisionnel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11.2 Planning réalisé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Conclusion personnelle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Contenu détaillé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Présentation générale du projet.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Objectifs du projet.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Contexte et importance du projet.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Situation dans le projet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Schéma global du projet.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Positionnement de votre travail dans l'ensemble du projet.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Cahier des charges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Description précise des exigences fonctionnelles et techniques de votre partie du projet.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Contraintes à respecter.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Analyse et spécification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Diagrammes UML/SysML représentant le système et ses interactions.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Analyse des besoins et spécifications détaillées.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Description des matériels, logiciels et langages de programmation utilisés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Matériels : Robot Fanuc M-10iA, rail de transmission, robot Niryo.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Logiciels : Environnement de programmation du Fanuc, logiciels de simulation et contrôle des robots.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Langages de programmation : Description du langage utilisé pour le Fanuc (ex : KAREL), programmation pour la librairie dynamique (ex : C++, Python).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Inventaire des solutions de conception possibles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Présentation des différentes solutions envisagées.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Comparaison des solutions : avantages et inconvénients.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Justification du choix de la solution retenue.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Conception de la solution retenue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Diagrammes UML : Diagrammes de classes, de séquence, etc.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Algorithmes : Description des algorithmes utilisés.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Schémas : Schémas électriques et de câblage si nécessaire.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Réalisation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Choix de configuration matérielle et logicielle.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Étapes de programmation du Fanuc et de la librairie dynamique.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Détails des parties complexes et des défis rencontrés.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Tests unitaires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Méthodologie de tests unitaires.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Exemples de tests réalisés pour vérifier que le produit respecte le cahier des charges.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Inclusion de tableaux de tests en annexes.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Intégration et validation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Processus d'intégration de votre partie avec celles des autres.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Méthodologie de validation des tests d'intégration.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Inclusion de tableaux de tests en annexes.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Diagrammes de Gantt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Planning prévisionnel : Diagramme de Gantt montrant le plan initial du projet.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Planning réalisé : Diagramme de Gantt montrant le plan réel du projet et les ajustements effectués.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Conclusion personnelle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Retour personnel sur le projet.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Réflexion sur les compétences acquises et les défis relevés.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Suggestions pour des améliorations futures ou des travaux ultérieurs.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Annexes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Tableaux de tests unitaires.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Tableaux de tests d'intégration et validation.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Documents techniques supplémentaires (schémas, codes sources, etc.).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(texte justifié - police 11)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