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B2BFD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DAX MEASURES DOCUMENTATION</w:t>
      </w:r>
    </w:p>
    <w:p w14:paraId="788355DC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1. Total Exposure</w:t>
      </w:r>
    </w:p>
    <w:p w14:paraId="6181C7AA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DAX Formula</w:t>
      </w:r>
    </w:p>
    <w:p w14:paraId="4AD5B094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Total Exposure =</w:t>
      </w:r>
      <w:r w:rsidRPr="007A280D">
        <w:rPr>
          <w:rFonts w:ascii="Arial" w:hAnsi="Arial" w:cs="Arial"/>
          <w:sz w:val="28"/>
          <w:szCs w:val="28"/>
        </w:rPr>
        <w:br/>
        <w:t>SUM('Auto Loan Data'[Current Balance])</w:t>
      </w:r>
    </w:p>
    <w:p w14:paraId="02E40638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Purpose</w:t>
      </w:r>
    </w:p>
    <w:p w14:paraId="00CF4DC4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Calculates the total outstanding balance of all active loans in the securitised portfolio.</w:t>
      </w:r>
    </w:p>
    <w:p w14:paraId="2BE70D42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Business Significance</w:t>
      </w:r>
    </w:p>
    <w:p w14:paraId="59F4582A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Represents the total amount exposed to credit risk and serves as the primary portfolio size indicator.</w:t>
      </w:r>
    </w:p>
    <w:p w14:paraId="0DE71CFD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Dashboard Usage</w:t>
      </w:r>
    </w:p>
    <w:p w14:paraId="764FC9E8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Executive Dashboard, Investor Reporting Dashboard</w:t>
      </w:r>
    </w:p>
    <w:p w14:paraId="6E01CBBB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pict w14:anchorId="20337038">
          <v:rect id="_x0000_i1121" style="width:0;height:1.5pt" o:hralign="center" o:hrstd="t" o:hr="t" fillcolor="#a0a0a0" stroked="f"/>
        </w:pict>
      </w:r>
    </w:p>
    <w:p w14:paraId="55F1A7EA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2. Net Cashflow</w:t>
      </w:r>
    </w:p>
    <w:p w14:paraId="32C393E6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DAX Formula</w:t>
      </w:r>
    </w:p>
    <w:p w14:paraId="140DBADF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Net Cashflow =</w:t>
      </w:r>
      <w:r w:rsidRPr="007A280D">
        <w:rPr>
          <w:rFonts w:ascii="Arial" w:hAnsi="Arial" w:cs="Arial"/>
          <w:sz w:val="28"/>
          <w:szCs w:val="28"/>
        </w:rPr>
        <w:br/>
        <w:t>SUM('Auto Loan Data'[Current Balance]) -</w:t>
      </w:r>
      <w:r w:rsidRPr="007A280D">
        <w:rPr>
          <w:rFonts w:ascii="Arial" w:hAnsi="Arial" w:cs="Arial"/>
          <w:sz w:val="28"/>
          <w:szCs w:val="28"/>
        </w:rPr>
        <w:br/>
        <w:t>SUM('Auto Loan Data'[Expected Loss])</w:t>
      </w:r>
    </w:p>
    <w:p w14:paraId="6DC6A818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Purpose</w:t>
      </w:r>
    </w:p>
    <w:p w14:paraId="792B8B90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Calculates the net expected cash inflow after accounting for expected losses.</w:t>
      </w:r>
    </w:p>
    <w:p w14:paraId="1696146B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Business Significance</w:t>
      </w:r>
    </w:p>
    <w:p w14:paraId="1699FF27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Used for investor reporting and securitisation cash flow analysis.</w:t>
      </w:r>
    </w:p>
    <w:p w14:paraId="2CDE2A13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Dashboard Usage</w:t>
      </w:r>
    </w:p>
    <w:p w14:paraId="6200E980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Executive Dashboard, Waterfall Dashboard</w:t>
      </w:r>
    </w:p>
    <w:p w14:paraId="580AC218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pict w14:anchorId="7064CCC3">
          <v:rect id="_x0000_i1122" style="width:0;height:1.5pt" o:hralign="center" o:hrstd="t" o:hr="t" fillcolor="#a0a0a0" stroked="f"/>
        </w:pict>
      </w:r>
    </w:p>
    <w:p w14:paraId="68B16A2E" w14:textId="77777777" w:rsidR="001445C3" w:rsidRDefault="001445C3" w:rsidP="007A280D">
      <w:pPr>
        <w:rPr>
          <w:rFonts w:ascii="Arial" w:hAnsi="Arial" w:cs="Arial"/>
          <w:b/>
          <w:bCs/>
          <w:sz w:val="28"/>
          <w:szCs w:val="28"/>
        </w:rPr>
      </w:pPr>
    </w:p>
    <w:p w14:paraId="295A15FC" w14:textId="77777777" w:rsidR="001445C3" w:rsidRDefault="001445C3" w:rsidP="007A280D">
      <w:pPr>
        <w:rPr>
          <w:rFonts w:ascii="Arial" w:hAnsi="Arial" w:cs="Arial"/>
          <w:b/>
          <w:bCs/>
          <w:sz w:val="28"/>
          <w:szCs w:val="28"/>
        </w:rPr>
      </w:pPr>
    </w:p>
    <w:p w14:paraId="2FC4F075" w14:textId="794363D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lastRenderedPageBreak/>
        <w:t>3. Average Probability of Default (PD)</w:t>
      </w:r>
    </w:p>
    <w:p w14:paraId="314974E6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DAX Formula</w:t>
      </w:r>
    </w:p>
    <w:p w14:paraId="6A165E77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Avg PD =</w:t>
      </w:r>
      <w:r w:rsidRPr="007A280D">
        <w:rPr>
          <w:rFonts w:ascii="Arial" w:hAnsi="Arial" w:cs="Arial"/>
          <w:sz w:val="28"/>
          <w:szCs w:val="28"/>
        </w:rPr>
        <w:br/>
        <w:t>AVERAGE('Auto Loan Data'[PD])</w:t>
      </w:r>
    </w:p>
    <w:p w14:paraId="7732DCEF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Purpose</w:t>
      </w:r>
    </w:p>
    <w:p w14:paraId="7552B7A1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Calculates the average probability that borrowers will default.</w:t>
      </w:r>
    </w:p>
    <w:p w14:paraId="015B909B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Business Significance</w:t>
      </w:r>
    </w:p>
    <w:p w14:paraId="30C73A30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Key indicator used in credit risk assessment and IFRS 9 calculations.</w:t>
      </w:r>
    </w:p>
    <w:p w14:paraId="66101FE6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Dashboard Usage</w:t>
      </w:r>
    </w:p>
    <w:p w14:paraId="13A4A571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Executive Dashboard, IFRS 9 Dashboard</w:t>
      </w:r>
    </w:p>
    <w:p w14:paraId="2E6BAAFB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pict w14:anchorId="66104C6C">
          <v:rect id="_x0000_i1123" style="width:0;height:1.5pt" o:hralign="center" o:hrstd="t" o:hr="t" fillcolor="#a0a0a0" stroked="f"/>
        </w:pict>
      </w:r>
    </w:p>
    <w:p w14:paraId="738B2B3C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4. Average Loss Given Default (LGD)</w:t>
      </w:r>
    </w:p>
    <w:p w14:paraId="3D0684A6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DAX Formula</w:t>
      </w:r>
    </w:p>
    <w:p w14:paraId="3E1BA4DA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Avg LGD =</w:t>
      </w:r>
      <w:r w:rsidRPr="007A280D">
        <w:rPr>
          <w:rFonts w:ascii="Arial" w:hAnsi="Arial" w:cs="Arial"/>
          <w:sz w:val="28"/>
          <w:szCs w:val="28"/>
        </w:rPr>
        <w:br/>
        <w:t>AVERAGE('Auto Loan Data'[LGD])</w:t>
      </w:r>
    </w:p>
    <w:p w14:paraId="45902326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Purpose</w:t>
      </w:r>
    </w:p>
    <w:p w14:paraId="45A14E7B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Measures expected percentage loss after borrower default.</w:t>
      </w:r>
    </w:p>
    <w:p w14:paraId="584CB12E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Business Significance</w:t>
      </w:r>
    </w:p>
    <w:p w14:paraId="11360C27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Helps estimate expected credit losses.</w:t>
      </w:r>
    </w:p>
    <w:p w14:paraId="617CF0DC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Dashboard Usage</w:t>
      </w:r>
    </w:p>
    <w:p w14:paraId="113106B6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Executive Dashboard, IFRS 9 Dashboard</w:t>
      </w:r>
    </w:p>
    <w:p w14:paraId="20DB1EFA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pict w14:anchorId="1A50C78B">
          <v:rect id="_x0000_i1124" style="width:0;height:1.5pt" o:hralign="center" o:hrstd="t" o:hr="t" fillcolor="#a0a0a0" stroked="f"/>
        </w:pict>
      </w:r>
    </w:p>
    <w:p w14:paraId="114032C4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5. Exposure at Default (EAD)</w:t>
      </w:r>
    </w:p>
    <w:p w14:paraId="66E849CA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DAX Formula</w:t>
      </w:r>
    </w:p>
    <w:p w14:paraId="7863BA3F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Total EAD =</w:t>
      </w:r>
      <w:r w:rsidRPr="007A280D">
        <w:rPr>
          <w:rFonts w:ascii="Arial" w:hAnsi="Arial" w:cs="Arial"/>
          <w:sz w:val="28"/>
          <w:szCs w:val="28"/>
        </w:rPr>
        <w:br/>
        <w:t>SUM('Auto Loan Data'[EAD])</w:t>
      </w:r>
    </w:p>
    <w:p w14:paraId="24ED0A5C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Purpose</w:t>
      </w:r>
    </w:p>
    <w:p w14:paraId="34B32E7C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Calculates total outstanding exposure expected at default.</w:t>
      </w:r>
    </w:p>
    <w:p w14:paraId="590B1453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lastRenderedPageBreak/>
        <w:t>Business Significance</w:t>
      </w:r>
    </w:p>
    <w:p w14:paraId="1917A6B8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Important component of IFRS 9 Expected Credit Loss calculations.</w:t>
      </w:r>
    </w:p>
    <w:p w14:paraId="3B63B045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Dashboard Usage</w:t>
      </w:r>
    </w:p>
    <w:p w14:paraId="7A6E0F38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IFRS 9 Dashboard</w:t>
      </w:r>
    </w:p>
    <w:p w14:paraId="6B4AD479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pict w14:anchorId="2803E016">
          <v:rect id="_x0000_i1125" style="width:0;height:1.5pt" o:hralign="center" o:hrstd="t" o:hr="t" fillcolor="#a0a0a0" stroked="f"/>
        </w:pict>
      </w:r>
    </w:p>
    <w:p w14:paraId="30C60CFC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6. Expected Credit Loss (ECL)</w:t>
      </w:r>
    </w:p>
    <w:p w14:paraId="38ECF018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DAX Formula</w:t>
      </w:r>
    </w:p>
    <w:p w14:paraId="74C3ACAC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Total ECL =</w:t>
      </w:r>
      <w:r w:rsidRPr="007A280D">
        <w:rPr>
          <w:rFonts w:ascii="Arial" w:hAnsi="Arial" w:cs="Arial"/>
          <w:sz w:val="28"/>
          <w:szCs w:val="28"/>
        </w:rPr>
        <w:br/>
        <w:t>SUMX(</w:t>
      </w:r>
      <w:r w:rsidRPr="007A280D">
        <w:rPr>
          <w:rFonts w:ascii="Arial" w:hAnsi="Arial" w:cs="Arial"/>
          <w:sz w:val="28"/>
          <w:szCs w:val="28"/>
        </w:rPr>
        <w:br/>
        <w:t>'Auto Loan Data',</w:t>
      </w:r>
      <w:r w:rsidRPr="007A280D">
        <w:rPr>
          <w:rFonts w:ascii="Arial" w:hAnsi="Arial" w:cs="Arial"/>
          <w:sz w:val="28"/>
          <w:szCs w:val="28"/>
        </w:rPr>
        <w:br/>
        <w:t>'Auto Loan Data'[PD] *</w:t>
      </w:r>
      <w:r w:rsidRPr="007A280D">
        <w:rPr>
          <w:rFonts w:ascii="Arial" w:hAnsi="Arial" w:cs="Arial"/>
          <w:sz w:val="28"/>
          <w:szCs w:val="28"/>
        </w:rPr>
        <w:br/>
        <w:t>'Auto Loan Data'[LGD] *</w:t>
      </w:r>
      <w:r w:rsidRPr="007A280D">
        <w:rPr>
          <w:rFonts w:ascii="Arial" w:hAnsi="Arial" w:cs="Arial"/>
          <w:sz w:val="28"/>
          <w:szCs w:val="28"/>
        </w:rPr>
        <w:br/>
        <w:t>'Auto Loan Data'[EAD]</w:t>
      </w:r>
      <w:r w:rsidRPr="007A280D">
        <w:rPr>
          <w:rFonts w:ascii="Arial" w:hAnsi="Arial" w:cs="Arial"/>
          <w:sz w:val="28"/>
          <w:szCs w:val="28"/>
        </w:rPr>
        <w:br/>
        <w:t>)</w:t>
      </w:r>
    </w:p>
    <w:p w14:paraId="11C4282A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Purpose</w:t>
      </w:r>
    </w:p>
    <w:p w14:paraId="2D459978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Calculates expected losses based on probability of default, loss severity, and exposure.</w:t>
      </w:r>
    </w:p>
    <w:p w14:paraId="621D4BA3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Business Significance</w:t>
      </w:r>
    </w:p>
    <w:p w14:paraId="18EB8B27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Supports IFRS 9 impairment reporting and risk provisioning.</w:t>
      </w:r>
    </w:p>
    <w:p w14:paraId="1F460FF7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Dashboard Usage</w:t>
      </w:r>
    </w:p>
    <w:p w14:paraId="5DDF446E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IFRS 9 Dashboard, Executive Dashboard</w:t>
      </w:r>
    </w:p>
    <w:p w14:paraId="595117A9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pict w14:anchorId="37B8757F">
          <v:rect id="_x0000_i1126" style="width:0;height:1.5pt" o:hralign="center" o:hrstd="t" o:hr="t" fillcolor="#a0a0a0" stroked="f"/>
        </w:pict>
      </w:r>
    </w:p>
    <w:p w14:paraId="17059739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7. Cure Rate</w:t>
      </w:r>
    </w:p>
    <w:p w14:paraId="4C871D9A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DAX Formula</w:t>
      </w:r>
    </w:p>
    <w:p w14:paraId="76878A1D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Cure Rate =</w:t>
      </w:r>
      <w:r w:rsidRPr="007A280D">
        <w:rPr>
          <w:rFonts w:ascii="Arial" w:hAnsi="Arial" w:cs="Arial"/>
          <w:sz w:val="28"/>
          <w:szCs w:val="28"/>
        </w:rPr>
        <w:br/>
        <w:t>DIVIDE(</w:t>
      </w:r>
      <w:r w:rsidRPr="007A280D">
        <w:rPr>
          <w:rFonts w:ascii="Arial" w:hAnsi="Arial" w:cs="Arial"/>
          <w:sz w:val="28"/>
          <w:szCs w:val="28"/>
        </w:rPr>
        <w:br/>
        <w:t>COUNTROWS(</w:t>
      </w:r>
      <w:r w:rsidRPr="007A280D">
        <w:rPr>
          <w:rFonts w:ascii="Arial" w:hAnsi="Arial" w:cs="Arial"/>
          <w:sz w:val="28"/>
          <w:szCs w:val="28"/>
        </w:rPr>
        <w:br/>
        <w:t>FILTER(</w:t>
      </w:r>
      <w:r w:rsidRPr="007A280D">
        <w:rPr>
          <w:rFonts w:ascii="Arial" w:hAnsi="Arial" w:cs="Arial"/>
          <w:sz w:val="28"/>
          <w:szCs w:val="28"/>
        </w:rPr>
        <w:br/>
        <w:t>'DPD History',</w:t>
      </w:r>
      <w:r w:rsidRPr="007A280D">
        <w:rPr>
          <w:rFonts w:ascii="Arial" w:hAnsi="Arial" w:cs="Arial"/>
          <w:sz w:val="28"/>
          <w:szCs w:val="28"/>
        </w:rPr>
        <w:br/>
        <w:t>'DPD History'[Cure Flag] = "Yes"</w:t>
      </w:r>
      <w:r w:rsidRPr="007A280D">
        <w:rPr>
          <w:rFonts w:ascii="Arial" w:hAnsi="Arial" w:cs="Arial"/>
          <w:sz w:val="28"/>
          <w:szCs w:val="28"/>
        </w:rPr>
        <w:br/>
        <w:t>)</w:t>
      </w:r>
      <w:r w:rsidRPr="007A280D">
        <w:rPr>
          <w:rFonts w:ascii="Arial" w:hAnsi="Arial" w:cs="Arial"/>
          <w:sz w:val="28"/>
          <w:szCs w:val="28"/>
        </w:rPr>
        <w:br/>
        <w:t>),</w:t>
      </w:r>
      <w:r w:rsidRPr="007A280D">
        <w:rPr>
          <w:rFonts w:ascii="Arial" w:hAnsi="Arial" w:cs="Arial"/>
          <w:sz w:val="28"/>
          <w:szCs w:val="28"/>
        </w:rPr>
        <w:br/>
      </w:r>
      <w:r w:rsidRPr="007A280D">
        <w:rPr>
          <w:rFonts w:ascii="Arial" w:hAnsi="Arial" w:cs="Arial"/>
          <w:sz w:val="28"/>
          <w:szCs w:val="28"/>
        </w:rPr>
        <w:lastRenderedPageBreak/>
        <w:t>COUNTROWS('DPD History')</w:t>
      </w:r>
      <w:r w:rsidRPr="007A280D">
        <w:rPr>
          <w:rFonts w:ascii="Arial" w:hAnsi="Arial" w:cs="Arial"/>
          <w:sz w:val="28"/>
          <w:szCs w:val="28"/>
        </w:rPr>
        <w:br/>
        <w:t>)</w:t>
      </w:r>
    </w:p>
    <w:p w14:paraId="48CA6D53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Purpose</w:t>
      </w:r>
    </w:p>
    <w:p w14:paraId="18D0ED7C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Measures the percentage of delinquent loans that return to current status.</w:t>
      </w:r>
    </w:p>
    <w:p w14:paraId="223369D8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Business Significance</w:t>
      </w:r>
    </w:p>
    <w:p w14:paraId="29703500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Evaluates collection effectiveness.</w:t>
      </w:r>
    </w:p>
    <w:p w14:paraId="50ADF6F3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Dashboard Usage</w:t>
      </w:r>
    </w:p>
    <w:p w14:paraId="3CE799BA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DPD Dashboard</w:t>
      </w:r>
    </w:p>
    <w:p w14:paraId="1C01390F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pict w14:anchorId="3A806A3F">
          <v:rect id="_x0000_i1127" style="width:0;height:1.5pt" o:hralign="center" o:hrstd="t" o:hr="t" fillcolor="#a0a0a0" stroked="f"/>
        </w:pict>
      </w:r>
    </w:p>
    <w:p w14:paraId="75F6A8AC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8. Roll to Default Rate</w:t>
      </w:r>
    </w:p>
    <w:p w14:paraId="12B1BF7B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DAX Formula</w:t>
      </w:r>
    </w:p>
    <w:p w14:paraId="480B81DD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Roll to Default Rate =</w:t>
      </w:r>
      <w:r w:rsidRPr="007A280D">
        <w:rPr>
          <w:rFonts w:ascii="Arial" w:hAnsi="Arial" w:cs="Arial"/>
          <w:sz w:val="28"/>
          <w:szCs w:val="28"/>
        </w:rPr>
        <w:br/>
        <w:t>DIVIDE(</w:t>
      </w:r>
      <w:r w:rsidRPr="007A280D">
        <w:rPr>
          <w:rFonts w:ascii="Arial" w:hAnsi="Arial" w:cs="Arial"/>
          <w:sz w:val="28"/>
          <w:szCs w:val="28"/>
        </w:rPr>
        <w:br/>
        <w:t>COUNTROWS(</w:t>
      </w:r>
      <w:r w:rsidRPr="007A280D">
        <w:rPr>
          <w:rFonts w:ascii="Arial" w:hAnsi="Arial" w:cs="Arial"/>
          <w:sz w:val="28"/>
          <w:szCs w:val="28"/>
        </w:rPr>
        <w:br/>
        <w:t>FILTER(</w:t>
      </w:r>
      <w:r w:rsidRPr="007A280D">
        <w:rPr>
          <w:rFonts w:ascii="Arial" w:hAnsi="Arial" w:cs="Arial"/>
          <w:sz w:val="28"/>
          <w:szCs w:val="28"/>
        </w:rPr>
        <w:br/>
        <w:t>'DPD History',</w:t>
      </w:r>
      <w:r w:rsidRPr="007A280D">
        <w:rPr>
          <w:rFonts w:ascii="Arial" w:hAnsi="Arial" w:cs="Arial"/>
          <w:sz w:val="28"/>
          <w:szCs w:val="28"/>
        </w:rPr>
        <w:br/>
        <w:t>'DPD History'[DPD Bucket] = "Default"</w:t>
      </w:r>
      <w:r w:rsidRPr="007A280D">
        <w:rPr>
          <w:rFonts w:ascii="Arial" w:hAnsi="Arial" w:cs="Arial"/>
          <w:sz w:val="28"/>
          <w:szCs w:val="28"/>
        </w:rPr>
        <w:br/>
        <w:t>)</w:t>
      </w:r>
      <w:r w:rsidRPr="007A280D">
        <w:rPr>
          <w:rFonts w:ascii="Arial" w:hAnsi="Arial" w:cs="Arial"/>
          <w:sz w:val="28"/>
          <w:szCs w:val="28"/>
        </w:rPr>
        <w:br/>
        <w:t>),</w:t>
      </w:r>
      <w:r w:rsidRPr="007A280D">
        <w:rPr>
          <w:rFonts w:ascii="Arial" w:hAnsi="Arial" w:cs="Arial"/>
          <w:sz w:val="28"/>
          <w:szCs w:val="28"/>
        </w:rPr>
        <w:br/>
        <w:t>COUNTROWS('DPD History')</w:t>
      </w:r>
      <w:r w:rsidRPr="007A280D">
        <w:rPr>
          <w:rFonts w:ascii="Arial" w:hAnsi="Arial" w:cs="Arial"/>
          <w:sz w:val="28"/>
          <w:szCs w:val="28"/>
        </w:rPr>
        <w:br/>
        <w:t>)</w:t>
      </w:r>
    </w:p>
    <w:p w14:paraId="7C81CD41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Purpose</w:t>
      </w:r>
    </w:p>
    <w:p w14:paraId="1AAC2BE1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Measures migration of loans into default.</w:t>
      </w:r>
    </w:p>
    <w:p w14:paraId="5A1C148E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Business Significance</w:t>
      </w:r>
    </w:p>
    <w:p w14:paraId="024D5FCF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Provides early warning of portfolio deterioration.</w:t>
      </w:r>
    </w:p>
    <w:p w14:paraId="6D6141F7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Dashboard Usage</w:t>
      </w:r>
    </w:p>
    <w:p w14:paraId="472CA2A9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DPD Dashboard</w:t>
      </w:r>
    </w:p>
    <w:p w14:paraId="1668F69A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pict w14:anchorId="6B78B5F2">
          <v:rect id="_x0000_i1128" style="width:0;height:1.5pt" o:hralign="center" o:hrstd="t" o:hr="t" fillcolor="#a0a0a0" stroked="f"/>
        </w:pict>
      </w:r>
    </w:p>
    <w:p w14:paraId="53C9372E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9. Pool Factor</w:t>
      </w:r>
    </w:p>
    <w:p w14:paraId="6956B341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DAX Formula</w:t>
      </w:r>
    </w:p>
    <w:p w14:paraId="3E27B2C2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lastRenderedPageBreak/>
        <w:t>Pool Factor =</w:t>
      </w:r>
      <w:r w:rsidRPr="007A280D">
        <w:rPr>
          <w:rFonts w:ascii="Arial" w:hAnsi="Arial" w:cs="Arial"/>
          <w:sz w:val="28"/>
          <w:szCs w:val="28"/>
        </w:rPr>
        <w:br/>
        <w:t>DIVIDE(</w:t>
      </w:r>
      <w:r w:rsidRPr="007A280D">
        <w:rPr>
          <w:rFonts w:ascii="Arial" w:hAnsi="Arial" w:cs="Arial"/>
          <w:sz w:val="28"/>
          <w:szCs w:val="28"/>
        </w:rPr>
        <w:br/>
        <w:t>SUM('Vintage Data'[Current Balance]),</w:t>
      </w:r>
      <w:r w:rsidRPr="007A280D">
        <w:rPr>
          <w:rFonts w:ascii="Arial" w:hAnsi="Arial" w:cs="Arial"/>
          <w:sz w:val="28"/>
          <w:szCs w:val="28"/>
        </w:rPr>
        <w:br/>
        <w:t>SUM('Vintage Data'[Original Balance])</w:t>
      </w:r>
      <w:r w:rsidRPr="007A280D">
        <w:rPr>
          <w:rFonts w:ascii="Arial" w:hAnsi="Arial" w:cs="Arial"/>
          <w:sz w:val="28"/>
          <w:szCs w:val="28"/>
        </w:rPr>
        <w:br/>
        <w:t>)</w:t>
      </w:r>
    </w:p>
    <w:p w14:paraId="140196C5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Purpose</w:t>
      </w:r>
    </w:p>
    <w:p w14:paraId="1C01B253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Measures remaining portfolio balance relative to original balance.</w:t>
      </w:r>
    </w:p>
    <w:p w14:paraId="0822DAD2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Business Significance</w:t>
      </w:r>
    </w:p>
    <w:p w14:paraId="3C315466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Tracks amortisation of the securitised pool.</w:t>
      </w:r>
    </w:p>
    <w:p w14:paraId="4B7FAA0A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Dashboard Usage</w:t>
      </w:r>
    </w:p>
    <w:p w14:paraId="7BAB2B6E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Vintage Dashboard, Investor Reporting Dashboard</w:t>
      </w:r>
    </w:p>
    <w:p w14:paraId="70AE0714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pict w14:anchorId="10E8F48F">
          <v:rect id="_x0000_i1129" style="width:0;height:1.5pt" o:hralign="center" o:hrstd="t" o:hr="t" fillcolor="#a0a0a0" stroked="f"/>
        </w:pict>
      </w:r>
    </w:p>
    <w:p w14:paraId="5F528EAA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10. Static Cumulative Net Loss (CNL)</w:t>
      </w:r>
    </w:p>
    <w:p w14:paraId="7D37E818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DAX Formula</w:t>
      </w:r>
    </w:p>
    <w:p w14:paraId="64CFE6D7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Static CNL =</w:t>
      </w:r>
      <w:r w:rsidRPr="007A280D">
        <w:rPr>
          <w:rFonts w:ascii="Arial" w:hAnsi="Arial" w:cs="Arial"/>
          <w:sz w:val="28"/>
          <w:szCs w:val="28"/>
        </w:rPr>
        <w:br/>
        <w:t>SUM('Vintage Data'[Net Loss]) /</w:t>
      </w:r>
      <w:r w:rsidRPr="007A280D">
        <w:rPr>
          <w:rFonts w:ascii="Arial" w:hAnsi="Arial" w:cs="Arial"/>
          <w:sz w:val="28"/>
          <w:szCs w:val="28"/>
        </w:rPr>
        <w:br/>
        <w:t>SUM('Vintage Data'[Original Balance])</w:t>
      </w:r>
    </w:p>
    <w:p w14:paraId="16D7A558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Purpose</w:t>
      </w:r>
    </w:p>
    <w:p w14:paraId="69EECF46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Calculates cumulative losses within a static pool.</w:t>
      </w:r>
    </w:p>
    <w:p w14:paraId="09929403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Business Significance</w:t>
      </w:r>
    </w:p>
    <w:p w14:paraId="5744F9ED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Used to assess long-term performance of loan vintages.</w:t>
      </w:r>
    </w:p>
    <w:p w14:paraId="0C34D3D7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Dashboard Usage</w:t>
      </w:r>
    </w:p>
    <w:p w14:paraId="61AF914E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Vintage Dashboard</w:t>
      </w:r>
    </w:p>
    <w:p w14:paraId="27665200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pict w14:anchorId="53FADE4D">
          <v:rect id="_x0000_i1130" style="width:0;height:1.5pt" o:hralign="center" o:hrstd="t" o:hr="t" fillcolor="#a0a0a0" stroked="f"/>
        </w:pict>
      </w:r>
    </w:p>
    <w:p w14:paraId="1B649CB9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11. Conditional Default Rate (CDR)</w:t>
      </w:r>
    </w:p>
    <w:p w14:paraId="7DDD2D0F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DAX Formula</w:t>
      </w:r>
    </w:p>
    <w:p w14:paraId="2916A012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CDR =</w:t>
      </w:r>
      <w:r w:rsidRPr="007A280D">
        <w:rPr>
          <w:rFonts w:ascii="Arial" w:hAnsi="Arial" w:cs="Arial"/>
          <w:sz w:val="28"/>
          <w:szCs w:val="28"/>
        </w:rPr>
        <w:br/>
        <w:t>AVERAGE('Dynamic Loss'[CDR])</w:t>
      </w:r>
    </w:p>
    <w:p w14:paraId="6407A3AF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Purpose</w:t>
      </w:r>
    </w:p>
    <w:p w14:paraId="141F65EA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Measures annualised default rate.</w:t>
      </w:r>
    </w:p>
    <w:p w14:paraId="139586B8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lastRenderedPageBreak/>
        <w:t>Business Significance</w:t>
      </w:r>
    </w:p>
    <w:p w14:paraId="6A5E09F9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Key securitisation performance metric.</w:t>
      </w:r>
    </w:p>
    <w:p w14:paraId="34B17A16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Dashboard Usage</w:t>
      </w:r>
    </w:p>
    <w:p w14:paraId="17A575A9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Dynamic Loss Dashboard</w:t>
      </w:r>
    </w:p>
    <w:p w14:paraId="419F9BCD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pict w14:anchorId="5A2F0D55">
          <v:rect id="_x0000_i1131" style="width:0;height:1.5pt" o:hralign="center" o:hrstd="t" o:hr="t" fillcolor="#a0a0a0" stroked="f"/>
        </w:pict>
      </w:r>
    </w:p>
    <w:p w14:paraId="2328E549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12. Conditional Prepayment Rate (CPR)</w:t>
      </w:r>
    </w:p>
    <w:p w14:paraId="72F0E4E1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DAX Formula</w:t>
      </w:r>
    </w:p>
    <w:p w14:paraId="1E8970E5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CPR =</w:t>
      </w:r>
      <w:r w:rsidRPr="007A280D">
        <w:rPr>
          <w:rFonts w:ascii="Arial" w:hAnsi="Arial" w:cs="Arial"/>
          <w:sz w:val="28"/>
          <w:szCs w:val="28"/>
        </w:rPr>
        <w:br/>
        <w:t>AVERAGE('Dynamic Loss'[CPR])</w:t>
      </w:r>
    </w:p>
    <w:p w14:paraId="19BCBD10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Purpose</w:t>
      </w:r>
    </w:p>
    <w:p w14:paraId="78ADC74E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Measures annualised prepayment behaviour.</w:t>
      </w:r>
    </w:p>
    <w:p w14:paraId="3DC3F9E4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Business Significance</w:t>
      </w:r>
    </w:p>
    <w:p w14:paraId="225671BA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Used for cashflow forecasting.</w:t>
      </w:r>
    </w:p>
    <w:p w14:paraId="6955B480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Dashboard Usage</w:t>
      </w:r>
    </w:p>
    <w:p w14:paraId="17FA7ABA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Dynamic Loss Dashboard</w:t>
      </w:r>
    </w:p>
    <w:p w14:paraId="7F42FE71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pict w14:anchorId="5A1F5C28">
          <v:rect id="_x0000_i1132" style="width:0;height:1.5pt" o:hralign="center" o:hrstd="t" o:hr="t" fillcolor="#a0a0a0" stroked="f"/>
        </w:pict>
      </w:r>
    </w:p>
    <w:p w14:paraId="48284331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13. Recovery Rate</w:t>
      </w:r>
    </w:p>
    <w:p w14:paraId="4BA6784E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DAX Formula</w:t>
      </w:r>
    </w:p>
    <w:p w14:paraId="4C622971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Recovery Rate =</w:t>
      </w:r>
      <w:r w:rsidRPr="007A280D">
        <w:rPr>
          <w:rFonts w:ascii="Arial" w:hAnsi="Arial" w:cs="Arial"/>
          <w:sz w:val="28"/>
          <w:szCs w:val="28"/>
        </w:rPr>
        <w:br/>
        <w:t>DIVIDE(</w:t>
      </w:r>
      <w:r w:rsidRPr="007A280D">
        <w:rPr>
          <w:rFonts w:ascii="Arial" w:hAnsi="Arial" w:cs="Arial"/>
          <w:sz w:val="28"/>
          <w:szCs w:val="28"/>
        </w:rPr>
        <w:br/>
        <w:t>SUM('Dynamic Loss'[Recoveries]),</w:t>
      </w:r>
      <w:r w:rsidRPr="007A280D">
        <w:rPr>
          <w:rFonts w:ascii="Arial" w:hAnsi="Arial" w:cs="Arial"/>
          <w:sz w:val="28"/>
          <w:szCs w:val="28"/>
        </w:rPr>
        <w:br/>
        <w:t>SUM('Dynamic Loss'[Defaults])</w:t>
      </w:r>
      <w:r w:rsidRPr="007A280D">
        <w:rPr>
          <w:rFonts w:ascii="Arial" w:hAnsi="Arial" w:cs="Arial"/>
          <w:sz w:val="28"/>
          <w:szCs w:val="28"/>
        </w:rPr>
        <w:br/>
        <w:t>)</w:t>
      </w:r>
    </w:p>
    <w:p w14:paraId="6CDCBD79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Purpose</w:t>
      </w:r>
    </w:p>
    <w:p w14:paraId="6B5DBA99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Measures percentage of losses recovered after default.</w:t>
      </w:r>
    </w:p>
    <w:p w14:paraId="05CC724D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Business Significance</w:t>
      </w:r>
    </w:p>
    <w:p w14:paraId="0F49AB0C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Indicates effectiveness of recovery processes.</w:t>
      </w:r>
    </w:p>
    <w:p w14:paraId="1833B23F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Dashboard Usage</w:t>
      </w:r>
    </w:p>
    <w:p w14:paraId="1249C7EC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Dynamic Loss Dashboard</w:t>
      </w:r>
    </w:p>
    <w:p w14:paraId="33876295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lastRenderedPageBreak/>
        <w:pict w14:anchorId="001F420D">
          <v:rect id="_x0000_i1133" style="width:0;height:1.5pt" o:hralign="center" o:hrstd="t" o:hr="t" fillcolor="#a0a0a0" stroked="f"/>
        </w:pict>
      </w:r>
    </w:p>
    <w:p w14:paraId="6BDDAA4B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14. Excess Spread</w:t>
      </w:r>
    </w:p>
    <w:p w14:paraId="31DAF9FB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DAX Formula</w:t>
      </w:r>
    </w:p>
    <w:p w14:paraId="38B4DA0A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Excess Spread =</w:t>
      </w:r>
      <w:r w:rsidRPr="007A280D">
        <w:rPr>
          <w:rFonts w:ascii="Arial" w:hAnsi="Arial" w:cs="Arial"/>
          <w:sz w:val="28"/>
          <w:szCs w:val="28"/>
        </w:rPr>
        <w:br/>
        <w:t>SUM('Dynamic Loss'[Interest Income]) -</w:t>
      </w:r>
      <w:r w:rsidRPr="007A280D">
        <w:rPr>
          <w:rFonts w:ascii="Arial" w:hAnsi="Arial" w:cs="Arial"/>
          <w:sz w:val="28"/>
          <w:szCs w:val="28"/>
        </w:rPr>
        <w:br/>
        <w:t>SUM('Dynamic Loss'[Losses])</w:t>
      </w:r>
    </w:p>
    <w:p w14:paraId="0D1D92E5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Purpose</w:t>
      </w:r>
    </w:p>
    <w:p w14:paraId="429905D3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Calculates residual earnings after covering portfolio losses.</w:t>
      </w:r>
    </w:p>
    <w:p w14:paraId="0381570F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Business Significance</w:t>
      </w:r>
    </w:p>
    <w:p w14:paraId="13F5810A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Acts as a protective buffer for investors.</w:t>
      </w:r>
    </w:p>
    <w:p w14:paraId="4C642503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Dashboard Usage</w:t>
      </w:r>
    </w:p>
    <w:p w14:paraId="38ECCFC3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Dynamic Loss Dashboard, Investor Reporting Dashboard</w:t>
      </w:r>
    </w:p>
    <w:p w14:paraId="6FEB465A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pict w14:anchorId="4A35A631">
          <v:rect id="_x0000_i1134" style="width:0;height:1.5pt" o:hralign="center" o:hrstd="t" o:hr="t" fillcolor="#a0a0a0" stroked="f"/>
        </w:pict>
      </w:r>
    </w:p>
    <w:p w14:paraId="2FF6D4B8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15. Base Expected Loss</w:t>
      </w:r>
    </w:p>
    <w:p w14:paraId="2B4B7195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DAX Formula</w:t>
      </w:r>
    </w:p>
    <w:p w14:paraId="085139B3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Base EL =</w:t>
      </w:r>
      <w:r w:rsidRPr="007A280D">
        <w:rPr>
          <w:rFonts w:ascii="Arial" w:hAnsi="Arial" w:cs="Arial"/>
          <w:sz w:val="28"/>
          <w:szCs w:val="28"/>
        </w:rPr>
        <w:br/>
        <w:t>[Total ECL]</w:t>
      </w:r>
    </w:p>
    <w:p w14:paraId="2F1F2FF7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Purpose</w:t>
      </w:r>
    </w:p>
    <w:p w14:paraId="5A7FE973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Represents expected loss under normal economic conditions.</w:t>
      </w:r>
    </w:p>
    <w:p w14:paraId="782BCEFE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Dashboard Usage</w:t>
      </w:r>
    </w:p>
    <w:p w14:paraId="43B0EDE5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Stress Testing Dashboard</w:t>
      </w:r>
    </w:p>
    <w:p w14:paraId="75A33B56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pict w14:anchorId="07358BDC">
          <v:rect id="_x0000_i1135" style="width:0;height:1.5pt" o:hralign="center" o:hrstd="t" o:hr="t" fillcolor="#a0a0a0" stroked="f"/>
        </w:pict>
      </w:r>
    </w:p>
    <w:p w14:paraId="12284795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16. Mild Stress Expected Loss</w:t>
      </w:r>
    </w:p>
    <w:p w14:paraId="2E4EE3FD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DAX Formula</w:t>
      </w:r>
    </w:p>
    <w:p w14:paraId="238D37FB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Mild Stress EL =</w:t>
      </w:r>
      <w:r w:rsidRPr="007A280D">
        <w:rPr>
          <w:rFonts w:ascii="Arial" w:hAnsi="Arial" w:cs="Arial"/>
          <w:sz w:val="28"/>
          <w:szCs w:val="28"/>
        </w:rPr>
        <w:br/>
        <w:t>[Total ECL] * 1.25</w:t>
      </w:r>
    </w:p>
    <w:p w14:paraId="7BA94E34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Purpose</w:t>
      </w:r>
    </w:p>
    <w:p w14:paraId="292A1FAC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Estimates losses under moderate stress conditions.</w:t>
      </w:r>
    </w:p>
    <w:p w14:paraId="500DC9D9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Dashboard Usage</w:t>
      </w:r>
    </w:p>
    <w:p w14:paraId="3C0564CC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lastRenderedPageBreak/>
        <w:t>Stress Testing Dashboard</w:t>
      </w:r>
    </w:p>
    <w:p w14:paraId="35F8AD38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pict w14:anchorId="2C43218F">
          <v:rect id="_x0000_i1136" style="width:0;height:1.5pt" o:hralign="center" o:hrstd="t" o:hr="t" fillcolor="#a0a0a0" stroked="f"/>
        </w:pict>
      </w:r>
    </w:p>
    <w:p w14:paraId="2019FF48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17. Severe Stress Expected Loss</w:t>
      </w:r>
    </w:p>
    <w:p w14:paraId="20634101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DAX Formula</w:t>
      </w:r>
    </w:p>
    <w:p w14:paraId="1AC180A8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Severe Stress EL =</w:t>
      </w:r>
      <w:r w:rsidRPr="007A280D">
        <w:rPr>
          <w:rFonts w:ascii="Arial" w:hAnsi="Arial" w:cs="Arial"/>
          <w:sz w:val="28"/>
          <w:szCs w:val="28"/>
        </w:rPr>
        <w:br/>
        <w:t>[Total ECL] * 1.50</w:t>
      </w:r>
    </w:p>
    <w:p w14:paraId="0C7176D7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Purpose</w:t>
      </w:r>
    </w:p>
    <w:p w14:paraId="77E8C65B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Estimates losses under severe economic downturn scenarios.</w:t>
      </w:r>
    </w:p>
    <w:p w14:paraId="380E905D" w14:textId="77777777" w:rsidR="007A280D" w:rsidRPr="007A280D" w:rsidRDefault="007A280D" w:rsidP="007A280D">
      <w:pPr>
        <w:rPr>
          <w:rFonts w:ascii="Arial" w:hAnsi="Arial" w:cs="Arial"/>
          <w:b/>
          <w:bCs/>
          <w:sz w:val="28"/>
          <w:szCs w:val="28"/>
        </w:rPr>
      </w:pPr>
      <w:r w:rsidRPr="007A280D">
        <w:rPr>
          <w:rFonts w:ascii="Arial" w:hAnsi="Arial" w:cs="Arial"/>
          <w:b/>
          <w:bCs/>
          <w:sz w:val="28"/>
          <w:szCs w:val="28"/>
        </w:rPr>
        <w:t>Dashboard Usage</w:t>
      </w:r>
    </w:p>
    <w:p w14:paraId="21C50AA4" w14:textId="77777777" w:rsidR="007A280D" w:rsidRPr="007A280D" w:rsidRDefault="007A280D" w:rsidP="007A280D">
      <w:pPr>
        <w:rPr>
          <w:rFonts w:ascii="Arial" w:hAnsi="Arial" w:cs="Arial"/>
          <w:sz w:val="28"/>
          <w:szCs w:val="28"/>
        </w:rPr>
      </w:pPr>
      <w:r w:rsidRPr="007A280D">
        <w:rPr>
          <w:rFonts w:ascii="Arial" w:hAnsi="Arial" w:cs="Arial"/>
          <w:sz w:val="28"/>
          <w:szCs w:val="28"/>
        </w:rPr>
        <w:t>Stress Testing Dashboard</w:t>
      </w:r>
    </w:p>
    <w:p w14:paraId="294ABD13" w14:textId="77777777" w:rsidR="00D2276C" w:rsidRDefault="00D2276C"/>
    <w:sectPr w:rsidR="00D22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80D"/>
    <w:rsid w:val="001445C3"/>
    <w:rsid w:val="007A280D"/>
    <w:rsid w:val="009221E2"/>
    <w:rsid w:val="00BF3AF9"/>
    <w:rsid w:val="00D2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E5449"/>
  <w15:chartTrackingRefBased/>
  <w15:docId w15:val="{346E16E1-20B5-4114-93E5-6E55EEE9C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8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8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8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8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8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8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8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8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728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koduri thanay</dc:creator>
  <cp:keywords/>
  <dc:description/>
  <cp:lastModifiedBy>koduri thanay</cp:lastModifiedBy>
  <cp:revision>2</cp:revision>
  <dcterms:created xsi:type="dcterms:W3CDTF">2026-06-23T07:24:00Z</dcterms:created>
  <dcterms:modified xsi:type="dcterms:W3CDTF">2026-06-23T07:25:00Z</dcterms:modified>
</cp:coreProperties>
</file>