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BDDB2" w14:textId="77777777" w:rsidR="00EB5C59" w:rsidRPr="00512179" w:rsidRDefault="00EB5C59" w:rsidP="000B7615">
      <w:pPr>
        <w:spacing w:line="276" w:lineRule="auto"/>
        <w:jc w:val="center"/>
        <w:rPr>
          <w:b/>
          <w:bCs/>
          <w:sz w:val="40"/>
          <w:szCs w:val="40"/>
          <w:u w:val="single"/>
        </w:rPr>
      </w:pPr>
      <w:r w:rsidRPr="00512179">
        <w:rPr>
          <w:b/>
          <w:bCs/>
          <w:sz w:val="40"/>
          <w:szCs w:val="40"/>
          <w:u w:val="single"/>
        </w:rPr>
        <w:t>BOND RISK &amp; KEY RATE DURATION ANALYSIS</w:t>
      </w:r>
    </w:p>
    <w:p w14:paraId="0524CF35" w14:textId="77777777" w:rsidR="00EB5C59" w:rsidRPr="00512179" w:rsidRDefault="00EB5C59" w:rsidP="000B7615">
      <w:pPr>
        <w:spacing w:line="276" w:lineRule="auto"/>
        <w:rPr>
          <w:sz w:val="40"/>
          <w:szCs w:val="40"/>
        </w:rPr>
      </w:pPr>
    </w:p>
    <w:p w14:paraId="4925F0A7" w14:textId="77777777" w:rsidR="00EB5C59" w:rsidRDefault="00EB5C59" w:rsidP="000B7615">
      <w:pPr>
        <w:spacing w:line="276" w:lineRule="auto"/>
        <w:rPr>
          <w:sz w:val="32"/>
          <w:szCs w:val="32"/>
        </w:rPr>
      </w:pPr>
    </w:p>
    <w:p w14:paraId="396D9B1A" w14:textId="77777777" w:rsidR="00D86902" w:rsidRDefault="00D86902" w:rsidP="000B7615">
      <w:pPr>
        <w:spacing w:line="276" w:lineRule="auto"/>
        <w:rPr>
          <w:sz w:val="32"/>
          <w:szCs w:val="32"/>
        </w:rPr>
      </w:pPr>
    </w:p>
    <w:p w14:paraId="5F52C263" w14:textId="6EF49E66" w:rsidR="00EB5C59" w:rsidRPr="000B7615" w:rsidRDefault="00EB5C59" w:rsidP="000B7615">
      <w:pPr>
        <w:spacing w:line="276" w:lineRule="auto"/>
        <w:rPr>
          <w:b/>
          <w:bCs/>
          <w:sz w:val="32"/>
          <w:szCs w:val="32"/>
        </w:rPr>
      </w:pPr>
      <w:r w:rsidRPr="00A66CFD">
        <w:rPr>
          <w:b/>
          <w:bCs/>
          <w:sz w:val="32"/>
          <w:szCs w:val="32"/>
        </w:rPr>
        <w:t>Internship Project Report</w:t>
      </w:r>
    </w:p>
    <w:p w14:paraId="5A026A2C" w14:textId="77777777" w:rsidR="000B7615" w:rsidRPr="00EB5C59" w:rsidRDefault="000B7615" w:rsidP="000B7615">
      <w:pPr>
        <w:spacing w:line="276" w:lineRule="auto"/>
        <w:rPr>
          <w:sz w:val="32"/>
          <w:szCs w:val="32"/>
        </w:rPr>
      </w:pPr>
    </w:p>
    <w:p w14:paraId="0B2CE2E1" w14:textId="77777777" w:rsidR="00202E07" w:rsidRDefault="00202E07" w:rsidP="000B7615">
      <w:pPr>
        <w:spacing w:line="276" w:lineRule="auto"/>
        <w:rPr>
          <w:sz w:val="32"/>
          <w:szCs w:val="32"/>
        </w:rPr>
      </w:pPr>
    </w:p>
    <w:p w14:paraId="3113B2AE" w14:textId="290EB4FF" w:rsidR="00EB5C59" w:rsidRPr="00A92308" w:rsidRDefault="00EB5C59" w:rsidP="00491EF7">
      <w:pPr>
        <w:pBdr>
          <w:top w:val="single" w:sz="4" w:space="1" w:color="auto"/>
          <w:left w:val="single" w:sz="4" w:space="4" w:color="auto"/>
          <w:bottom w:val="single" w:sz="4" w:space="1" w:color="auto"/>
          <w:right w:val="single" w:sz="4" w:space="17" w:color="auto"/>
        </w:pBdr>
        <w:spacing w:line="276" w:lineRule="auto"/>
        <w:rPr>
          <w:sz w:val="32"/>
          <w:szCs w:val="32"/>
        </w:rPr>
      </w:pPr>
      <w:r w:rsidRPr="00A92308">
        <w:rPr>
          <w:sz w:val="32"/>
          <w:szCs w:val="32"/>
        </w:rPr>
        <w:t>Submitted by:</w:t>
      </w:r>
      <w:r w:rsidRPr="00A92308">
        <w:rPr>
          <w:sz w:val="32"/>
          <w:szCs w:val="32"/>
        </w:rPr>
        <w:t xml:space="preserve"> </w:t>
      </w:r>
      <w:r w:rsidR="00B667E3" w:rsidRPr="00B667E3">
        <w:rPr>
          <w:sz w:val="32"/>
          <w:szCs w:val="32"/>
        </w:rPr>
        <w:t>Kanaparthi Gayathri</w:t>
      </w:r>
    </w:p>
    <w:p w14:paraId="3823D062" w14:textId="5BBA8B5C" w:rsidR="00EB5C59" w:rsidRPr="00A92308" w:rsidRDefault="00EB5C59" w:rsidP="00491EF7">
      <w:pPr>
        <w:pBdr>
          <w:top w:val="single" w:sz="4" w:space="1" w:color="auto"/>
          <w:left w:val="single" w:sz="4" w:space="4" w:color="auto"/>
          <w:bottom w:val="single" w:sz="4" w:space="1" w:color="auto"/>
          <w:right w:val="single" w:sz="4" w:space="17" w:color="auto"/>
        </w:pBdr>
        <w:spacing w:line="276" w:lineRule="auto"/>
        <w:rPr>
          <w:sz w:val="32"/>
          <w:szCs w:val="32"/>
        </w:rPr>
      </w:pPr>
    </w:p>
    <w:p w14:paraId="402E29B2" w14:textId="77777777" w:rsidR="00EB5C59" w:rsidRPr="00A92308" w:rsidRDefault="00EB5C59" w:rsidP="00491EF7">
      <w:pPr>
        <w:pBdr>
          <w:top w:val="single" w:sz="4" w:space="1" w:color="auto"/>
          <w:left w:val="single" w:sz="4" w:space="4" w:color="auto"/>
          <w:bottom w:val="single" w:sz="4" w:space="1" w:color="auto"/>
          <w:right w:val="single" w:sz="4" w:space="17" w:color="auto"/>
        </w:pBdr>
        <w:spacing w:line="276" w:lineRule="auto"/>
        <w:rPr>
          <w:sz w:val="32"/>
          <w:szCs w:val="32"/>
        </w:rPr>
      </w:pPr>
    </w:p>
    <w:p w14:paraId="27FD2F27" w14:textId="5CCA5773" w:rsidR="00EB5C59" w:rsidRPr="00A92308" w:rsidRDefault="00EB5C59" w:rsidP="00491EF7">
      <w:pPr>
        <w:pBdr>
          <w:top w:val="single" w:sz="4" w:space="1" w:color="auto"/>
          <w:left w:val="single" w:sz="4" w:space="4" w:color="auto"/>
          <w:bottom w:val="single" w:sz="4" w:space="1" w:color="auto"/>
          <w:right w:val="single" w:sz="4" w:space="17" w:color="auto"/>
        </w:pBdr>
        <w:spacing w:line="276" w:lineRule="auto"/>
        <w:rPr>
          <w:sz w:val="32"/>
          <w:szCs w:val="32"/>
        </w:rPr>
      </w:pPr>
      <w:r w:rsidRPr="00A92308">
        <w:rPr>
          <w:sz w:val="32"/>
          <w:szCs w:val="32"/>
        </w:rPr>
        <w:t>Internship Organization:</w:t>
      </w:r>
      <w:r w:rsidRPr="00A92308">
        <w:rPr>
          <w:sz w:val="32"/>
          <w:szCs w:val="32"/>
        </w:rPr>
        <w:t xml:space="preserve"> </w:t>
      </w:r>
      <w:proofErr w:type="spellStart"/>
      <w:r w:rsidR="00346F65">
        <w:rPr>
          <w:sz w:val="32"/>
          <w:szCs w:val="32"/>
        </w:rPr>
        <w:t>Zetheta</w:t>
      </w:r>
      <w:proofErr w:type="spellEnd"/>
    </w:p>
    <w:p w14:paraId="46026B6E" w14:textId="3706A3F7" w:rsidR="00EB5C59" w:rsidRPr="00A92308" w:rsidRDefault="00EB5C59" w:rsidP="00491EF7">
      <w:pPr>
        <w:pBdr>
          <w:top w:val="single" w:sz="4" w:space="1" w:color="auto"/>
          <w:left w:val="single" w:sz="4" w:space="4" w:color="auto"/>
          <w:bottom w:val="single" w:sz="4" w:space="1" w:color="auto"/>
          <w:right w:val="single" w:sz="4" w:space="17" w:color="auto"/>
        </w:pBdr>
        <w:spacing w:line="276" w:lineRule="auto"/>
        <w:rPr>
          <w:sz w:val="32"/>
          <w:szCs w:val="32"/>
        </w:rPr>
      </w:pPr>
    </w:p>
    <w:p w14:paraId="6311C844" w14:textId="77777777" w:rsidR="00EB5C59" w:rsidRPr="00A92308" w:rsidRDefault="00EB5C59" w:rsidP="00491EF7">
      <w:pPr>
        <w:pBdr>
          <w:top w:val="single" w:sz="4" w:space="1" w:color="auto"/>
          <w:left w:val="single" w:sz="4" w:space="4" w:color="auto"/>
          <w:bottom w:val="single" w:sz="4" w:space="1" w:color="auto"/>
          <w:right w:val="single" w:sz="4" w:space="17" w:color="auto"/>
        </w:pBdr>
        <w:spacing w:line="276" w:lineRule="auto"/>
        <w:rPr>
          <w:sz w:val="32"/>
          <w:szCs w:val="32"/>
        </w:rPr>
      </w:pPr>
    </w:p>
    <w:p w14:paraId="708FEF42" w14:textId="6CB395E6" w:rsidR="00EB5C59" w:rsidRPr="00A92308" w:rsidRDefault="00EB5C59" w:rsidP="00491EF7">
      <w:pPr>
        <w:pBdr>
          <w:top w:val="single" w:sz="4" w:space="1" w:color="auto"/>
          <w:left w:val="single" w:sz="4" w:space="4" w:color="auto"/>
          <w:bottom w:val="single" w:sz="4" w:space="1" w:color="auto"/>
          <w:right w:val="single" w:sz="4" w:space="17" w:color="auto"/>
        </w:pBdr>
        <w:spacing w:line="276" w:lineRule="auto"/>
        <w:rPr>
          <w:sz w:val="32"/>
          <w:szCs w:val="32"/>
        </w:rPr>
      </w:pPr>
      <w:r w:rsidRPr="00A92308">
        <w:rPr>
          <w:sz w:val="32"/>
          <w:szCs w:val="32"/>
        </w:rPr>
        <w:t>Under the Guidance of:</w:t>
      </w:r>
      <w:r w:rsidRPr="00A92308">
        <w:rPr>
          <w:sz w:val="32"/>
          <w:szCs w:val="32"/>
        </w:rPr>
        <w:t xml:space="preserve"> </w:t>
      </w:r>
      <w:r w:rsidR="00491EF7" w:rsidRPr="00491EF7">
        <w:rPr>
          <w:sz w:val="32"/>
          <w:szCs w:val="32"/>
        </w:rPr>
        <w:t>Varalakshmi</w:t>
      </w:r>
    </w:p>
    <w:p w14:paraId="3C3CCCEB" w14:textId="5CDAAD23" w:rsidR="00EB5C59" w:rsidRPr="00A92308" w:rsidRDefault="00EB5C59" w:rsidP="00491EF7">
      <w:pPr>
        <w:pBdr>
          <w:top w:val="single" w:sz="4" w:space="1" w:color="auto"/>
          <w:left w:val="single" w:sz="4" w:space="4" w:color="auto"/>
          <w:bottom w:val="single" w:sz="4" w:space="1" w:color="auto"/>
          <w:right w:val="single" w:sz="4" w:space="17" w:color="auto"/>
        </w:pBdr>
        <w:spacing w:line="276" w:lineRule="auto"/>
        <w:rPr>
          <w:sz w:val="32"/>
          <w:szCs w:val="32"/>
        </w:rPr>
      </w:pPr>
    </w:p>
    <w:p w14:paraId="7ED3F485" w14:textId="77777777" w:rsidR="00EB5C59" w:rsidRPr="00A92308" w:rsidRDefault="00EB5C59" w:rsidP="00491EF7">
      <w:pPr>
        <w:pBdr>
          <w:top w:val="single" w:sz="4" w:space="1" w:color="auto"/>
          <w:left w:val="single" w:sz="4" w:space="4" w:color="auto"/>
          <w:bottom w:val="single" w:sz="4" w:space="1" w:color="auto"/>
          <w:right w:val="single" w:sz="4" w:space="17" w:color="auto"/>
        </w:pBdr>
        <w:spacing w:line="276" w:lineRule="auto"/>
        <w:rPr>
          <w:sz w:val="32"/>
          <w:szCs w:val="32"/>
        </w:rPr>
      </w:pPr>
    </w:p>
    <w:p w14:paraId="7D486BB6" w14:textId="1A280CED" w:rsidR="00EB5C59" w:rsidRPr="00A92308" w:rsidRDefault="00EB5C59" w:rsidP="00491EF7">
      <w:pPr>
        <w:pBdr>
          <w:top w:val="single" w:sz="4" w:space="1" w:color="auto"/>
          <w:left w:val="single" w:sz="4" w:space="4" w:color="auto"/>
          <w:bottom w:val="single" w:sz="4" w:space="1" w:color="auto"/>
          <w:right w:val="single" w:sz="4" w:space="17" w:color="auto"/>
        </w:pBdr>
        <w:spacing w:line="276" w:lineRule="auto"/>
        <w:rPr>
          <w:sz w:val="32"/>
          <w:szCs w:val="32"/>
        </w:rPr>
      </w:pPr>
      <w:r w:rsidRPr="00A92308">
        <w:rPr>
          <w:sz w:val="32"/>
          <w:szCs w:val="32"/>
        </w:rPr>
        <w:t>Academic Year:</w:t>
      </w:r>
      <w:r w:rsidRPr="00A92308">
        <w:rPr>
          <w:sz w:val="32"/>
          <w:szCs w:val="32"/>
        </w:rPr>
        <w:t xml:space="preserve"> </w:t>
      </w:r>
      <w:r w:rsidRPr="00A92308">
        <w:rPr>
          <w:sz w:val="32"/>
          <w:szCs w:val="32"/>
        </w:rPr>
        <w:t>2025–2026</w:t>
      </w:r>
    </w:p>
    <w:p w14:paraId="245897B1" w14:textId="5E591283" w:rsidR="00EB5C59" w:rsidRPr="00A92308" w:rsidRDefault="00EB5C59" w:rsidP="00491EF7">
      <w:pPr>
        <w:spacing w:line="276" w:lineRule="auto"/>
        <w:rPr>
          <w:sz w:val="32"/>
          <w:szCs w:val="32"/>
        </w:rPr>
      </w:pPr>
    </w:p>
    <w:p w14:paraId="21909E57" w14:textId="77777777" w:rsidR="00EB5C59" w:rsidRPr="00A92308" w:rsidRDefault="00EB5C59" w:rsidP="000B7615">
      <w:pPr>
        <w:spacing w:line="276" w:lineRule="auto"/>
        <w:rPr>
          <w:sz w:val="32"/>
          <w:szCs w:val="32"/>
        </w:rPr>
      </w:pPr>
    </w:p>
    <w:p w14:paraId="7D7E4BEF" w14:textId="77777777" w:rsidR="009B42C5" w:rsidRDefault="009B42C5" w:rsidP="000B7615">
      <w:pPr>
        <w:spacing w:line="276" w:lineRule="auto"/>
        <w:rPr>
          <w:b/>
          <w:bCs/>
          <w:sz w:val="32"/>
          <w:szCs w:val="32"/>
        </w:rPr>
      </w:pPr>
    </w:p>
    <w:p w14:paraId="7235B24B" w14:textId="77777777" w:rsidR="009B42C5" w:rsidRDefault="009B42C5" w:rsidP="000B7615">
      <w:pPr>
        <w:spacing w:line="276" w:lineRule="auto"/>
        <w:rPr>
          <w:b/>
          <w:bCs/>
          <w:sz w:val="32"/>
          <w:szCs w:val="32"/>
        </w:rPr>
      </w:pPr>
    </w:p>
    <w:p w14:paraId="2A537B1D" w14:textId="77777777" w:rsidR="009B42C5" w:rsidRDefault="009B42C5" w:rsidP="000B7615">
      <w:pPr>
        <w:spacing w:line="276" w:lineRule="auto"/>
        <w:rPr>
          <w:b/>
          <w:bCs/>
          <w:sz w:val="32"/>
          <w:szCs w:val="32"/>
        </w:rPr>
      </w:pPr>
    </w:p>
    <w:tbl>
      <w:tblPr>
        <w:tblStyle w:val="TableGrid"/>
        <w:tblW w:w="9066" w:type="dxa"/>
        <w:tblLook w:val="04A0" w:firstRow="1" w:lastRow="0" w:firstColumn="1" w:lastColumn="0" w:noHBand="0" w:noVBand="1"/>
      </w:tblPr>
      <w:tblGrid>
        <w:gridCol w:w="9066"/>
      </w:tblGrid>
      <w:tr w:rsidR="00982C7D" w14:paraId="6B3B714C" w14:textId="77777777" w:rsidTr="000C49A3">
        <w:trPr>
          <w:trHeight w:val="1188"/>
        </w:trPr>
        <w:tc>
          <w:tcPr>
            <w:tcW w:w="9066" w:type="dxa"/>
          </w:tcPr>
          <w:p w14:paraId="43FA0FC2" w14:textId="16519124" w:rsidR="00982C7D" w:rsidRPr="000C49A3" w:rsidRDefault="00982C7D" w:rsidP="000C49A3">
            <w:pPr>
              <w:pStyle w:val="Heading1"/>
              <w:spacing w:line="360" w:lineRule="auto"/>
              <w:jc w:val="center"/>
              <w:rPr>
                <w:b/>
                <w:bCs/>
              </w:rPr>
            </w:pPr>
            <w:r w:rsidRPr="000C49A3">
              <w:rPr>
                <w:b/>
                <w:bCs/>
              </w:rPr>
              <w:lastRenderedPageBreak/>
              <w:t>Table of Contents</w:t>
            </w:r>
          </w:p>
        </w:tc>
      </w:tr>
    </w:tbl>
    <w:p w14:paraId="02FDEC71" w14:textId="77777777" w:rsidR="009C241A" w:rsidRDefault="009C241A" w:rsidP="00982C7D">
      <w:pPr>
        <w:pStyle w:val="Heading2"/>
      </w:pPr>
    </w:p>
    <w:p w14:paraId="41CFD898" w14:textId="77777777" w:rsidR="009C241A" w:rsidRDefault="009C241A" w:rsidP="00982C7D">
      <w:pPr>
        <w:pStyle w:val="Heading2"/>
      </w:pPr>
    </w:p>
    <w:p w14:paraId="12BDFFA0" w14:textId="62646DA9" w:rsidR="00BC421D" w:rsidRPr="00593CD3" w:rsidRDefault="00EB5C59" w:rsidP="00982C7D">
      <w:pPr>
        <w:pStyle w:val="Heading2"/>
      </w:pPr>
      <w:r w:rsidRPr="00593CD3">
        <w:t>1. Executive Summary</w:t>
      </w:r>
    </w:p>
    <w:p w14:paraId="683A79A5" w14:textId="1BB891CC" w:rsidR="00EB5C59" w:rsidRPr="00593CD3" w:rsidRDefault="00EB5C59" w:rsidP="00982C7D">
      <w:pPr>
        <w:pStyle w:val="Heading2"/>
      </w:pPr>
      <w:r w:rsidRPr="00593CD3">
        <w:t>2. Introduction</w:t>
      </w:r>
    </w:p>
    <w:p w14:paraId="58E8F864" w14:textId="77777777" w:rsidR="00EB5C59" w:rsidRPr="00593CD3" w:rsidRDefault="00EB5C59" w:rsidP="00982C7D">
      <w:pPr>
        <w:pStyle w:val="Heading2"/>
      </w:pPr>
      <w:r w:rsidRPr="00593CD3">
        <w:t>3. Problem Statement</w:t>
      </w:r>
    </w:p>
    <w:p w14:paraId="6B2D8258" w14:textId="77777777" w:rsidR="00EB5C59" w:rsidRPr="00593CD3" w:rsidRDefault="00EB5C59" w:rsidP="00982C7D">
      <w:pPr>
        <w:pStyle w:val="Heading2"/>
      </w:pPr>
      <w:r w:rsidRPr="00593CD3">
        <w:t>4. Project Objectives</w:t>
      </w:r>
    </w:p>
    <w:p w14:paraId="11978C53" w14:textId="77777777" w:rsidR="00EB5C59" w:rsidRPr="00593CD3" w:rsidRDefault="00EB5C59" w:rsidP="00982C7D">
      <w:pPr>
        <w:pStyle w:val="Heading2"/>
      </w:pPr>
      <w:r w:rsidRPr="00593CD3">
        <w:t>5. Bond Mathematics &amp; Risk Framework</w:t>
      </w:r>
    </w:p>
    <w:p w14:paraId="56332541" w14:textId="77777777" w:rsidR="00EB5C59" w:rsidRPr="00593CD3" w:rsidRDefault="00EB5C59" w:rsidP="00982C7D">
      <w:pPr>
        <w:pStyle w:val="Heading2"/>
      </w:pPr>
      <w:r w:rsidRPr="00593CD3">
        <w:t>6. Bond Risk Analysis</w:t>
      </w:r>
    </w:p>
    <w:p w14:paraId="56EE6A8E" w14:textId="77777777" w:rsidR="00EB5C59" w:rsidRPr="00593CD3" w:rsidRDefault="00EB5C59" w:rsidP="00982C7D">
      <w:pPr>
        <w:pStyle w:val="Heading2"/>
      </w:pPr>
      <w:r w:rsidRPr="00593CD3">
        <w:t>7. Key Rate Duration Analysis</w:t>
      </w:r>
    </w:p>
    <w:p w14:paraId="643565C0" w14:textId="77777777" w:rsidR="00EB5C59" w:rsidRPr="00593CD3" w:rsidRDefault="00EB5C59" w:rsidP="00982C7D">
      <w:pPr>
        <w:pStyle w:val="Heading2"/>
      </w:pPr>
      <w:r w:rsidRPr="00593CD3">
        <w:t>8. Scenario Analysis</w:t>
      </w:r>
    </w:p>
    <w:p w14:paraId="204D297F" w14:textId="77777777" w:rsidR="00EB5C59" w:rsidRPr="00593CD3" w:rsidRDefault="00EB5C59" w:rsidP="00982C7D">
      <w:pPr>
        <w:pStyle w:val="Heading2"/>
      </w:pPr>
      <w:r w:rsidRPr="00593CD3">
        <w:t>9. Machine Learning Analysis</w:t>
      </w:r>
    </w:p>
    <w:p w14:paraId="28D6BBA0" w14:textId="50E8ABCF" w:rsidR="00BC421D" w:rsidRPr="00593CD3" w:rsidRDefault="00EB5C59" w:rsidP="00982C7D">
      <w:pPr>
        <w:pStyle w:val="Heading2"/>
      </w:pPr>
      <w:r w:rsidRPr="00593CD3">
        <w:t>10. Results &amp; Findings</w:t>
      </w:r>
    </w:p>
    <w:p w14:paraId="437606BE" w14:textId="77777777" w:rsidR="00EB5C59" w:rsidRPr="00593CD3" w:rsidRDefault="00EB5C59" w:rsidP="00982C7D">
      <w:pPr>
        <w:pStyle w:val="Heading2"/>
      </w:pPr>
      <w:r w:rsidRPr="00593CD3">
        <w:t>11. Validation</w:t>
      </w:r>
    </w:p>
    <w:p w14:paraId="2D4D88CA" w14:textId="77777777" w:rsidR="00EB5C59" w:rsidRPr="00593CD3" w:rsidRDefault="00EB5C59" w:rsidP="00982C7D">
      <w:pPr>
        <w:pStyle w:val="Heading2"/>
      </w:pPr>
      <w:r w:rsidRPr="00593CD3">
        <w:t>12. Tools &amp; Technologies</w:t>
      </w:r>
    </w:p>
    <w:p w14:paraId="256840FD" w14:textId="77777777" w:rsidR="00EB5C59" w:rsidRPr="00593CD3" w:rsidRDefault="00EB5C59" w:rsidP="00982C7D">
      <w:pPr>
        <w:pStyle w:val="Heading2"/>
      </w:pPr>
      <w:r w:rsidRPr="00593CD3">
        <w:t>13. Day-by-Day Project Journal</w:t>
      </w:r>
    </w:p>
    <w:p w14:paraId="17625F92" w14:textId="77777777" w:rsidR="00EB5C59" w:rsidRPr="00593CD3" w:rsidRDefault="00EB5C59" w:rsidP="00982C7D">
      <w:pPr>
        <w:pStyle w:val="Heading2"/>
      </w:pPr>
      <w:r w:rsidRPr="00593CD3">
        <w:t>14. Conclusion</w:t>
      </w:r>
    </w:p>
    <w:p w14:paraId="74EE414C" w14:textId="77777777" w:rsidR="00EB5C59" w:rsidRPr="00593CD3" w:rsidRDefault="00EB5C59" w:rsidP="00982C7D">
      <w:pPr>
        <w:pStyle w:val="Heading2"/>
      </w:pPr>
      <w:r w:rsidRPr="00593CD3">
        <w:t>15. Future Scope</w:t>
      </w:r>
    </w:p>
    <w:p w14:paraId="42FF1D62" w14:textId="77777777" w:rsidR="00EB5C59" w:rsidRPr="00593CD3" w:rsidRDefault="00EB5C59" w:rsidP="00982C7D">
      <w:pPr>
        <w:pStyle w:val="Heading2"/>
      </w:pPr>
      <w:r w:rsidRPr="00593CD3">
        <w:t>16. References</w:t>
      </w:r>
    </w:p>
    <w:p w14:paraId="7CB8A443" w14:textId="1F175724" w:rsidR="00EB5C59" w:rsidRPr="00593CD3" w:rsidRDefault="00EB5C59" w:rsidP="00982C7D">
      <w:pPr>
        <w:pStyle w:val="Heading2"/>
      </w:pPr>
      <w:r w:rsidRPr="00593CD3">
        <w:t>17. Appendix</w:t>
      </w:r>
    </w:p>
    <w:p w14:paraId="2F8DCC58" w14:textId="77777777" w:rsidR="00EB5C59" w:rsidRDefault="00EB5C59" w:rsidP="00982C7D">
      <w:pPr>
        <w:spacing w:line="276" w:lineRule="auto"/>
      </w:pPr>
    </w:p>
    <w:p w14:paraId="2E2004C8" w14:textId="77777777" w:rsidR="00BC421D" w:rsidRDefault="00BC421D" w:rsidP="000B7615">
      <w:pPr>
        <w:spacing w:line="276" w:lineRule="auto"/>
        <w:rPr>
          <w:b/>
          <w:bCs/>
          <w:sz w:val="48"/>
          <w:szCs w:val="48"/>
        </w:rPr>
      </w:pPr>
    </w:p>
    <w:p w14:paraId="5F879DBC" w14:textId="77777777" w:rsidR="002A7329" w:rsidRPr="005A2545" w:rsidRDefault="002A7329" w:rsidP="002A7329">
      <w:pPr>
        <w:pStyle w:val="Heading2"/>
        <w:rPr>
          <w:b/>
          <w:bCs/>
        </w:rPr>
      </w:pPr>
      <w:r w:rsidRPr="005A2545">
        <w:rPr>
          <w:b/>
          <w:bCs/>
        </w:rPr>
        <w:lastRenderedPageBreak/>
        <w:t>1. Executive Summary</w:t>
      </w:r>
    </w:p>
    <w:p w14:paraId="22738759" w14:textId="7DBD11CC" w:rsidR="00EB5C59" w:rsidRDefault="00EB5C59" w:rsidP="000B7615">
      <w:pPr>
        <w:spacing w:line="276" w:lineRule="auto"/>
      </w:pPr>
      <w:r w:rsidRPr="00EB5C59">
        <w:t>This project focuses on bond risk analysis with particular emphasis on Key Rate Duration (KRD), interest-rate sensitivity, scenario analysis, and quantitative risk assessment. The project uses financial and analytical techniques to examine how changes in interest rates across different maturity buckets can affect bond portfolio risk and profit and loss. The analysis includes data preparation, KRD analysis, risk measurement, scenario-based assessment, machine learning analysis, feature importance, and visualization of results. The final outputs provide a structured view of the major risk drivers and the sensitivity of the bond portfolio to changes in the yield curve.</w:t>
      </w:r>
    </w:p>
    <w:p w14:paraId="6B7842C5" w14:textId="77777777" w:rsidR="00EB5C59" w:rsidRPr="005A2545" w:rsidRDefault="00EB5C59" w:rsidP="000B7615">
      <w:pPr>
        <w:spacing w:line="276" w:lineRule="auto"/>
        <w:rPr>
          <w:b/>
          <w:bCs/>
        </w:rPr>
      </w:pPr>
    </w:p>
    <w:p w14:paraId="1D4F901C" w14:textId="77777777" w:rsidR="002A7329" w:rsidRPr="005A2545" w:rsidRDefault="002A7329" w:rsidP="002A7329">
      <w:pPr>
        <w:pStyle w:val="Heading2"/>
        <w:rPr>
          <w:b/>
          <w:bCs/>
        </w:rPr>
      </w:pPr>
      <w:r w:rsidRPr="005A2545">
        <w:rPr>
          <w:b/>
          <w:bCs/>
        </w:rPr>
        <w:t>2. Introduction</w:t>
      </w:r>
    </w:p>
    <w:p w14:paraId="61C85815" w14:textId="742739E8" w:rsidR="00EB5C59" w:rsidRDefault="00EB5C59" w:rsidP="000B7615">
      <w:pPr>
        <w:spacing w:line="276" w:lineRule="auto"/>
      </w:pPr>
      <w:r w:rsidRPr="00EB5C59">
        <w:t>Bond investments are exposed to changes in market interest rates, and the sensitivity of a bond portfolio can vary across different maturity points of the yield curve. Key Rate Duration provides a useful framework for measuring this sensitivity by examining the impact of changes in specific maturity segments. This project applies bond-risk concepts and quantitative analysis techniques to understand interest-rate exposure, identify important risk buckets, and evaluate potential portfolio impacts under different scenarios.</w:t>
      </w:r>
    </w:p>
    <w:p w14:paraId="11051E71" w14:textId="77777777" w:rsidR="00EB5C59" w:rsidRDefault="00EB5C59" w:rsidP="000B7615">
      <w:pPr>
        <w:spacing w:line="276" w:lineRule="auto"/>
      </w:pPr>
    </w:p>
    <w:p w14:paraId="7E50707A" w14:textId="77777777" w:rsidR="002A7329" w:rsidRPr="005A2545" w:rsidRDefault="002A7329" w:rsidP="002A7329">
      <w:pPr>
        <w:pStyle w:val="Heading2"/>
        <w:rPr>
          <w:b/>
          <w:bCs/>
        </w:rPr>
      </w:pPr>
      <w:r w:rsidRPr="005A2545">
        <w:rPr>
          <w:b/>
          <w:bCs/>
        </w:rPr>
        <w:t>3. Problem Statement</w:t>
      </w:r>
    </w:p>
    <w:p w14:paraId="1879C141" w14:textId="77777777" w:rsidR="00EB5C59" w:rsidRDefault="00EB5C59" w:rsidP="000B7615">
      <w:pPr>
        <w:spacing w:line="276" w:lineRule="auto"/>
      </w:pPr>
      <w:r>
        <w:t>The objective of this project is to analyse bond interest-rate risk</w:t>
      </w:r>
    </w:p>
    <w:p w14:paraId="11F78D6B" w14:textId="77777777" w:rsidR="00EB5C59" w:rsidRDefault="00EB5C59" w:rsidP="000B7615">
      <w:pPr>
        <w:spacing w:line="276" w:lineRule="auto"/>
      </w:pPr>
      <w:r>
        <w:t>and identify the maturity buckets that contribute most significantly</w:t>
      </w:r>
    </w:p>
    <w:p w14:paraId="60F8FB31" w14:textId="77777777" w:rsidR="00EB5C59" w:rsidRDefault="00EB5C59" w:rsidP="000B7615">
      <w:pPr>
        <w:spacing w:line="276" w:lineRule="auto"/>
      </w:pPr>
      <w:r>
        <w:t>to portfolio sensitivity. The project also aims to quantify the</w:t>
      </w:r>
    </w:p>
    <w:p w14:paraId="4AC95EEB" w14:textId="77777777" w:rsidR="00EB5C59" w:rsidRDefault="00EB5C59" w:rsidP="000B7615">
      <w:pPr>
        <w:spacing w:line="276" w:lineRule="auto"/>
      </w:pPr>
      <w:r>
        <w:t>potential impact of yield changes and use quantitative and machine</w:t>
      </w:r>
    </w:p>
    <w:p w14:paraId="38117157" w14:textId="2A4B283A" w:rsidR="00EB5C59" w:rsidRDefault="00EB5C59" w:rsidP="000B7615">
      <w:pPr>
        <w:spacing w:line="276" w:lineRule="auto"/>
      </w:pPr>
      <w:r>
        <w:t>learning techniques to support bond-risk analysis.</w:t>
      </w:r>
    </w:p>
    <w:p w14:paraId="2AED0A24" w14:textId="77777777" w:rsidR="00EB5C59" w:rsidRDefault="00EB5C59" w:rsidP="000B7615">
      <w:pPr>
        <w:spacing w:line="276" w:lineRule="auto"/>
      </w:pPr>
    </w:p>
    <w:p w14:paraId="147E1F8E" w14:textId="77777777" w:rsidR="002A7329" w:rsidRPr="005A2545" w:rsidRDefault="002A7329" w:rsidP="002A7329">
      <w:pPr>
        <w:pStyle w:val="Heading2"/>
        <w:rPr>
          <w:b/>
          <w:bCs/>
        </w:rPr>
      </w:pPr>
      <w:r w:rsidRPr="005A2545">
        <w:rPr>
          <w:b/>
          <w:bCs/>
        </w:rPr>
        <w:t>4. Project Objectives</w:t>
      </w:r>
    </w:p>
    <w:p w14:paraId="146F7C23" w14:textId="77777777" w:rsidR="00EB5C59" w:rsidRDefault="00EB5C59" w:rsidP="000B7615">
      <w:pPr>
        <w:spacing w:line="276" w:lineRule="auto"/>
      </w:pPr>
      <w:r>
        <w:t>• Analyse bond and interest-rate risk.</w:t>
      </w:r>
    </w:p>
    <w:p w14:paraId="13F9FE6B" w14:textId="77777777" w:rsidR="00EB5C59" w:rsidRDefault="00EB5C59" w:rsidP="000B7615">
      <w:pPr>
        <w:spacing w:line="276" w:lineRule="auto"/>
      </w:pPr>
      <w:r>
        <w:t>• Calculate and interpret Key Rate Duration.</w:t>
      </w:r>
    </w:p>
    <w:p w14:paraId="78A20F15" w14:textId="77777777" w:rsidR="00EB5C59" w:rsidRDefault="00EB5C59" w:rsidP="000B7615">
      <w:pPr>
        <w:spacing w:line="276" w:lineRule="auto"/>
      </w:pPr>
      <w:r>
        <w:t>• Identify important maturity buckets.</w:t>
      </w:r>
    </w:p>
    <w:p w14:paraId="7C298C04" w14:textId="77777777" w:rsidR="00EB5C59" w:rsidRDefault="00EB5C59" w:rsidP="000B7615">
      <w:pPr>
        <w:spacing w:line="276" w:lineRule="auto"/>
      </w:pPr>
      <w:r>
        <w:t>• Evaluate portfolio sensitivity under yield shocks.</w:t>
      </w:r>
    </w:p>
    <w:p w14:paraId="60ED6B2A" w14:textId="77777777" w:rsidR="00EB5C59" w:rsidRDefault="00EB5C59" w:rsidP="000B7615">
      <w:pPr>
        <w:spacing w:line="276" w:lineRule="auto"/>
      </w:pPr>
      <w:r>
        <w:t>• Analyse potential P&amp;L impact.</w:t>
      </w:r>
    </w:p>
    <w:p w14:paraId="0F3511E3" w14:textId="77777777" w:rsidR="00EB5C59" w:rsidRDefault="00EB5C59" w:rsidP="000B7615">
      <w:pPr>
        <w:spacing w:line="276" w:lineRule="auto"/>
      </w:pPr>
      <w:r>
        <w:t>• Apply machine learning techniques to the available bond-risk data.</w:t>
      </w:r>
    </w:p>
    <w:p w14:paraId="08D5477A" w14:textId="1D644885" w:rsidR="00EB5C59" w:rsidRDefault="00EB5C59" w:rsidP="000B7615">
      <w:pPr>
        <w:spacing w:line="276" w:lineRule="auto"/>
      </w:pPr>
      <w:r>
        <w:t xml:space="preserve">• Identify important risk-driving </w:t>
      </w:r>
      <w:proofErr w:type="gramStart"/>
      <w:r>
        <w:t>features.•</w:t>
      </w:r>
      <w:proofErr w:type="gramEnd"/>
      <w:r>
        <w:t xml:space="preserve"> Present the results through tables and visualizations.</w:t>
      </w:r>
    </w:p>
    <w:p w14:paraId="2D77EC1C" w14:textId="77777777" w:rsidR="006B3400" w:rsidRPr="005A2545" w:rsidRDefault="006B3400" w:rsidP="006B3400">
      <w:pPr>
        <w:pStyle w:val="Heading2"/>
        <w:rPr>
          <w:b/>
          <w:bCs/>
        </w:rPr>
      </w:pPr>
      <w:r w:rsidRPr="005A2545">
        <w:rPr>
          <w:b/>
          <w:bCs/>
        </w:rPr>
        <w:lastRenderedPageBreak/>
        <w:t>5. Bond Mathematics &amp; Risk Framework</w:t>
      </w:r>
    </w:p>
    <w:p w14:paraId="2E79B4AA" w14:textId="5AE04664" w:rsidR="006558CE" w:rsidRDefault="00CF19DA" w:rsidP="00CF19DA">
      <w:pPr>
        <w:spacing w:line="276" w:lineRule="auto"/>
      </w:pPr>
      <w:r>
        <w:t>This section presents the fundamental fixed-income concepts used in</w:t>
      </w:r>
      <w:r w:rsidR="00FF7F7E">
        <w:t xml:space="preserve"> </w:t>
      </w:r>
      <w:r>
        <w:t>the project. Bond price, yield to maturity, Macaulay Duration,</w:t>
      </w:r>
      <w:r w:rsidR="007B1EF6">
        <w:t xml:space="preserve"> </w:t>
      </w:r>
      <w:r>
        <w:t>Modified Duration, Convexity and DV01 form the foundation of the</w:t>
      </w:r>
      <w:r w:rsidR="00FF7F7E">
        <w:t xml:space="preserve"> </w:t>
      </w:r>
      <w:r>
        <w:t>risk-analysis framework.</w:t>
      </w:r>
      <w:r w:rsidR="00FF7F7E">
        <w:t xml:space="preserve"> </w:t>
      </w:r>
      <w:r>
        <w:t>Bond price represents the present value of the future coupon and</w:t>
      </w:r>
      <w:r w:rsidR="00FF7F7E">
        <w:t xml:space="preserve"> </w:t>
      </w:r>
      <w:r>
        <w:t>principal cash flows discounted at the required yield. Macaulay</w:t>
      </w:r>
      <w:r w:rsidR="00FF7F7E">
        <w:t xml:space="preserve"> </w:t>
      </w:r>
      <w:r>
        <w:t>Duration measures the weighted-average time to receive the bond's</w:t>
      </w:r>
      <w:r w:rsidR="00FF7F7E">
        <w:t xml:space="preserve"> </w:t>
      </w:r>
      <w:r>
        <w:t>cash flows. Modified Duration measures the approximate percentage</w:t>
      </w:r>
      <w:r w:rsidR="00FF7F7E">
        <w:t xml:space="preserve"> </w:t>
      </w:r>
      <w:r>
        <w:t>change in bond price for a change in yield.</w:t>
      </w:r>
      <w:r w:rsidR="007B1EF6">
        <w:t xml:space="preserve"> </w:t>
      </w:r>
      <w:proofErr w:type="gramStart"/>
      <w:r>
        <w:t>Convexity</w:t>
      </w:r>
      <w:proofErr w:type="gramEnd"/>
      <w:r>
        <w:t xml:space="preserve"> improves the duration-based approximation for larger</w:t>
      </w:r>
      <w:r w:rsidR="00FF7F7E">
        <w:t xml:space="preserve"> </w:t>
      </w:r>
      <w:r>
        <w:t>interest-rate movements by accounting for the curvature of the</w:t>
      </w:r>
      <w:r w:rsidR="00FF7F7E">
        <w:t xml:space="preserve"> </w:t>
      </w:r>
      <w:r>
        <w:t>price-yield relationship. DV01</w:t>
      </w:r>
      <w:r w:rsidR="00FF7F7E">
        <w:t xml:space="preserve"> </w:t>
      </w:r>
      <w:r>
        <w:t>measures the approximate change in</w:t>
      </w:r>
      <w:r w:rsidR="007B1EF6">
        <w:t xml:space="preserve"> </w:t>
      </w:r>
      <w:r>
        <w:t>bond value resulting from a one-basis-point change in yield.</w:t>
      </w:r>
      <w:r w:rsidR="007B1EF6">
        <w:t xml:space="preserve"> </w:t>
      </w:r>
      <w:r>
        <w:t>These measures are used together to understand and quantify the</w:t>
      </w:r>
      <w:r w:rsidR="007B1EF6">
        <w:t xml:space="preserve"> </w:t>
      </w:r>
      <w:r>
        <w:t>interest-rate sensitivity of fixed-income investments.</w:t>
      </w:r>
    </w:p>
    <w:p w14:paraId="60EA5128" w14:textId="77777777" w:rsidR="0098633B" w:rsidRDefault="00682322" w:rsidP="00682322">
      <w:pPr>
        <w:spacing w:line="276" w:lineRule="auto"/>
        <w:rPr>
          <w:b/>
          <w:bCs/>
          <w:sz w:val="28"/>
          <w:szCs w:val="28"/>
        </w:rPr>
      </w:pPr>
      <w:r w:rsidRPr="0098633B">
        <w:rPr>
          <w:b/>
          <w:bCs/>
          <w:sz w:val="28"/>
          <w:szCs w:val="28"/>
        </w:rPr>
        <w:t>5.1 formulas</w:t>
      </w:r>
    </w:p>
    <w:p w14:paraId="17B9070E" w14:textId="268BEC05" w:rsidR="00682322" w:rsidRPr="0098633B" w:rsidRDefault="00682322" w:rsidP="0098633B">
      <w:pPr>
        <w:spacing w:line="276" w:lineRule="auto"/>
        <w:rPr>
          <w:b/>
          <w:bCs/>
          <w:sz w:val="28"/>
          <w:szCs w:val="28"/>
        </w:rPr>
      </w:pPr>
      <w:r>
        <w:t>Bond Price:</w:t>
      </w:r>
    </w:p>
    <w:p w14:paraId="3050748F" w14:textId="77777777" w:rsidR="00682322" w:rsidRDefault="00682322" w:rsidP="0098633B">
      <w:pPr>
        <w:spacing w:line="276" w:lineRule="auto"/>
      </w:pPr>
      <w:r>
        <w:t>P = Σ [</w:t>
      </w:r>
      <w:proofErr w:type="spellStart"/>
      <w:r>
        <w:t>CFt</w:t>
      </w:r>
      <w:proofErr w:type="spellEnd"/>
      <w:r>
        <w:t xml:space="preserve"> / (1 + y/</w:t>
      </w:r>
      <w:proofErr w:type="gramStart"/>
      <w:r>
        <w:t>m)^</w:t>
      </w:r>
      <w:proofErr w:type="gramEnd"/>
      <w:r>
        <w:t>(</w:t>
      </w:r>
      <w:proofErr w:type="spellStart"/>
      <w:r>
        <w:t>mt</w:t>
      </w:r>
      <w:proofErr w:type="spellEnd"/>
      <w:r>
        <w:t>)]</w:t>
      </w:r>
    </w:p>
    <w:p w14:paraId="6E70B09F" w14:textId="77777777" w:rsidR="00682322" w:rsidRDefault="00682322" w:rsidP="0098633B">
      <w:pPr>
        <w:spacing w:line="276" w:lineRule="auto"/>
      </w:pPr>
      <w:r>
        <w:t>Modified Duration:</w:t>
      </w:r>
    </w:p>
    <w:p w14:paraId="7434AFE1" w14:textId="77777777" w:rsidR="00682322" w:rsidRDefault="00682322" w:rsidP="0098633B">
      <w:pPr>
        <w:spacing w:line="276" w:lineRule="auto"/>
      </w:pPr>
      <w:proofErr w:type="spellStart"/>
      <w:r>
        <w:t>Dmod</w:t>
      </w:r>
      <w:proofErr w:type="spellEnd"/>
      <w:r>
        <w:t xml:space="preserve"> = </w:t>
      </w:r>
      <w:proofErr w:type="spellStart"/>
      <w:r>
        <w:t>DMac</w:t>
      </w:r>
      <w:proofErr w:type="spellEnd"/>
      <w:r>
        <w:t xml:space="preserve"> / (1 + y/m)</w:t>
      </w:r>
    </w:p>
    <w:p w14:paraId="1E84CA0F" w14:textId="77777777" w:rsidR="00682322" w:rsidRDefault="00682322" w:rsidP="0098633B">
      <w:pPr>
        <w:spacing w:line="276" w:lineRule="auto"/>
      </w:pPr>
      <w:r>
        <w:t>Approximate Price Change:</w:t>
      </w:r>
    </w:p>
    <w:p w14:paraId="67485AD8" w14:textId="77777777" w:rsidR="00682322" w:rsidRDefault="00682322" w:rsidP="0098633B">
      <w:pPr>
        <w:spacing w:line="276" w:lineRule="auto"/>
      </w:pPr>
      <w:r>
        <w:t>ΔP/P ≈ -</w:t>
      </w:r>
      <w:proofErr w:type="spellStart"/>
      <w:r>
        <w:t>Dmod</w:t>
      </w:r>
      <w:proofErr w:type="spellEnd"/>
      <w:r>
        <w:t xml:space="preserve"> × </w:t>
      </w:r>
      <w:proofErr w:type="spellStart"/>
      <w:r>
        <w:t>Δy</w:t>
      </w:r>
      <w:proofErr w:type="spellEnd"/>
      <w:r>
        <w:t xml:space="preserve"> + 0.5 × Convexity × (</w:t>
      </w:r>
      <w:proofErr w:type="spellStart"/>
      <w:r>
        <w:t>Δ</w:t>
      </w:r>
      <w:proofErr w:type="gramStart"/>
      <w:r>
        <w:t>y</w:t>
      </w:r>
      <w:proofErr w:type="spellEnd"/>
      <w:r>
        <w:t>)^</w:t>
      </w:r>
      <w:proofErr w:type="gramEnd"/>
      <w:r>
        <w:t>2</w:t>
      </w:r>
    </w:p>
    <w:p w14:paraId="59DFE151" w14:textId="77777777" w:rsidR="00682322" w:rsidRDefault="00682322" w:rsidP="0098633B">
      <w:pPr>
        <w:spacing w:line="276" w:lineRule="auto"/>
      </w:pPr>
      <w:r>
        <w:t>DV01:</w:t>
      </w:r>
    </w:p>
    <w:p w14:paraId="3126A115" w14:textId="7CD3CC3F" w:rsidR="00682322" w:rsidRDefault="00682322" w:rsidP="0098633B">
      <w:pPr>
        <w:spacing w:line="276" w:lineRule="auto"/>
      </w:pPr>
      <w:r>
        <w:t>DV01 ≈ Price × Modified Duration × 0.0001</w:t>
      </w:r>
    </w:p>
    <w:p w14:paraId="0281755D" w14:textId="1FF12BD0" w:rsidR="003E4DCE" w:rsidRDefault="0060171D" w:rsidP="0060171D">
      <w:pPr>
        <w:spacing w:line="276" w:lineRule="auto"/>
        <w:jc w:val="center"/>
      </w:pPr>
      <w:r w:rsidRPr="0060171D">
        <w:drawing>
          <wp:inline distT="0" distB="0" distL="0" distR="0" wp14:anchorId="17CB5B95" wp14:editId="6F8525D0">
            <wp:extent cx="5525271" cy="2829320"/>
            <wp:effectExtent l="0" t="0" r="0" b="9525"/>
            <wp:docPr id="784270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270364" name=""/>
                    <pic:cNvPicPr/>
                  </pic:nvPicPr>
                  <pic:blipFill>
                    <a:blip r:embed="rId6"/>
                    <a:stretch>
                      <a:fillRect/>
                    </a:stretch>
                  </pic:blipFill>
                  <pic:spPr>
                    <a:xfrm>
                      <a:off x="0" y="0"/>
                      <a:ext cx="5525271" cy="2829320"/>
                    </a:xfrm>
                    <a:prstGeom prst="rect">
                      <a:avLst/>
                    </a:prstGeom>
                  </pic:spPr>
                </pic:pic>
              </a:graphicData>
            </a:graphic>
          </wp:inline>
        </w:drawing>
      </w:r>
      <w:r w:rsidR="00397D42" w:rsidRPr="00397D42">
        <w:t>Table 5.1: Bond Risk Measure Summary Statistics</w:t>
      </w:r>
    </w:p>
    <w:p w14:paraId="0DB393A0" w14:textId="202E0934" w:rsidR="00397D42" w:rsidRDefault="00EB2E34" w:rsidP="0098633B">
      <w:pPr>
        <w:spacing w:line="276" w:lineRule="auto"/>
      </w:pPr>
      <w:r w:rsidRPr="00EB2E34">
        <w:t>The summary statistics show the distribution of yield-to-maturity, modified duration, convexity, DV01, and portfolio weight across the bond dataset. Modified duration ranges from 0.4785 to 5.7102, while DV01 ranges from 0.004847 to 0.059578.</w:t>
      </w:r>
    </w:p>
    <w:p w14:paraId="2641A395" w14:textId="77777777" w:rsidR="00EB2E34" w:rsidRDefault="00EB2E34" w:rsidP="0098633B">
      <w:pPr>
        <w:spacing w:line="276" w:lineRule="auto"/>
      </w:pPr>
    </w:p>
    <w:p w14:paraId="005724F9" w14:textId="77777777" w:rsidR="001640F3" w:rsidRPr="005A2545" w:rsidRDefault="001640F3" w:rsidP="001640F3">
      <w:pPr>
        <w:pStyle w:val="Heading2"/>
        <w:rPr>
          <w:b/>
          <w:bCs/>
        </w:rPr>
      </w:pPr>
      <w:r w:rsidRPr="005A2545">
        <w:rPr>
          <w:b/>
          <w:bCs/>
        </w:rPr>
        <w:t>6. Bond Risk Analysis</w:t>
      </w:r>
    </w:p>
    <w:p w14:paraId="1B825D68" w14:textId="1EC801AE" w:rsidR="0003007F" w:rsidRDefault="0003007F" w:rsidP="0003007F">
      <w:pPr>
        <w:spacing w:line="276" w:lineRule="auto"/>
      </w:pPr>
      <w:r>
        <w:t>Bond risk analysis evaluates how changes in market variables can</w:t>
      </w:r>
      <w:r w:rsidR="00413A27">
        <w:t xml:space="preserve"> </w:t>
      </w:r>
      <w:r>
        <w:t>affect the value of fixed-income investments. The analysis considers</w:t>
      </w:r>
      <w:r w:rsidR="00413A27">
        <w:t xml:space="preserve"> </w:t>
      </w:r>
      <w:r>
        <w:t>interest-rate sensitivity, duration, convexity, DV01 and potential</w:t>
      </w:r>
      <w:r w:rsidR="00413A27">
        <w:t xml:space="preserve"> </w:t>
      </w:r>
      <w:r>
        <w:t xml:space="preserve">profit-and-loss impact under yield </w:t>
      </w:r>
      <w:proofErr w:type="spellStart"/>
      <w:proofErr w:type="gramStart"/>
      <w:r>
        <w:t>shocks.At</w:t>
      </w:r>
      <w:proofErr w:type="spellEnd"/>
      <w:proofErr w:type="gramEnd"/>
      <w:r>
        <w:t xml:space="preserve"> the portfolio level, individual bond-level risk measures can be</w:t>
      </w:r>
      <w:r w:rsidR="00413A27">
        <w:t xml:space="preserve"> </w:t>
      </w:r>
      <w:r>
        <w:t>aggregated to understand the overall exposure. This allows the</w:t>
      </w:r>
      <w:r w:rsidR="00413A27">
        <w:t xml:space="preserve"> </w:t>
      </w:r>
      <w:r>
        <w:t>analysis to identify</w:t>
      </w:r>
      <w:r w:rsidR="00413A27">
        <w:t xml:space="preserve"> </w:t>
      </w:r>
      <w:r>
        <w:t>concentrations of risk and maturity segments</w:t>
      </w:r>
      <w:r w:rsidR="00413A27">
        <w:t xml:space="preserve"> </w:t>
      </w:r>
      <w:r>
        <w:t xml:space="preserve">that may contribute more significantly to portfolio </w:t>
      </w:r>
      <w:proofErr w:type="spellStart"/>
      <w:proofErr w:type="gramStart"/>
      <w:r>
        <w:t>sensitivity.The</w:t>
      </w:r>
      <w:proofErr w:type="spellEnd"/>
      <w:proofErr w:type="gramEnd"/>
      <w:r>
        <w:t xml:space="preserve"> project also uses visual analysis to make the risk contribution</w:t>
      </w:r>
      <w:r w:rsidR="003A0389">
        <w:t xml:space="preserve"> </w:t>
      </w:r>
      <w:r>
        <w:t>and scenario results easier to interpret.</w:t>
      </w:r>
    </w:p>
    <w:p w14:paraId="3C4703AC" w14:textId="6B713900" w:rsidR="003E4DCE" w:rsidRDefault="00006438" w:rsidP="00BB720A">
      <w:pPr>
        <w:spacing w:line="276" w:lineRule="auto"/>
        <w:jc w:val="center"/>
      </w:pPr>
      <w:r w:rsidRPr="00006438">
        <w:drawing>
          <wp:inline distT="0" distB="0" distL="0" distR="0" wp14:anchorId="05DDA9B1" wp14:editId="4485F3F3">
            <wp:extent cx="5731510" cy="2700655"/>
            <wp:effectExtent l="0" t="0" r="2540" b="4445"/>
            <wp:docPr id="796095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095198" name=""/>
                    <pic:cNvPicPr/>
                  </pic:nvPicPr>
                  <pic:blipFill>
                    <a:blip r:embed="rId7"/>
                    <a:stretch>
                      <a:fillRect/>
                    </a:stretch>
                  </pic:blipFill>
                  <pic:spPr>
                    <a:xfrm>
                      <a:off x="0" y="0"/>
                      <a:ext cx="5731510" cy="2700655"/>
                    </a:xfrm>
                    <a:prstGeom prst="rect">
                      <a:avLst/>
                    </a:prstGeom>
                  </pic:spPr>
                </pic:pic>
              </a:graphicData>
            </a:graphic>
          </wp:inline>
        </w:drawing>
      </w:r>
      <w:r w:rsidR="00F824EC" w:rsidRPr="00F824EC">
        <w:t>Table 6.1: Bond Portfolio Risk Measures</w:t>
      </w:r>
    </w:p>
    <w:p w14:paraId="0AAEE080" w14:textId="77777777" w:rsidR="004D5057" w:rsidRPr="005A2545" w:rsidRDefault="004D5057" w:rsidP="004D5057">
      <w:pPr>
        <w:pStyle w:val="Heading2"/>
        <w:rPr>
          <w:b/>
          <w:bCs/>
        </w:rPr>
      </w:pPr>
      <w:r w:rsidRPr="005A2545">
        <w:rPr>
          <w:b/>
          <w:bCs/>
        </w:rPr>
        <w:t>7. Key Rate Duration Analysis</w:t>
      </w:r>
    </w:p>
    <w:p w14:paraId="37786B5D" w14:textId="0759C1DC" w:rsidR="00FE7216" w:rsidRDefault="00FE7216" w:rsidP="00FE7216">
      <w:pPr>
        <w:spacing w:line="276" w:lineRule="auto"/>
      </w:pPr>
      <w:r>
        <w:t>Key Rate Duration (KRD) decomposes interest-rate sensitivity across</w:t>
      </w:r>
      <w:r w:rsidR="004D5057">
        <w:t xml:space="preserve"> </w:t>
      </w:r>
      <w:r>
        <w:t xml:space="preserve">specific maturity points of the yield curve. Unlike Modified </w:t>
      </w:r>
      <w:proofErr w:type="spellStart"/>
      <w:proofErr w:type="gramStart"/>
      <w:r>
        <w:t>Duration,which</w:t>
      </w:r>
      <w:proofErr w:type="spellEnd"/>
      <w:proofErr w:type="gramEnd"/>
      <w:r>
        <w:t xml:space="preserve"> generally assumes a parallel movement in yields, KRD allows</w:t>
      </w:r>
      <w:r w:rsidR="004D5057">
        <w:t xml:space="preserve"> </w:t>
      </w:r>
      <w:r>
        <w:t xml:space="preserve">different parts of the yield curve to move </w:t>
      </w:r>
      <w:proofErr w:type="spellStart"/>
      <w:proofErr w:type="gramStart"/>
      <w:r>
        <w:t>independently.The</w:t>
      </w:r>
      <w:proofErr w:type="spellEnd"/>
      <w:proofErr w:type="gramEnd"/>
      <w:r>
        <w:t xml:space="preserve"> project analyses key-rate buckets including 3M, 6M, 1Y, 2Y, 3Y,5Y, 7Y, 10Y, 20Y and 30Y. A one-basis-point yield movement is applied</w:t>
      </w:r>
      <w:r w:rsidR="00F2614E">
        <w:t xml:space="preserve"> </w:t>
      </w:r>
      <w:r>
        <w:t>to individual tenor points and the corresponding price sensitivity</w:t>
      </w:r>
      <w:r w:rsidR="00F2614E">
        <w:t xml:space="preserve"> </w:t>
      </w:r>
      <w:r>
        <w:t>is used to estimate the KRD contribution.</w:t>
      </w:r>
      <w:r w:rsidR="003A6CAF">
        <w:t xml:space="preserve">                                                                                                                                                         </w:t>
      </w:r>
      <w:r>
        <w:t>The KRD analysis helps identify whether portfolio exposure is</w:t>
      </w:r>
      <w:r w:rsidR="003A6CAF">
        <w:t xml:space="preserve"> </w:t>
      </w:r>
      <w:r>
        <w:t>concentrated at the short, intermediate or long end of the yield</w:t>
      </w:r>
      <w:r w:rsidR="003A6CAF">
        <w:t xml:space="preserve"> </w:t>
      </w:r>
      <w:r>
        <w:t>curve.</w:t>
      </w:r>
    </w:p>
    <w:p w14:paraId="781139D9" w14:textId="77777777" w:rsidR="00BB4A92" w:rsidRDefault="00BB4A92" w:rsidP="00FE7216">
      <w:pPr>
        <w:spacing w:line="276" w:lineRule="auto"/>
      </w:pPr>
      <w:r>
        <w:t xml:space="preserve"> </w:t>
      </w:r>
    </w:p>
    <w:p w14:paraId="15DB8DDA" w14:textId="054B6D7F" w:rsidR="00C5369F" w:rsidRDefault="00C5369F" w:rsidP="00BB4A92">
      <w:pPr>
        <w:spacing w:line="276" w:lineRule="auto"/>
        <w:jc w:val="center"/>
      </w:pPr>
      <w:r w:rsidRPr="00C5369F">
        <w:lastRenderedPageBreak/>
        <w:drawing>
          <wp:inline distT="0" distB="0" distL="0" distR="0" wp14:anchorId="0ADC2794" wp14:editId="74EA00D7">
            <wp:extent cx="5731510" cy="2781300"/>
            <wp:effectExtent l="0" t="0" r="2540" b="0"/>
            <wp:docPr id="78491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913045" name=""/>
                    <pic:cNvPicPr/>
                  </pic:nvPicPr>
                  <pic:blipFill>
                    <a:blip r:embed="rId8"/>
                    <a:stretch>
                      <a:fillRect/>
                    </a:stretch>
                  </pic:blipFill>
                  <pic:spPr>
                    <a:xfrm>
                      <a:off x="0" y="0"/>
                      <a:ext cx="5731510" cy="2781300"/>
                    </a:xfrm>
                    <a:prstGeom prst="rect">
                      <a:avLst/>
                    </a:prstGeom>
                  </pic:spPr>
                </pic:pic>
              </a:graphicData>
            </a:graphic>
          </wp:inline>
        </w:drawing>
      </w:r>
      <w:r w:rsidR="00BB4A92" w:rsidRPr="00BB4A92">
        <w:t>7.1: Key Rate Duration Risk by Maturity Bucket</w:t>
      </w:r>
    </w:p>
    <w:p w14:paraId="662B466E" w14:textId="77777777" w:rsidR="003A6CAF" w:rsidRPr="005A2545" w:rsidRDefault="003A6CAF" w:rsidP="003A6CAF">
      <w:pPr>
        <w:pStyle w:val="Heading2"/>
        <w:rPr>
          <w:b/>
          <w:bCs/>
        </w:rPr>
      </w:pPr>
      <w:r w:rsidRPr="005A2545">
        <w:rPr>
          <w:b/>
          <w:bCs/>
        </w:rPr>
        <w:t>8. Scenario Analysis</w:t>
      </w:r>
    </w:p>
    <w:p w14:paraId="6EE1AE89" w14:textId="43DEB976" w:rsidR="004B349B" w:rsidRDefault="004B349B" w:rsidP="004B349B">
      <w:pPr>
        <w:spacing w:line="276" w:lineRule="auto"/>
      </w:pPr>
      <w:r>
        <w:t>Scenario analysis evaluates the potential impact of changes in</w:t>
      </w:r>
      <w:r w:rsidR="00AA22BF">
        <w:t xml:space="preserve"> </w:t>
      </w:r>
      <w:r>
        <w:t>interest rates under different market conditions. It is particularly</w:t>
      </w:r>
      <w:r w:rsidR="00AA22BF">
        <w:t xml:space="preserve"> </w:t>
      </w:r>
      <w:r>
        <w:t>important for non-parallel yield-curve movements because a single</w:t>
      </w:r>
      <w:r w:rsidR="00AA22BF">
        <w:t xml:space="preserve"> </w:t>
      </w:r>
      <w:r>
        <w:t>Modified Duration measure may not adequately capture the effect.</w:t>
      </w:r>
      <w:r w:rsidR="00AA22BF">
        <w:t xml:space="preserve">                                                          </w:t>
      </w:r>
      <w:r>
        <w:t>In this project, Key Rate Duration is used to estimate the portfolio</w:t>
      </w:r>
      <w:r w:rsidR="00AA22BF">
        <w:t xml:space="preserve"> </w:t>
      </w:r>
      <w:r>
        <w:t>impact of maturity-specific yield shocks. The analysis examines the</w:t>
      </w:r>
      <w:r w:rsidR="00AA22BF">
        <w:t xml:space="preserve"> </w:t>
      </w:r>
      <w:r>
        <w:t xml:space="preserve">resulting P&amp;L impact for the affected key-rate </w:t>
      </w:r>
      <w:proofErr w:type="spellStart"/>
      <w:proofErr w:type="gramStart"/>
      <w:r>
        <w:t>buckets.The</w:t>
      </w:r>
      <w:proofErr w:type="spellEnd"/>
      <w:proofErr w:type="gramEnd"/>
      <w:r>
        <w:t xml:space="preserve"> scenario framework can be extended to include parallel </w:t>
      </w:r>
      <w:proofErr w:type="spellStart"/>
      <w:proofErr w:type="gramStart"/>
      <w:r>
        <w:t>shifts,steepening</w:t>
      </w:r>
      <w:proofErr w:type="spellEnd"/>
      <w:proofErr w:type="gramEnd"/>
      <w:r>
        <w:t>, flattening, inversion and other yield-curve movements.</w:t>
      </w:r>
    </w:p>
    <w:p w14:paraId="3A909532" w14:textId="4579A881" w:rsidR="002A0201" w:rsidRDefault="008F2966" w:rsidP="00BE25F4">
      <w:pPr>
        <w:spacing w:line="276" w:lineRule="auto"/>
        <w:jc w:val="center"/>
      </w:pPr>
      <w:r w:rsidRPr="008F2966">
        <w:drawing>
          <wp:inline distT="0" distB="0" distL="0" distR="0" wp14:anchorId="7F09FE0A" wp14:editId="441D32D6">
            <wp:extent cx="5731510" cy="2730500"/>
            <wp:effectExtent l="0" t="0" r="2540" b="0"/>
            <wp:docPr id="33136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6816" name=""/>
                    <pic:cNvPicPr/>
                  </pic:nvPicPr>
                  <pic:blipFill>
                    <a:blip r:embed="rId9"/>
                    <a:stretch>
                      <a:fillRect/>
                    </a:stretch>
                  </pic:blipFill>
                  <pic:spPr>
                    <a:xfrm>
                      <a:off x="0" y="0"/>
                      <a:ext cx="5731510" cy="2730500"/>
                    </a:xfrm>
                    <a:prstGeom prst="rect">
                      <a:avLst/>
                    </a:prstGeom>
                  </pic:spPr>
                </pic:pic>
              </a:graphicData>
            </a:graphic>
          </wp:inline>
        </w:drawing>
      </w:r>
      <w:r w:rsidR="00BE25F4" w:rsidRPr="00BE25F4">
        <w:t>Table 8.1: Interest Rate Shock Scenario P&amp;L</w:t>
      </w:r>
    </w:p>
    <w:p w14:paraId="0BB66AD3" w14:textId="77777777" w:rsidR="00763CC0" w:rsidRPr="005A2545" w:rsidRDefault="00481128" w:rsidP="00763CC0">
      <w:pPr>
        <w:pStyle w:val="Heading2"/>
        <w:rPr>
          <w:b/>
          <w:bCs/>
        </w:rPr>
      </w:pPr>
      <w:r w:rsidRPr="005A2545">
        <w:rPr>
          <w:b/>
          <w:bCs/>
        </w:rPr>
        <w:t>9</w:t>
      </w:r>
      <w:r w:rsidR="00763CC0" w:rsidRPr="005A2545">
        <w:rPr>
          <w:b/>
          <w:bCs/>
        </w:rPr>
        <w:t>. Machine Learning Analysis</w:t>
      </w:r>
    </w:p>
    <w:p w14:paraId="1A9E69DB" w14:textId="5B688E23" w:rsidR="00481128" w:rsidRDefault="00481128" w:rsidP="00481128">
      <w:pPr>
        <w:spacing w:line="276" w:lineRule="auto"/>
      </w:pPr>
      <w:r>
        <w:t>Machine learning was incorporated into the project to explore the</w:t>
      </w:r>
      <w:r w:rsidR="00763CC0">
        <w:t xml:space="preserve"> </w:t>
      </w:r>
      <w:r>
        <w:t>use of predictive analytics in bond-risk analysis. The workflow</w:t>
      </w:r>
      <w:r w:rsidR="00763CC0">
        <w:t xml:space="preserve"> </w:t>
      </w:r>
      <w:r>
        <w:t>includes data preparation, model analysis, prediction outputs and</w:t>
      </w:r>
      <w:r w:rsidR="00763CC0">
        <w:t xml:space="preserve"> </w:t>
      </w:r>
      <w:r>
        <w:t>feature-importance interpretation.</w:t>
      </w:r>
      <w:r w:rsidR="00763CC0">
        <w:t xml:space="preserve"> </w:t>
      </w:r>
      <w:r w:rsidR="00777155">
        <w:t xml:space="preserve">                                                                                                                </w:t>
      </w:r>
      <w:r>
        <w:lastRenderedPageBreak/>
        <w:t>The machine-learning results are used as a complementary analytical</w:t>
      </w:r>
      <w:r w:rsidR="00777155">
        <w:t xml:space="preserve"> </w:t>
      </w:r>
      <w:r>
        <w:t>approach rather than as a replacement for established fixed-income</w:t>
      </w:r>
      <w:r w:rsidR="00777155">
        <w:t xml:space="preserve"> </w:t>
      </w:r>
      <w:r>
        <w:t>risk measures such as Duration, Convexity and Key Rate Duration.</w:t>
      </w:r>
      <w:r w:rsidR="00777155">
        <w:t xml:space="preserve"> </w:t>
      </w:r>
      <w:r>
        <w:t>Model performance should be reported using the actual held-out test</w:t>
      </w:r>
      <w:r w:rsidR="00777155">
        <w:t xml:space="preserve"> </w:t>
      </w:r>
      <w:r>
        <w:t>metrics generated during the project. Feature importance is used to</w:t>
      </w:r>
      <w:r w:rsidR="00777155">
        <w:t xml:space="preserve"> </w:t>
      </w:r>
      <w:r>
        <w:t>identify variables that contribute relatively more to the model's</w:t>
      </w:r>
      <w:r w:rsidR="00777155">
        <w:t xml:space="preserve"> </w:t>
      </w:r>
      <w:r>
        <w:t>predictions.</w:t>
      </w:r>
    </w:p>
    <w:p w14:paraId="5C517E29" w14:textId="4B433FA2" w:rsidR="002A0201" w:rsidRDefault="001F4B16" w:rsidP="001F4B16">
      <w:pPr>
        <w:spacing w:line="276" w:lineRule="auto"/>
        <w:jc w:val="center"/>
      </w:pPr>
      <w:r w:rsidRPr="001F4B16">
        <w:t>Table 9.2: Actual versus Predicted Risk</w:t>
      </w:r>
      <w:r w:rsidR="00A82D99" w:rsidRPr="00A82D99">
        <w:drawing>
          <wp:inline distT="0" distB="0" distL="0" distR="0" wp14:anchorId="25917C3A" wp14:editId="75897D82">
            <wp:extent cx="5731510" cy="4201160"/>
            <wp:effectExtent l="0" t="0" r="2540" b="8890"/>
            <wp:docPr id="198145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45246" name=""/>
                    <pic:cNvPicPr/>
                  </pic:nvPicPr>
                  <pic:blipFill>
                    <a:blip r:embed="rId10"/>
                    <a:stretch>
                      <a:fillRect/>
                    </a:stretch>
                  </pic:blipFill>
                  <pic:spPr>
                    <a:xfrm>
                      <a:off x="0" y="0"/>
                      <a:ext cx="5731510" cy="4201160"/>
                    </a:xfrm>
                    <a:prstGeom prst="rect">
                      <a:avLst/>
                    </a:prstGeom>
                  </pic:spPr>
                </pic:pic>
              </a:graphicData>
            </a:graphic>
          </wp:inline>
        </w:drawing>
      </w:r>
      <w:r w:rsidRPr="001F4B16">
        <w:t>Table 9.2: Actual versus Predicted Risk</w:t>
      </w:r>
    </w:p>
    <w:p w14:paraId="7B0069CD" w14:textId="77777777" w:rsidR="00BB7456" w:rsidRPr="005A2545" w:rsidRDefault="00BB7456" w:rsidP="00BB7456">
      <w:pPr>
        <w:pStyle w:val="Heading2"/>
        <w:rPr>
          <w:b/>
          <w:bCs/>
        </w:rPr>
      </w:pPr>
      <w:r w:rsidRPr="005A2545">
        <w:rPr>
          <w:b/>
          <w:bCs/>
        </w:rPr>
        <w:t>10. Results &amp; Findings</w:t>
      </w:r>
    </w:p>
    <w:p w14:paraId="5154189F" w14:textId="2AEB7BB3" w:rsidR="008A60CE" w:rsidRDefault="00E1088E" w:rsidP="000B7615">
      <w:pPr>
        <w:spacing w:line="276" w:lineRule="auto"/>
      </w:pPr>
      <w:r w:rsidRPr="00E1088E">
        <w:t>The project analysis was performed using bond risk and Key Rate Duration data. The analysis examined the contribution of different maturity buckets to interest-rate risk and evaluated the corresponding P&amp;L impact under the applied yield shock. Data validation, descriptive analysis, risk analysis, visualizations, feature importance analysis and prediction outputs were generated using Python.</w:t>
      </w:r>
    </w:p>
    <w:p w14:paraId="4BC93ED0" w14:textId="32BFC636" w:rsidR="00E1088E" w:rsidRPr="00E03ED3" w:rsidRDefault="007372AC" w:rsidP="000B7615">
      <w:pPr>
        <w:spacing w:line="276" w:lineRule="auto"/>
        <w:rPr>
          <w:b/>
          <w:bCs/>
          <w:sz w:val="28"/>
          <w:szCs w:val="28"/>
        </w:rPr>
      </w:pPr>
      <w:r>
        <w:rPr>
          <w:b/>
          <w:bCs/>
          <w:sz w:val="28"/>
          <w:szCs w:val="28"/>
        </w:rPr>
        <w:t xml:space="preserve">10.1 </w:t>
      </w:r>
      <w:r w:rsidR="004063D7" w:rsidRPr="00E03ED3">
        <w:rPr>
          <w:b/>
          <w:bCs/>
          <w:sz w:val="28"/>
          <w:szCs w:val="28"/>
        </w:rPr>
        <w:t>Key Rate Duration Results</w:t>
      </w:r>
    </w:p>
    <w:p w14:paraId="6F39F64A" w14:textId="4EB251A9" w:rsidR="004063D7" w:rsidRDefault="00545C43" w:rsidP="000B7615">
      <w:pPr>
        <w:spacing w:line="276" w:lineRule="auto"/>
      </w:pPr>
      <w:r w:rsidRPr="00545C43">
        <w:t>The Key Rate Duration analysis provides a maturity-bucket-level view of interest-rate sensitivity. Instead of treating the entire yield curve as a single movement, the analysis identifies the contribution of individual key-rate buckets. This helps determine which maturity segments are relatively more sensitive to changes in interest rates.</w:t>
      </w:r>
    </w:p>
    <w:p w14:paraId="39A047D1" w14:textId="77777777" w:rsidR="00147E72" w:rsidRDefault="00147E72" w:rsidP="000B7615">
      <w:pPr>
        <w:spacing w:line="276" w:lineRule="auto"/>
      </w:pPr>
    </w:p>
    <w:p w14:paraId="1A7BC48E" w14:textId="77777777" w:rsidR="00BB10B7" w:rsidRDefault="00E74B4B" w:rsidP="00BB10B7">
      <w:pPr>
        <w:spacing w:line="276" w:lineRule="auto"/>
        <w:jc w:val="center"/>
      </w:pPr>
      <w:r w:rsidRPr="00E74B4B">
        <w:lastRenderedPageBreak/>
        <w:drawing>
          <wp:inline distT="0" distB="0" distL="0" distR="0" wp14:anchorId="7FBCEFED" wp14:editId="495BC7F6">
            <wp:extent cx="5690005" cy="3019647"/>
            <wp:effectExtent l="0" t="0" r="6350" b="9525"/>
            <wp:docPr id="1464452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452830" name=""/>
                    <pic:cNvPicPr/>
                  </pic:nvPicPr>
                  <pic:blipFill>
                    <a:blip r:embed="rId11"/>
                    <a:stretch>
                      <a:fillRect/>
                    </a:stretch>
                  </pic:blipFill>
                  <pic:spPr>
                    <a:xfrm>
                      <a:off x="0" y="0"/>
                      <a:ext cx="5735977" cy="3044044"/>
                    </a:xfrm>
                    <a:prstGeom prst="rect">
                      <a:avLst/>
                    </a:prstGeom>
                  </pic:spPr>
                </pic:pic>
              </a:graphicData>
            </a:graphic>
          </wp:inline>
        </w:drawing>
      </w:r>
      <w:r w:rsidR="0065631D" w:rsidRPr="0065631D">
        <w:t>Figure 1: DV01 by Key Rate Bucket</w:t>
      </w:r>
      <w:r w:rsidR="00BB10B7">
        <w:t xml:space="preserve">  </w:t>
      </w:r>
    </w:p>
    <w:p w14:paraId="18496C1C" w14:textId="0FF15596" w:rsidR="00EB5C59" w:rsidRPr="00BB10B7" w:rsidRDefault="00BB10B7" w:rsidP="00BB10B7">
      <w:pPr>
        <w:spacing w:line="276" w:lineRule="auto"/>
      </w:pPr>
      <w:r>
        <w:rPr>
          <w:b/>
          <w:bCs/>
          <w:sz w:val="28"/>
          <w:szCs w:val="28"/>
        </w:rPr>
        <w:t>10.</w:t>
      </w:r>
      <w:r w:rsidR="00165AF9">
        <w:rPr>
          <w:b/>
          <w:bCs/>
          <w:sz w:val="28"/>
          <w:szCs w:val="28"/>
        </w:rPr>
        <w:t xml:space="preserve">2 </w:t>
      </w:r>
      <w:r w:rsidR="009443C2" w:rsidRPr="00E03ED3">
        <w:rPr>
          <w:b/>
          <w:bCs/>
          <w:sz w:val="28"/>
          <w:szCs w:val="28"/>
        </w:rPr>
        <w:t>Risk Contribution Analysis</w:t>
      </w:r>
    </w:p>
    <w:p w14:paraId="4217D7FE" w14:textId="66C5D594" w:rsidR="009443C2" w:rsidRDefault="00970B85" w:rsidP="000B7615">
      <w:pPr>
        <w:spacing w:line="276" w:lineRule="auto"/>
      </w:pPr>
      <w:r w:rsidRPr="00970B85">
        <w:t>The risk contribution analysis compares the relative importance of the key-rate buckets. The bucket-level results help identify the areas where interest-rate movements may have a larger effect on the portfolio. This provides a more detailed risk view than a single portfolio-duration measure.</w:t>
      </w:r>
    </w:p>
    <w:p w14:paraId="41E0FB0E" w14:textId="77777777" w:rsidR="00147E72" w:rsidRDefault="00147E72" w:rsidP="000B7615">
      <w:pPr>
        <w:spacing w:line="276" w:lineRule="auto"/>
      </w:pPr>
    </w:p>
    <w:p w14:paraId="4B91DB85" w14:textId="0133F8EB" w:rsidR="00EB5C59" w:rsidRDefault="0047114A" w:rsidP="000B7615">
      <w:pPr>
        <w:spacing w:line="276" w:lineRule="auto"/>
      </w:pPr>
      <w:r w:rsidRPr="0047114A">
        <w:drawing>
          <wp:inline distT="0" distB="0" distL="0" distR="0" wp14:anchorId="302CB82E" wp14:editId="4A528785">
            <wp:extent cx="5731510" cy="2845435"/>
            <wp:effectExtent l="0" t="0" r="2540" b="0"/>
            <wp:docPr id="2136498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98315" name=""/>
                    <pic:cNvPicPr/>
                  </pic:nvPicPr>
                  <pic:blipFill>
                    <a:blip r:embed="rId12"/>
                    <a:stretch>
                      <a:fillRect/>
                    </a:stretch>
                  </pic:blipFill>
                  <pic:spPr>
                    <a:xfrm>
                      <a:off x="0" y="0"/>
                      <a:ext cx="5731510" cy="2845435"/>
                    </a:xfrm>
                    <a:prstGeom prst="rect">
                      <a:avLst/>
                    </a:prstGeom>
                  </pic:spPr>
                </pic:pic>
              </a:graphicData>
            </a:graphic>
          </wp:inline>
        </w:drawing>
      </w:r>
    </w:p>
    <w:p w14:paraId="3F38302D" w14:textId="684C59B6" w:rsidR="00EB5C59" w:rsidRDefault="00F40749" w:rsidP="000B7615">
      <w:pPr>
        <w:spacing w:line="276" w:lineRule="auto"/>
        <w:jc w:val="center"/>
      </w:pPr>
      <w:r w:rsidRPr="00F40749">
        <w:t>Figure 2: Key Rate Risk Contribution</w:t>
      </w:r>
    </w:p>
    <w:p w14:paraId="2FB3D89E" w14:textId="39ECC079" w:rsidR="00EB5C59" w:rsidRPr="00E03ED3" w:rsidRDefault="00DC7125" w:rsidP="000B7615">
      <w:pPr>
        <w:spacing w:line="276" w:lineRule="auto"/>
        <w:rPr>
          <w:b/>
          <w:bCs/>
          <w:sz w:val="28"/>
          <w:szCs w:val="28"/>
        </w:rPr>
      </w:pPr>
      <w:r w:rsidRPr="00E03ED3">
        <w:rPr>
          <w:b/>
          <w:bCs/>
          <w:sz w:val="28"/>
          <w:szCs w:val="28"/>
        </w:rPr>
        <w:t>10.3 Scenario P&amp;L Analysis</w:t>
      </w:r>
    </w:p>
    <w:p w14:paraId="13F24B8B" w14:textId="54965265" w:rsidR="00DC7125" w:rsidRDefault="00DC7125" w:rsidP="000B7615">
      <w:pPr>
        <w:spacing w:line="276" w:lineRule="auto"/>
      </w:pPr>
      <w:r w:rsidRPr="00DC7125">
        <w:lastRenderedPageBreak/>
        <w:t>Scenario analysis was used to evaluate the potential P&amp;L impact resulting from the applied yield shock. The analysis provides a maturity-bucket-level view of the estimated impact and helps identify the areas contributing most to the overall scenario result.</w:t>
      </w:r>
    </w:p>
    <w:p w14:paraId="0A016408" w14:textId="4B02FFBC" w:rsidR="00DC7125" w:rsidRDefault="00662A69" w:rsidP="000B7615">
      <w:pPr>
        <w:spacing w:line="276" w:lineRule="auto"/>
      </w:pPr>
      <w:r w:rsidRPr="00662A69">
        <w:drawing>
          <wp:inline distT="0" distB="0" distL="0" distR="0" wp14:anchorId="4D19BF17" wp14:editId="28B4A5C7">
            <wp:extent cx="5731510" cy="2720340"/>
            <wp:effectExtent l="0" t="0" r="2540" b="3810"/>
            <wp:docPr id="1479277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77945" name=""/>
                    <pic:cNvPicPr/>
                  </pic:nvPicPr>
                  <pic:blipFill>
                    <a:blip r:embed="rId13"/>
                    <a:stretch>
                      <a:fillRect/>
                    </a:stretch>
                  </pic:blipFill>
                  <pic:spPr>
                    <a:xfrm>
                      <a:off x="0" y="0"/>
                      <a:ext cx="5731510" cy="2720340"/>
                    </a:xfrm>
                    <a:prstGeom prst="rect">
                      <a:avLst/>
                    </a:prstGeom>
                  </pic:spPr>
                </pic:pic>
              </a:graphicData>
            </a:graphic>
          </wp:inline>
        </w:drawing>
      </w:r>
    </w:p>
    <w:p w14:paraId="3AF2535B" w14:textId="50460643" w:rsidR="00662A69" w:rsidRDefault="007F1D9F" w:rsidP="000B7615">
      <w:pPr>
        <w:spacing w:line="276" w:lineRule="auto"/>
        <w:jc w:val="center"/>
      </w:pPr>
      <w:r w:rsidRPr="007F1D9F">
        <w:t>Figure 3: P&amp;L Impact by Key Rate Bucket</w:t>
      </w:r>
    </w:p>
    <w:p w14:paraId="67F467EE" w14:textId="22549C8D" w:rsidR="007F1D9F" w:rsidRPr="00E03ED3" w:rsidRDefault="007F1D9F" w:rsidP="000B7615">
      <w:pPr>
        <w:spacing w:line="276" w:lineRule="auto"/>
        <w:rPr>
          <w:b/>
          <w:bCs/>
          <w:sz w:val="28"/>
          <w:szCs w:val="28"/>
        </w:rPr>
      </w:pPr>
      <w:r w:rsidRPr="00E03ED3">
        <w:rPr>
          <w:b/>
          <w:bCs/>
          <w:sz w:val="28"/>
          <w:szCs w:val="28"/>
        </w:rPr>
        <w:t>10.4 Key Findings</w:t>
      </w:r>
    </w:p>
    <w:p w14:paraId="4EC2DF53" w14:textId="7C63C410" w:rsidR="007F1D9F" w:rsidRDefault="00673F63" w:rsidP="000B7615">
      <w:pPr>
        <w:spacing w:line="276" w:lineRule="auto"/>
      </w:pPr>
      <w:r w:rsidRPr="00673F63">
        <w:t>• Key Rate Duration provides a granular measure of interest-rate sensitivity across maturity buckets.</w:t>
      </w:r>
      <w:r w:rsidRPr="00673F63">
        <w:br/>
        <w:t>• The analysis identifies the maturity segments contributing relatively more to risk.</w:t>
      </w:r>
      <w:r w:rsidRPr="00673F63">
        <w:br/>
        <w:t>• Yield shocks can generate different P&amp;L impacts across different key-rate buckets.</w:t>
      </w:r>
      <w:r w:rsidRPr="00673F63">
        <w:br/>
        <w:t>• Visual analysis makes the concentration of interest-rate risk easier to interpret.</w:t>
      </w:r>
      <w:r w:rsidRPr="00673F63">
        <w:br/>
        <w:t>• The generated analytical outputs can support portfolio risk monitoring and decision-making.</w:t>
      </w:r>
    </w:p>
    <w:p w14:paraId="3B5F755B" w14:textId="77777777" w:rsidR="000A7A12" w:rsidRDefault="000A7A12" w:rsidP="000B7615">
      <w:pPr>
        <w:spacing w:line="276" w:lineRule="auto"/>
      </w:pPr>
    </w:p>
    <w:p w14:paraId="6C78470A" w14:textId="77777777" w:rsidR="00165AF9" w:rsidRPr="005A2545" w:rsidRDefault="00165AF9" w:rsidP="00165AF9">
      <w:pPr>
        <w:pStyle w:val="Heading2"/>
        <w:rPr>
          <w:b/>
          <w:bCs/>
        </w:rPr>
      </w:pPr>
      <w:r w:rsidRPr="005A2545">
        <w:rPr>
          <w:b/>
          <w:bCs/>
        </w:rPr>
        <w:t>11. Validation</w:t>
      </w:r>
    </w:p>
    <w:p w14:paraId="20676D85" w14:textId="296591EE" w:rsidR="00E72BD8" w:rsidRDefault="00FE6D7E" w:rsidP="000B7615">
      <w:pPr>
        <w:spacing w:line="276" w:lineRule="auto"/>
      </w:pPr>
      <w:r w:rsidRPr="00FE6D7E">
        <w:t>Validation is an important part of the project to ensure that the analytical outputs are reliable and consistent with established financial methods. The project requirements specify independent validation of bond calculations, machine learning results, risk measures, dashboard calculations and case-study information.</w:t>
      </w:r>
    </w:p>
    <w:p w14:paraId="04F92DF5" w14:textId="2C114B85" w:rsidR="00FE6D7E" w:rsidRPr="00E03ED3" w:rsidRDefault="00FE6D7E" w:rsidP="000B7615">
      <w:pPr>
        <w:spacing w:line="276" w:lineRule="auto"/>
        <w:rPr>
          <w:b/>
          <w:bCs/>
          <w:sz w:val="28"/>
          <w:szCs w:val="28"/>
        </w:rPr>
      </w:pPr>
      <w:r w:rsidRPr="00E03ED3">
        <w:rPr>
          <w:b/>
          <w:bCs/>
          <w:sz w:val="28"/>
          <w:szCs w:val="28"/>
        </w:rPr>
        <w:t>11.1 Bond Calculation Validation</w:t>
      </w:r>
    </w:p>
    <w:p w14:paraId="7B478D75" w14:textId="4B2FD813" w:rsidR="000A7A12" w:rsidRDefault="00FE6D7E" w:rsidP="000B7615">
      <w:pPr>
        <w:spacing w:line="276" w:lineRule="auto"/>
      </w:pPr>
      <w:r w:rsidRPr="00FE6D7E">
        <w:t xml:space="preserve">Bond pricing, duration, convexity and DV01 calculations were developed using standard fixed-income methodology. The project specification requires these calculations to be cross-checked against Excel financial functions such as </w:t>
      </w:r>
      <w:proofErr w:type="gramStart"/>
      <w:r w:rsidRPr="00FE6D7E">
        <w:t>PRICE(</w:t>
      </w:r>
      <w:proofErr w:type="gramEnd"/>
      <w:r w:rsidRPr="00FE6D7E">
        <w:t xml:space="preserve">), </w:t>
      </w:r>
      <w:proofErr w:type="gramStart"/>
      <w:r w:rsidRPr="00FE6D7E">
        <w:t>DURATION(</w:t>
      </w:r>
      <w:proofErr w:type="gramEnd"/>
      <w:r w:rsidRPr="00FE6D7E">
        <w:t xml:space="preserve">) and </w:t>
      </w:r>
      <w:proofErr w:type="gramStart"/>
      <w:r w:rsidRPr="00FE6D7E">
        <w:t>MDURATION(</w:t>
      </w:r>
      <w:proofErr w:type="gramEnd"/>
      <w:r w:rsidRPr="00FE6D7E">
        <w:t>). Any final validation claim should be supported by the corresponding Excel comparison evidence.</w:t>
      </w:r>
    </w:p>
    <w:p w14:paraId="10F94E64" w14:textId="1F03D93F" w:rsidR="00FE6D7E" w:rsidRPr="00E03ED3" w:rsidRDefault="00762069" w:rsidP="000B7615">
      <w:pPr>
        <w:spacing w:line="276" w:lineRule="auto"/>
        <w:rPr>
          <w:b/>
          <w:bCs/>
          <w:sz w:val="28"/>
          <w:szCs w:val="28"/>
        </w:rPr>
      </w:pPr>
      <w:r w:rsidRPr="00E03ED3">
        <w:rPr>
          <w:b/>
          <w:bCs/>
          <w:sz w:val="28"/>
          <w:szCs w:val="28"/>
        </w:rPr>
        <w:t>11.2 Key Rate Duration Validation</w:t>
      </w:r>
    </w:p>
    <w:p w14:paraId="0A74C5DF" w14:textId="77777777" w:rsidR="004E4F0C" w:rsidRDefault="00762069" w:rsidP="000B7615">
      <w:pPr>
        <w:spacing w:line="276" w:lineRule="auto"/>
      </w:pPr>
      <w:r w:rsidRPr="00762069">
        <w:t xml:space="preserve">Key Rate Duration was used to decompose interest-rate sensitivity across maturity buckets. The project methodology requires the sum of the KRD contributions to be approximately consistent with </w:t>
      </w:r>
      <w:r w:rsidRPr="00762069">
        <w:lastRenderedPageBreak/>
        <w:t>portfolio Modified Duration, within the specified tolerance. This provides an important consistency check on the KRD implementation.</w:t>
      </w:r>
    </w:p>
    <w:p w14:paraId="5292C5A4" w14:textId="240C6469" w:rsidR="00A23E4E" w:rsidRPr="00863A96" w:rsidRDefault="00A23E4E" w:rsidP="000B7615">
      <w:pPr>
        <w:spacing w:line="276" w:lineRule="auto"/>
      </w:pPr>
      <w:r w:rsidRPr="00E03ED3">
        <w:rPr>
          <w:b/>
          <w:bCs/>
          <w:sz w:val="28"/>
          <w:szCs w:val="28"/>
        </w:rPr>
        <w:t>11.3 Machine Learning Validation</w:t>
      </w:r>
    </w:p>
    <w:p w14:paraId="05A27B47" w14:textId="08B41F6F" w:rsidR="00A23E4E" w:rsidRDefault="00A23E4E" w:rsidP="000B7615">
      <w:pPr>
        <w:spacing w:line="276" w:lineRule="auto"/>
      </w:pPr>
      <w:r w:rsidRPr="00A23E4E">
        <w:t>Machine learning outputs should be evaluated using a held-out test dataset. The project specification requires reporting RMSE for every machine learning model. Therefore, model performance should be reported only using the actual test-set metrics generated during the project.</w:t>
      </w:r>
    </w:p>
    <w:p w14:paraId="3FF836DC" w14:textId="484913A0" w:rsidR="00A23E4E" w:rsidRPr="00E03ED3" w:rsidRDefault="008553B0" w:rsidP="000B7615">
      <w:pPr>
        <w:spacing w:line="276" w:lineRule="auto"/>
        <w:rPr>
          <w:b/>
          <w:bCs/>
          <w:sz w:val="28"/>
          <w:szCs w:val="28"/>
        </w:rPr>
      </w:pPr>
      <w:r w:rsidRPr="00E03ED3">
        <w:rPr>
          <w:b/>
          <w:bCs/>
          <w:sz w:val="28"/>
          <w:szCs w:val="28"/>
        </w:rPr>
        <w:t>11.4 Risk Measure Validation</w:t>
      </w:r>
    </w:p>
    <w:p w14:paraId="4F0975E3" w14:textId="2739E171" w:rsidR="008553B0" w:rsidRDefault="008553B0" w:rsidP="000B7615">
      <w:pPr>
        <w:spacing w:line="276" w:lineRule="auto"/>
      </w:pPr>
      <w:r w:rsidRPr="008553B0">
        <w:t xml:space="preserve">Risk estimates should be independently checked against an analytical benchmark wherever applicable. In particular, the project specification requires </w:t>
      </w:r>
      <w:proofErr w:type="spellStart"/>
      <w:r w:rsidRPr="008553B0">
        <w:t>VaR</w:t>
      </w:r>
      <w:proofErr w:type="spellEnd"/>
      <w:r w:rsidRPr="008553B0">
        <w:t xml:space="preserve"> calculations to be compared with Parametric </w:t>
      </w:r>
      <w:proofErr w:type="spellStart"/>
      <w:r w:rsidRPr="008553B0">
        <w:t>VaR</w:t>
      </w:r>
      <w:proofErr w:type="spellEnd"/>
      <w:r w:rsidRPr="008553B0">
        <w:t xml:space="preserve"> as a sanity check. This helps identify unreasonable or inconsistent risk estimates.</w:t>
      </w:r>
    </w:p>
    <w:p w14:paraId="48CE3F32" w14:textId="0038356F" w:rsidR="008553B0" w:rsidRPr="00165AF9" w:rsidRDefault="00F074C5" w:rsidP="000B7615">
      <w:pPr>
        <w:spacing w:line="276" w:lineRule="auto"/>
        <w:rPr>
          <w:b/>
          <w:bCs/>
          <w:sz w:val="28"/>
          <w:szCs w:val="28"/>
        </w:rPr>
      </w:pPr>
      <w:r w:rsidRPr="00165AF9">
        <w:rPr>
          <w:b/>
          <w:bCs/>
          <w:sz w:val="28"/>
          <w:szCs w:val="28"/>
        </w:rPr>
        <w:t>Validation status table</w:t>
      </w:r>
    </w:p>
    <w:tbl>
      <w:tblPr>
        <w:tblW w:w="7901" w:type="dxa"/>
        <w:tblCellSpacing w:w="15" w:type="dxa"/>
        <w:tblCellMar>
          <w:top w:w="15" w:type="dxa"/>
          <w:left w:w="15" w:type="dxa"/>
          <w:bottom w:w="15" w:type="dxa"/>
          <w:right w:w="15" w:type="dxa"/>
        </w:tblCellMar>
        <w:tblLook w:val="04A0" w:firstRow="1" w:lastRow="0" w:firstColumn="1" w:lastColumn="0" w:noHBand="0" w:noVBand="1"/>
      </w:tblPr>
      <w:tblGrid>
        <w:gridCol w:w="1873"/>
        <w:gridCol w:w="4143"/>
        <w:gridCol w:w="1885"/>
      </w:tblGrid>
      <w:tr w:rsidR="00F60E30" w:rsidRPr="00F60E30" w14:paraId="10D134D2" w14:textId="77777777" w:rsidTr="004A5089">
        <w:trPr>
          <w:trHeight w:val="677"/>
          <w:tblHeader/>
          <w:tblCellSpacing w:w="15" w:type="dxa"/>
        </w:trPr>
        <w:tc>
          <w:tcPr>
            <w:tcW w:w="0" w:type="auto"/>
            <w:vAlign w:val="center"/>
            <w:hideMark/>
          </w:tcPr>
          <w:p w14:paraId="70F8D30B" w14:textId="77777777" w:rsidR="00F60E30" w:rsidRPr="003D4CF4" w:rsidRDefault="00F60E30" w:rsidP="000B7615">
            <w:pPr>
              <w:spacing w:line="276" w:lineRule="auto"/>
              <w:rPr>
                <w:b/>
                <w:bCs/>
                <w:sz w:val="28"/>
                <w:szCs w:val="28"/>
              </w:rPr>
            </w:pPr>
            <w:r w:rsidRPr="003D4CF4">
              <w:rPr>
                <w:b/>
                <w:bCs/>
                <w:sz w:val="28"/>
                <w:szCs w:val="28"/>
              </w:rPr>
              <w:t>Validation Item</w:t>
            </w:r>
          </w:p>
        </w:tc>
        <w:tc>
          <w:tcPr>
            <w:tcW w:w="0" w:type="auto"/>
            <w:vAlign w:val="center"/>
            <w:hideMark/>
          </w:tcPr>
          <w:p w14:paraId="14C5330D" w14:textId="77777777" w:rsidR="00F60E30" w:rsidRPr="003D4CF4" w:rsidRDefault="00F60E30" w:rsidP="000B7615">
            <w:pPr>
              <w:spacing w:line="276" w:lineRule="auto"/>
              <w:rPr>
                <w:b/>
                <w:bCs/>
                <w:sz w:val="28"/>
                <w:szCs w:val="28"/>
              </w:rPr>
            </w:pPr>
            <w:r w:rsidRPr="003D4CF4">
              <w:rPr>
                <w:b/>
                <w:bCs/>
                <w:sz w:val="28"/>
                <w:szCs w:val="28"/>
              </w:rPr>
              <w:t>Requirement</w:t>
            </w:r>
          </w:p>
        </w:tc>
        <w:tc>
          <w:tcPr>
            <w:tcW w:w="0" w:type="auto"/>
            <w:vAlign w:val="center"/>
            <w:hideMark/>
          </w:tcPr>
          <w:p w14:paraId="6C443C7B" w14:textId="77777777" w:rsidR="00F60E30" w:rsidRPr="00EA7924" w:rsidRDefault="00F60E30" w:rsidP="000B7615">
            <w:pPr>
              <w:spacing w:line="276" w:lineRule="auto"/>
              <w:rPr>
                <w:b/>
                <w:bCs/>
                <w:sz w:val="28"/>
                <w:szCs w:val="28"/>
              </w:rPr>
            </w:pPr>
            <w:r w:rsidRPr="00EA7924">
              <w:rPr>
                <w:b/>
                <w:bCs/>
                <w:sz w:val="28"/>
                <w:szCs w:val="28"/>
              </w:rPr>
              <w:t>Status</w:t>
            </w:r>
          </w:p>
        </w:tc>
      </w:tr>
      <w:tr w:rsidR="00F60E30" w:rsidRPr="00F60E30" w14:paraId="0D6B329E" w14:textId="77777777" w:rsidTr="004A5089">
        <w:trPr>
          <w:trHeight w:val="581"/>
          <w:tblCellSpacing w:w="15" w:type="dxa"/>
        </w:trPr>
        <w:tc>
          <w:tcPr>
            <w:tcW w:w="0" w:type="auto"/>
            <w:vAlign w:val="center"/>
            <w:hideMark/>
          </w:tcPr>
          <w:p w14:paraId="44E412C3" w14:textId="77777777" w:rsidR="00F60E30" w:rsidRPr="00F60E30" w:rsidRDefault="00F60E30" w:rsidP="000B7615">
            <w:pPr>
              <w:spacing w:line="276" w:lineRule="auto"/>
            </w:pPr>
            <w:r w:rsidRPr="00F60E30">
              <w:t>Bond Pricing</w:t>
            </w:r>
          </w:p>
        </w:tc>
        <w:tc>
          <w:tcPr>
            <w:tcW w:w="0" w:type="auto"/>
            <w:vAlign w:val="center"/>
            <w:hideMark/>
          </w:tcPr>
          <w:p w14:paraId="7CB09EB3" w14:textId="77777777" w:rsidR="00F60E30" w:rsidRPr="00F60E30" w:rsidRDefault="00F60E30" w:rsidP="000B7615">
            <w:pPr>
              <w:spacing w:line="276" w:lineRule="auto"/>
            </w:pPr>
            <w:r w:rsidRPr="00F60E30">
              <w:t xml:space="preserve">Excel </w:t>
            </w:r>
            <w:proofErr w:type="gramStart"/>
            <w:r w:rsidRPr="00F60E30">
              <w:t>PRICE(</w:t>
            </w:r>
            <w:proofErr w:type="gramEnd"/>
            <w:r w:rsidRPr="00F60E30">
              <w:t>) cross-check</w:t>
            </w:r>
          </w:p>
        </w:tc>
        <w:tc>
          <w:tcPr>
            <w:tcW w:w="0" w:type="auto"/>
            <w:vAlign w:val="center"/>
            <w:hideMark/>
          </w:tcPr>
          <w:p w14:paraId="1EC52D65" w14:textId="77777777" w:rsidR="00F60E30" w:rsidRPr="00F60E30" w:rsidRDefault="00F60E30" w:rsidP="000B7615">
            <w:pPr>
              <w:spacing w:line="276" w:lineRule="auto"/>
            </w:pPr>
            <w:r w:rsidRPr="00F60E30">
              <w:t>To be evidenced</w:t>
            </w:r>
          </w:p>
        </w:tc>
      </w:tr>
      <w:tr w:rsidR="00F60E30" w:rsidRPr="00F60E30" w14:paraId="6896D0C6" w14:textId="77777777" w:rsidTr="004A5089">
        <w:trPr>
          <w:trHeight w:val="581"/>
          <w:tblCellSpacing w:w="15" w:type="dxa"/>
        </w:trPr>
        <w:tc>
          <w:tcPr>
            <w:tcW w:w="0" w:type="auto"/>
            <w:vAlign w:val="center"/>
            <w:hideMark/>
          </w:tcPr>
          <w:p w14:paraId="64819058" w14:textId="77777777" w:rsidR="00F60E30" w:rsidRPr="00F60E30" w:rsidRDefault="00F60E30" w:rsidP="000B7615">
            <w:pPr>
              <w:spacing w:line="276" w:lineRule="auto"/>
            </w:pPr>
            <w:r w:rsidRPr="00F60E30">
              <w:t>Duration</w:t>
            </w:r>
          </w:p>
        </w:tc>
        <w:tc>
          <w:tcPr>
            <w:tcW w:w="0" w:type="auto"/>
            <w:vAlign w:val="center"/>
            <w:hideMark/>
          </w:tcPr>
          <w:p w14:paraId="598B5B9B" w14:textId="77777777" w:rsidR="00F60E30" w:rsidRPr="00F60E30" w:rsidRDefault="00F60E30" w:rsidP="000B7615">
            <w:pPr>
              <w:spacing w:line="276" w:lineRule="auto"/>
            </w:pPr>
            <w:r w:rsidRPr="00F60E30">
              <w:t>Excel DURATION()/</w:t>
            </w:r>
            <w:proofErr w:type="gramStart"/>
            <w:r w:rsidRPr="00F60E30">
              <w:t>MDURATION(</w:t>
            </w:r>
            <w:proofErr w:type="gramEnd"/>
            <w:r w:rsidRPr="00F60E30">
              <w:t>) cross-check</w:t>
            </w:r>
          </w:p>
        </w:tc>
        <w:tc>
          <w:tcPr>
            <w:tcW w:w="0" w:type="auto"/>
            <w:vAlign w:val="center"/>
            <w:hideMark/>
          </w:tcPr>
          <w:p w14:paraId="524628C4" w14:textId="77777777" w:rsidR="00F60E30" w:rsidRPr="00F60E30" w:rsidRDefault="00F60E30" w:rsidP="000B7615">
            <w:pPr>
              <w:spacing w:line="276" w:lineRule="auto"/>
            </w:pPr>
            <w:r w:rsidRPr="00F60E30">
              <w:t>To be evidenced</w:t>
            </w:r>
          </w:p>
        </w:tc>
      </w:tr>
      <w:tr w:rsidR="00F60E30" w:rsidRPr="00F60E30" w14:paraId="49E6E11D" w14:textId="77777777" w:rsidTr="004A5089">
        <w:trPr>
          <w:trHeight w:val="581"/>
          <w:tblCellSpacing w:w="15" w:type="dxa"/>
        </w:trPr>
        <w:tc>
          <w:tcPr>
            <w:tcW w:w="0" w:type="auto"/>
            <w:vAlign w:val="center"/>
            <w:hideMark/>
          </w:tcPr>
          <w:p w14:paraId="7CD43982" w14:textId="77777777" w:rsidR="00F60E30" w:rsidRPr="00F60E30" w:rsidRDefault="00F60E30" w:rsidP="000B7615">
            <w:pPr>
              <w:spacing w:line="276" w:lineRule="auto"/>
            </w:pPr>
            <w:r w:rsidRPr="00F60E30">
              <w:t>KRD</w:t>
            </w:r>
          </w:p>
        </w:tc>
        <w:tc>
          <w:tcPr>
            <w:tcW w:w="0" w:type="auto"/>
            <w:vAlign w:val="center"/>
            <w:hideMark/>
          </w:tcPr>
          <w:p w14:paraId="74AF1A8C" w14:textId="77777777" w:rsidR="00F60E30" w:rsidRPr="00F60E30" w:rsidRDefault="00F60E30" w:rsidP="000B7615">
            <w:pPr>
              <w:spacing w:line="276" w:lineRule="auto"/>
            </w:pPr>
            <w:r w:rsidRPr="00F60E30">
              <w:t>KRD sum vs Modified Duration</w:t>
            </w:r>
          </w:p>
        </w:tc>
        <w:tc>
          <w:tcPr>
            <w:tcW w:w="0" w:type="auto"/>
            <w:vAlign w:val="center"/>
            <w:hideMark/>
          </w:tcPr>
          <w:p w14:paraId="7C9A6378" w14:textId="77777777" w:rsidR="00F60E30" w:rsidRPr="00F60E30" w:rsidRDefault="00F60E30" w:rsidP="000B7615">
            <w:pPr>
              <w:spacing w:line="276" w:lineRule="auto"/>
            </w:pPr>
            <w:r w:rsidRPr="00F60E30">
              <w:t>Analysis completed</w:t>
            </w:r>
          </w:p>
        </w:tc>
      </w:tr>
      <w:tr w:rsidR="00F60E30" w:rsidRPr="00F60E30" w14:paraId="2816605E" w14:textId="77777777" w:rsidTr="004A5089">
        <w:trPr>
          <w:trHeight w:val="581"/>
          <w:tblCellSpacing w:w="15" w:type="dxa"/>
        </w:trPr>
        <w:tc>
          <w:tcPr>
            <w:tcW w:w="0" w:type="auto"/>
            <w:vAlign w:val="center"/>
            <w:hideMark/>
          </w:tcPr>
          <w:p w14:paraId="3956EC61" w14:textId="77777777" w:rsidR="00F60E30" w:rsidRPr="00F60E30" w:rsidRDefault="00F60E30" w:rsidP="000B7615">
            <w:pPr>
              <w:spacing w:line="276" w:lineRule="auto"/>
            </w:pPr>
            <w:r w:rsidRPr="00F60E30">
              <w:t>ML</w:t>
            </w:r>
          </w:p>
        </w:tc>
        <w:tc>
          <w:tcPr>
            <w:tcW w:w="0" w:type="auto"/>
            <w:vAlign w:val="center"/>
            <w:hideMark/>
          </w:tcPr>
          <w:p w14:paraId="56B70CB8" w14:textId="77777777" w:rsidR="00F60E30" w:rsidRPr="00F60E30" w:rsidRDefault="00F60E30" w:rsidP="000B7615">
            <w:pPr>
              <w:spacing w:line="276" w:lineRule="auto"/>
            </w:pPr>
            <w:r w:rsidRPr="00F60E30">
              <w:t>Held-out RMSE</w:t>
            </w:r>
          </w:p>
        </w:tc>
        <w:tc>
          <w:tcPr>
            <w:tcW w:w="0" w:type="auto"/>
            <w:vAlign w:val="center"/>
            <w:hideMark/>
          </w:tcPr>
          <w:p w14:paraId="476FD39F" w14:textId="77777777" w:rsidR="00F60E30" w:rsidRPr="00F60E30" w:rsidRDefault="00F60E30" w:rsidP="000B7615">
            <w:pPr>
              <w:spacing w:line="276" w:lineRule="auto"/>
            </w:pPr>
            <w:r w:rsidRPr="00F60E30">
              <w:t>Check actual output</w:t>
            </w:r>
          </w:p>
        </w:tc>
      </w:tr>
      <w:tr w:rsidR="00F60E30" w:rsidRPr="00F60E30" w14:paraId="37832B19" w14:textId="77777777" w:rsidTr="004A5089">
        <w:trPr>
          <w:trHeight w:val="581"/>
          <w:tblCellSpacing w:w="15" w:type="dxa"/>
        </w:trPr>
        <w:tc>
          <w:tcPr>
            <w:tcW w:w="0" w:type="auto"/>
            <w:vAlign w:val="center"/>
            <w:hideMark/>
          </w:tcPr>
          <w:p w14:paraId="7D7BB54F" w14:textId="77777777" w:rsidR="00F60E30" w:rsidRPr="00F60E30" w:rsidRDefault="00F60E30" w:rsidP="000B7615">
            <w:pPr>
              <w:spacing w:line="276" w:lineRule="auto"/>
            </w:pPr>
            <w:proofErr w:type="spellStart"/>
            <w:r w:rsidRPr="00F60E30">
              <w:t>VaR</w:t>
            </w:r>
            <w:proofErr w:type="spellEnd"/>
          </w:p>
        </w:tc>
        <w:tc>
          <w:tcPr>
            <w:tcW w:w="0" w:type="auto"/>
            <w:vAlign w:val="center"/>
            <w:hideMark/>
          </w:tcPr>
          <w:p w14:paraId="0DE79CA0" w14:textId="77777777" w:rsidR="00F60E30" w:rsidRPr="00F60E30" w:rsidRDefault="00F60E30" w:rsidP="000B7615">
            <w:pPr>
              <w:spacing w:line="276" w:lineRule="auto"/>
            </w:pPr>
            <w:r w:rsidRPr="00F60E30">
              <w:t xml:space="preserve">Parametric </w:t>
            </w:r>
            <w:proofErr w:type="spellStart"/>
            <w:r w:rsidRPr="00F60E30">
              <w:t>VaR</w:t>
            </w:r>
            <w:proofErr w:type="spellEnd"/>
            <w:r w:rsidRPr="00F60E30">
              <w:t xml:space="preserve"> comparison</w:t>
            </w:r>
          </w:p>
        </w:tc>
        <w:tc>
          <w:tcPr>
            <w:tcW w:w="0" w:type="auto"/>
            <w:vAlign w:val="center"/>
            <w:hideMark/>
          </w:tcPr>
          <w:p w14:paraId="09706299" w14:textId="77777777" w:rsidR="00F60E30" w:rsidRPr="00F60E30" w:rsidRDefault="00F60E30" w:rsidP="000B7615">
            <w:pPr>
              <w:spacing w:line="276" w:lineRule="auto"/>
            </w:pPr>
            <w:r w:rsidRPr="00F60E30">
              <w:t>Check evidence</w:t>
            </w:r>
          </w:p>
        </w:tc>
      </w:tr>
      <w:tr w:rsidR="00F60E30" w:rsidRPr="00F60E30" w14:paraId="0CC75D5A" w14:textId="77777777" w:rsidTr="004A5089">
        <w:trPr>
          <w:trHeight w:val="581"/>
          <w:tblCellSpacing w:w="15" w:type="dxa"/>
        </w:trPr>
        <w:tc>
          <w:tcPr>
            <w:tcW w:w="0" w:type="auto"/>
            <w:vAlign w:val="center"/>
            <w:hideMark/>
          </w:tcPr>
          <w:p w14:paraId="3E193BAB" w14:textId="77777777" w:rsidR="00F60E30" w:rsidRPr="00F60E30" w:rsidRDefault="00F60E30" w:rsidP="000B7615">
            <w:pPr>
              <w:spacing w:line="276" w:lineRule="auto"/>
            </w:pPr>
            <w:r w:rsidRPr="00F60E30">
              <w:t>DAX</w:t>
            </w:r>
          </w:p>
        </w:tc>
        <w:tc>
          <w:tcPr>
            <w:tcW w:w="0" w:type="auto"/>
            <w:vAlign w:val="center"/>
            <w:hideMark/>
          </w:tcPr>
          <w:p w14:paraId="6912E3F0" w14:textId="77777777" w:rsidR="00F60E30" w:rsidRPr="00F60E30" w:rsidRDefault="00F60E30" w:rsidP="000B7615">
            <w:pPr>
              <w:spacing w:line="276" w:lineRule="auto"/>
            </w:pPr>
            <w:r w:rsidRPr="00F60E30">
              <w:t>DAX Studio profiling</w:t>
            </w:r>
          </w:p>
        </w:tc>
        <w:tc>
          <w:tcPr>
            <w:tcW w:w="0" w:type="auto"/>
            <w:vAlign w:val="center"/>
            <w:hideMark/>
          </w:tcPr>
          <w:p w14:paraId="14BF5FB5" w14:textId="77777777" w:rsidR="00F60E30" w:rsidRPr="00F60E30" w:rsidRDefault="00F60E30" w:rsidP="000B7615">
            <w:pPr>
              <w:spacing w:line="276" w:lineRule="auto"/>
            </w:pPr>
            <w:r w:rsidRPr="00F60E30">
              <w:t>Separate validation</w:t>
            </w:r>
          </w:p>
        </w:tc>
      </w:tr>
      <w:tr w:rsidR="00F60E30" w:rsidRPr="00F60E30" w14:paraId="25535DFF" w14:textId="77777777" w:rsidTr="004A5089">
        <w:trPr>
          <w:trHeight w:val="581"/>
          <w:tblCellSpacing w:w="15" w:type="dxa"/>
        </w:trPr>
        <w:tc>
          <w:tcPr>
            <w:tcW w:w="0" w:type="auto"/>
            <w:vAlign w:val="center"/>
            <w:hideMark/>
          </w:tcPr>
          <w:p w14:paraId="5754FAD2" w14:textId="77777777" w:rsidR="00F60E30" w:rsidRPr="00F60E30" w:rsidRDefault="00F60E30" w:rsidP="000B7615">
            <w:pPr>
              <w:spacing w:line="276" w:lineRule="auto"/>
            </w:pPr>
            <w:r w:rsidRPr="00F60E30">
              <w:t>Case Studies</w:t>
            </w:r>
          </w:p>
        </w:tc>
        <w:tc>
          <w:tcPr>
            <w:tcW w:w="0" w:type="auto"/>
            <w:vAlign w:val="center"/>
            <w:hideMark/>
          </w:tcPr>
          <w:p w14:paraId="72271BCF" w14:textId="77777777" w:rsidR="00F60E30" w:rsidRPr="00F60E30" w:rsidRDefault="00F60E30" w:rsidP="000B7615">
            <w:pPr>
              <w:spacing w:line="276" w:lineRule="auto"/>
            </w:pPr>
            <w:r w:rsidRPr="00F60E30">
              <w:t>Primary-source verification</w:t>
            </w:r>
          </w:p>
        </w:tc>
        <w:tc>
          <w:tcPr>
            <w:tcW w:w="0" w:type="auto"/>
            <w:vAlign w:val="center"/>
            <w:hideMark/>
          </w:tcPr>
          <w:p w14:paraId="6162C603" w14:textId="77777777" w:rsidR="00F60E30" w:rsidRPr="00F60E30" w:rsidRDefault="00F60E30" w:rsidP="000B7615">
            <w:pPr>
              <w:spacing w:line="276" w:lineRule="auto"/>
            </w:pPr>
            <w:r w:rsidRPr="00F60E30">
              <w:t>Separate validation</w:t>
            </w:r>
          </w:p>
        </w:tc>
      </w:tr>
    </w:tbl>
    <w:p w14:paraId="165BD5A7" w14:textId="77777777" w:rsidR="00F60E30" w:rsidRPr="0096148C" w:rsidRDefault="00F60E30" w:rsidP="000B7615">
      <w:pPr>
        <w:spacing w:line="276" w:lineRule="auto"/>
        <w:rPr>
          <w:sz w:val="32"/>
          <w:szCs w:val="32"/>
        </w:rPr>
      </w:pPr>
    </w:p>
    <w:p w14:paraId="0F78B618" w14:textId="77777777" w:rsidR="002751D9" w:rsidRPr="005A2545" w:rsidRDefault="002751D9" w:rsidP="002751D9">
      <w:pPr>
        <w:pStyle w:val="Heading2"/>
        <w:rPr>
          <w:b/>
          <w:bCs/>
        </w:rPr>
      </w:pPr>
      <w:r w:rsidRPr="005A2545">
        <w:rPr>
          <w:b/>
          <w:bCs/>
        </w:rPr>
        <w:t>12. Tools &amp; Technologies</w:t>
      </w:r>
    </w:p>
    <w:p w14:paraId="42304B9D" w14:textId="491546DB" w:rsidR="002E423C" w:rsidRDefault="004F5B4D" w:rsidP="000B7615">
      <w:pPr>
        <w:spacing w:line="276" w:lineRule="auto"/>
      </w:pPr>
      <w:r w:rsidRPr="004F5B4D">
        <w:t>The project was developed using a combination of programming, analytical, visualization and research tools. Python was used for bond-risk calculations, Key Rate Duration analysis, scenario analysis, machine learning and data visualization. Jupyter Notebook was used as the primary development environment. Excel-based financial functions were specified as an independent validation benchmark. Power BI, R, SQL and other supporting tools form part of the broader project methodology.</w:t>
      </w:r>
    </w:p>
    <w:p w14:paraId="46D95509" w14:textId="16F8C932" w:rsidR="004F5B4D" w:rsidRPr="00E03ED3" w:rsidRDefault="008F267F" w:rsidP="000B7615">
      <w:pPr>
        <w:spacing w:line="276" w:lineRule="auto"/>
        <w:rPr>
          <w:b/>
          <w:bCs/>
          <w:sz w:val="28"/>
          <w:szCs w:val="28"/>
        </w:rPr>
      </w:pPr>
      <w:r w:rsidRPr="00E03ED3">
        <w:rPr>
          <w:b/>
          <w:bCs/>
          <w:sz w:val="28"/>
          <w:szCs w:val="28"/>
        </w:rPr>
        <w:t>12.1 Python &amp; Jupyter Notebook</w:t>
      </w:r>
    </w:p>
    <w:p w14:paraId="20FCDAE7" w14:textId="15334E0C" w:rsidR="008F267F" w:rsidRDefault="008F267F" w:rsidP="000B7615">
      <w:pPr>
        <w:spacing w:line="276" w:lineRule="auto"/>
      </w:pPr>
      <w:r w:rsidRPr="008F267F">
        <w:lastRenderedPageBreak/>
        <w:t>Python was used to implement the quantitative bond-risk analysis. The Jupyter Notebook provided an interactive environment for data preparation, calculations, visualizations, machine learning and generation of final analytical outputs.</w:t>
      </w:r>
    </w:p>
    <w:p w14:paraId="59BF9D64" w14:textId="77777777" w:rsidR="004E4F0C" w:rsidRDefault="004E4F0C" w:rsidP="000B7615">
      <w:pPr>
        <w:spacing w:line="276" w:lineRule="auto"/>
      </w:pPr>
    </w:p>
    <w:p w14:paraId="3E455453" w14:textId="77777777" w:rsidR="002751D9" w:rsidRPr="005A2545" w:rsidRDefault="002751D9" w:rsidP="002751D9">
      <w:pPr>
        <w:pStyle w:val="Heading2"/>
        <w:rPr>
          <w:b/>
          <w:bCs/>
        </w:rPr>
      </w:pPr>
      <w:r w:rsidRPr="005A2545">
        <w:rPr>
          <w:b/>
          <w:bCs/>
        </w:rPr>
        <w:t>13. Day-by-Day Project Journal</w:t>
      </w:r>
    </w:p>
    <w:p w14:paraId="7F58A61F" w14:textId="77777777" w:rsidR="004A5089" w:rsidRPr="00E03ED3" w:rsidRDefault="00963FD4" w:rsidP="000B7615">
      <w:pPr>
        <w:spacing w:line="276" w:lineRule="auto"/>
        <w:rPr>
          <w:b/>
          <w:bCs/>
          <w:sz w:val="28"/>
          <w:szCs w:val="28"/>
        </w:rPr>
      </w:pPr>
      <w:r w:rsidRPr="00E03ED3">
        <w:rPr>
          <w:b/>
          <w:bCs/>
          <w:sz w:val="28"/>
          <w:szCs w:val="28"/>
        </w:rPr>
        <w:t xml:space="preserve">13.1 Day 1 — Domain Orientation </w:t>
      </w:r>
    </w:p>
    <w:p w14:paraId="1633EA00" w14:textId="5041975D" w:rsidR="008F267F" w:rsidRDefault="00963FD4" w:rsidP="000B7615">
      <w:pPr>
        <w:spacing w:line="276" w:lineRule="auto"/>
      </w:pPr>
      <w:r w:rsidRPr="00963FD4">
        <w:t>The first phase focused on understanding fixed-income markets, bond risk management, Indian government securities and yield-curve concepts. The key objective was to build familiarity with duration, convexity, interest-rate risk and Key Rate Duration.</w:t>
      </w:r>
    </w:p>
    <w:p w14:paraId="2E2405F8" w14:textId="1496D972" w:rsidR="00963FD4" w:rsidRPr="002751D9" w:rsidRDefault="00233D9B" w:rsidP="000B7615">
      <w:pPr>
        <w:spacing w:line="276" w:lineRule="auto"/>
        <w:rPr>
          <w:b/>
          <w:bCs/>
          <w:sz w:val="28"/>
          <w:szCs w:val="28"/>
        </w:rPr>
      </w:pPr>
      <w:r w:rsidRPr="00E03ED3">
        <w:rPr>
          <w:b/>
          <w:bCs/>
          <w:sz w:val="28"/>
          <w:szCs w:val="28"/>
        </w:rPr>
        <w:t xml:space="preserve">13.2 Day 2 — Bond Pricing </w:t>
      </w:r>
      <w:proofErr w:type="gramStart"/>
      <w:r w:rsidRPr="00E03ED3">
        <w:rPr>
          <w:b/>
          <w:bCs/>
          <w:sz w:val="28"/>
          <w:szCs w:val="28"/>
        </w:rPr>
        <w:t>From</w:t>
      </w:r>
      <w:proofErr w:type="gramEnd"/>
      <w:r w:rsidRPr="00E03ED3">
        <w:rPr>
          <w:b/>
          <w:bCs/>
          <w:sz w:val="28"/>
          <w:szCs w:val="28"/>
        </w:rPr>
        <w:t xml:space="preserve"> First Principles</w:t>
      </w:r>
      <w:r w:rsidR="002751D9">
        <w:rPr>
          <w:b/>
          <w:bCs/>
          <w:sz w:val="28"/>
          <w:szCs w:val="28"/>
        </w:rPr>
        <w:t xml:space="preserve">                                                   </w:t>
      </w:r>
      <w:r>
        <w:t>The second phase focused on implementing core bond mathematics,</w:t>
      </w:r>
      <w:r w:rsidR="002751D9">
        <w:t xml:space="preserve"> </w:t>
      </w:r>
      <w:r>
        <w:t>including bond pricing, Macaulay Duration, Modified Duration,</w:t>
      </w:r>
      <w:r w:rsidR="002751D9">
        <w:t xml:space="preserve"> </w:t>
      </w:r>
      <w:r>
        <w:t>Convexity and DV01. The calculations were designed to support</w:t>
      </w:r>
      <w:r w:rsidR="002751D9">
        <w:t xml:space="preserve"> </w:t>
      </w:r>
      <w:r>
        <w:t>subsequent portfolio and interest-rate risk analysis.</w:t>
      </w:r>
    </w:p>
    <w:p w14:paraId="66049F13" w14:textId="77777777" w:rsidR="00233D9B" w:rsidRPr="00E03ED3" w:rsidRDefault="00233D9B" w:rsidP="000B7615">
      <w:pPr>
        <w:spacing w:line="276" w:lineRule="auto"/>
        <w:rPr>
          <w:b/>
          <w:bCs/>
          <w:sz w:val="28"/>
          <w:szCs w:val="28"/>
        </w:rPr>
      </w:pPr>
      <w:r w:rsidRPr="00E03ED3">
        <w:rPr>
          <w:b/>
          <w:bCs/>
          <w:sz w:val="28"/>
          <w:szCs w:val="28"/>
        </w:rPr>
        <w:t>13.3 Day 3 — Portfolio Analytics</w:t>
      </w:r>
    </w:p>
    <w:p w14:paraId="46119518" w14:textId="60FF9D7D" w:rsidR="00233D9B" w:rsidRDefault="00233D9B" w:rsidP="000B7615">
      <w:pPr>
        <w:spacing w:line="276" w:lineRule="auto"/>
      </w:pPr>
      <w:r>
        <w:t>The portfolio analytics phase focused on aggregating bond-level</w:t>
      </w:r>
      <w:r w:rsidR="002751D9">
        <w:t xml:space="preserve"> </w:t>
      </w:r>
      <w:r>
        <w:t xml:space="preserve">risk measures into portfolio-level measures. Duration, </w:t>
      </w:r>
      <w:proofErr w:type="gramStart"/>
      <w:r>
        <w:t>convexity,DV</w:t>
      </w:r>
      <w:proofErr w:type="gramEnd"/>
      <w:r>
        <w:t>01 and risk contributions were analysed across relevant</w:t>
      </w:r>
      <w:r w:rsidR="002751D9">
        <w:t xml:space="preserve"> </w:t>
      </w:r>
      <w:r>
        <w:t>dimensions and visualizations were generated.</w:t>
      </w:r>
    </w:p>
    <w:p w14:paraId="2080CCAD" w14:textId="77777777" w:rsidR="00A924EF" w:rsidRPr="00E03ED3" w:rsidRDefault="00A924EF" w:rsidP="000B7615">
      <w:pPr>
        <w:spacing w:line="276" w:lineRule="auto"/>
        <w:rPr>
          <w:b/>
          <w:bCs/>
          <w:sz w:val="28"/>
          <w:szCs w:val="28"/>
        </w:rPr>
      </w:pPr>
      <w:r w:rsidRPr="00E03ED3">
        <w:rPr>
          <w:b/>
          <w:bCs/>
          <w:sz w:val="28"/>
          <w:szCs w:val="28"/>
        </w:rPr>
        <w:t>13.4 Day 4 — Key Rate Duration</w:t>
      </w:r>
    </w:p>
    <w:p w14:paraId="406BD4E0" w14:textId="498B1E04" w:rsidR="00233D9B" w:rsidRDefault="00A924EF" w:rsidP="000B7615">
      <w:pPr>
        <w:spacing w:line="276" w:lineRule="auto"/>
      </w:pPr>
      <w:r>
        <w:t>The Key Rate Duration phase decomposed interest-rate sensitivity</w:t>
      </w:r>
      <w:r w:rsidR="002751D9">
        <w:t xml:space="preserve"> </w:t>
      </w:r>
      <w:r>
        <w:t>across maturity buckets. The analysis examined the contribution</w:t>
      </w:r>
      <w:r w:rsidR="002751D9">
        <w:t xml:space="preserve"> </w:t>
      </w:r>
      <w:r>
        <w:t>of individual tenor points and evaluated the impact of yield-curve</w:t>
      </w:r>
      <w:r w:rsidR="00303227">
        <w:t xml:space="preserve"> </w:t>
      </w:r>
      <w:r>
        <w:t>scenarios on portfolio P&amp;L.</w:t>
      </w:r>
    </w:p>
    <w:p w14:paraId="68875087" w14:textId="77777777" w:rsidR="00A924EF" w:rsidRPr="00E03ED3" w:rsidRDefault="00A924EF" w:rsidP="000B7615">
      <w:pPr>
        <w:spacing w:line="276" w:lineRule="auto"/>
        <w:rPr>
          <w:b/>
          <w:bCs/>
          <w:sz w:val="28"/>
          <w:szCs w:val="28"/>
        </w:rPr>
      </w:pPr>
      <w:r w:rsidRPr="00E03ED3">
        <w:rPr>
          <w:b/>
          <w:bCs/>
          <w:sz w:val="28"/>
          <w:szCs w:val="28"/>
        </w:rPr>
        <w:t>13.5 Day 5–6 — Monte Carlo Risk Analysis</w:t>
      </w:r>
    </w:p>
    <w:p w14:paraId="335B5DFD" w14:textId="0CBB6312" w:rsidR="00A924EF" w:rsidRDefault="00A924EF" w:rsidP="000B7615">
      <w:pPr>
        <w:spacing w:line="276" w:lineRule="auto"/>
      </w:pPr>
      <w:r>
        <w:t>The Monte Carlo phase focused on simulating interest-rate scenarios</w:t>
      </w:r>
      <w:r w:rsidR="002751D9">
        <w:t xml:space="preserve"> </w:t>
      </w:r>
      <w:r>
        <w:t>and evaluating portfolio risk under multiple possible market</w:t>
      </w:r>
      <w:r w:rsidR="002751D9">
        <w:t xml:space="preserve"> </w:t>
      </w:r>
      <w:r>
        <w:t xml:space="preserve">conditions. </w:t>
      </w:r>
      <w:proofErr w:type="spellStart"/>
      <w:r>
        <w:t>VaR</w:t>
      </w:r>
      <w:proofErr w:type="spellEnd"/>
      <w:r>
        <w:t>, CVaR and yield-curve scenarios were considered</w:t>
      </w:r>
      <w:r w:rsidR="002751D9">
        <w:t xml:space="preserve"> </w:t>
      </w:r>
      <w:r>
        <w:t>as part of the quantitative risk framework.</w:t>
      </w:r>
    </w:p>
    <w:p w14:paraId="143B0B5D" w14:textId="77777777" w:rsidR="00A924EF" w:rsidRPr="00E03ED3" w:rsidRDefault="00A924EF" w:rsidP="000B7615">
      <w:pPr>
        <w:spacing w:line="276" w:lineRule="auto"/>
        <w:rPr>
          <w:b/>
          <w:bCs/>
          <w:sz w:val="28"/>
          <w:szCs w:val="28"/>
        </w:rPr>
      </w:pPr>
      <w:r w:rsidRPr="00E03ED3">
        <w:rPr>
          <w:b/>
          <w:bCs/>
          <w:sz w:val="28"/>
          <w:szCs w:val="28"/>
        </w:rPr>
        <w:t>13.6 Day 7 — Quantitative Case Studies</w:t>
      </w:r>
    </w:p>
    <w:p w14:paraId="5FC3C4E0" w14:textId="7F66B7CC" w:rsidR="00A924EF" w:rsidRDefault="00A924EF" w:rsidP="000B7615">
      <w:pPr>
        <w:spacing w:line="276" w:lineRule="auto"/>
      </w:pPr>
      <w:r>
        <w:t>The case-study phase applied bond-risk concepts to practical</w:t>
      </w:r>
      <w:r w:rsidR="00303227">
        <w:t xml:space="preserve"> </w:t>
      </w:r>
      <w:r>
        <w:t>financial situations. The objective was to connect theoretical</w:t>
      </w:r>
      <w:r w:rsidR="00303227">
        <w:t xml:space="preserve"> </w:t>
      </w:r>
      <w:r>
        <w:t>duration and convexity concepts with real-world portfolio</w:t>
      </w:r>
      <w:r w:rsidR="00303227">
        <w:t xml:space="preserve"> </w:t>
      </w:r>
      <w:r>
        <w:t>risk-management decisions.</w:t>
      </w:r>
    </w:p>
    <w:p w14:paraId="6798F767" w14:textId="404D6FB8" w:rsidR="000729EA" w:rsidRPr="00E03ED3" w:rsidRDefault="000729EA" w:rsidP="000B7615">
      <w:pPr>
        <w:spacing w:line="276" w:lineRule="auto"/>
        <w:rPr>
          <w:b/>
          <w:bCs/>
          <w:sz w:val="28"/>
          <w:szCs w:val="28"/>
        </w:rPr>
      </w:pPr>
      <w:r w:rsidRPr="00E03ED3">
        <w:rPr>
          <w:b/>
          <w:bCs/>
          <w:sz w:val="28"/>
          <w:szCs w:val="28"/>
        </w:rPr>
        <w:t>13.7 Day 8 — Machine Learning Analysis</w:t>
      </w:r>
    </w:p>
    <w:p w14:paraId="430C76CE" w14:textId="3C04926C" w:rsidR="000729EA" w:rsidRDefault="008A60B9" w:rsidP="000B7615">
      <w:pPr>
        <w:spacing w:line="276" w:lineRule="auto"/>
      </w:pPr>
      <w:r w:rsidRPr="008A60B9">
        <w:t>The machine learning phase introduced predictive analytics into the bond-risk workflow. The available risk dataset was prepared for model-based analysis, followed by model evaluation and</w:t>
      </w:r>
      <w:r w:rsidR="00303227">
        <w:t xml:space="preserve"> </w:t>
      </w:r>
      <w:r w:rsidRPr="008A60B9">
        <w:t>feature-importance analysis. The objective was to investigate whether quantitative relationships within the available bond-risk variables could support risk prediction and interpretation.</w:t>
      </w:r>
    </w:p>
    <w:p w14:paraId="1F7963B5" w14:textId="5349A6A0" w:rsidR="008A60B9" w:rsidRPr="00E03ED3" w:rsidRDefault="008A60B9" w:rsidP="000B7615">
      <w:pPr>
        <w:spacing w:line="276" w:lineRule="auto"/>
        <w:rPr>
          <w:b/>
          <w:bCs/>
          <w:sz w:val="28"/>
          <w:szCs w:val="28"/>
        </w:rPr>
      </w:pPr>
      <w:r w:rsidRPr="00E03ED3">
        <w:rPr>
          <w:b/>
          <w:bCs/>
          <w:sz w:val="28"/>
          <w:szCs w:val="28"/>
        </w:rPr>
        <w:lastRenderedPageBreak/>
        <w:t>13.8 Day 9 — ML Sensitivity Analysis</w:t>
      </w:r>
    </w:p>
    <w:p w14:paraId="0CD722CA" w14:textId="2FA0851B" w:rsidR="00895842" w:rsidRPr="00895842" w:rsidRDefault="00895842" w:rsidP="000B7615">
      <w:pPr>
        <w:spacing w:line="276" w:lineRule="auto"/>
      </w:pPr>
      <w:r w:rsidRPr="00895842">
        <w:t>The sensitivity-analysis phase focused on understanding how model outputs can respond to changes in interest-rate assumptions. The analysis was considered alongside traditional duration and</w:t>
      </w:r>
      <w:r w:rsidR="00303227">
        <w:t xml:space="preserve"> </w:t>
      </w:r>
      <w:proofErr w:type="gramStart"/>
      <w:r w:rsidRPr="00895842">
        <w:t>convexity based</w:t>
      </w:r>
      <w:proofErr w:type="gramEnd"/>
      <w:r w:rsidRPr="00895842">
        <w:t xml:space="preserve"> approaches to understand the relationship between market shocks and estimated bond-risk outcomes.</w:t>
      </w:r>
    </w:p>
    <w:p w14:paraId="102E67EA" w14:textId="1AB8E455" w:rsidR="008A60B9" w:rsidRPr="00E03ED3" w:rsidRDefault="00895842" w:rsidP="000B7615">
      <w:pPr>
        <w:spacing w:line="276" w:lineRule="auto"/>
        <w:rPr>
          <w:b/>
          <w:bCs/>
          <w:sz w:val="28"/>
          <w:szCs w:val="28"/>
        </w:rPr>
      </w:pPr>
      <w:r w:rsidRPr="00E03ED3">
        <w:rPr>
          <w:b/>
          <w:bCs/>
          <w:sz w:val="28"/>
          <w:szCs w:val="28"/>
        </w:rPr>
        <w:t>13.9 Day 10 — Yield Curve Analysis</w:t>
      </w:r>
    </w:p>
    <w:p w14:paraId="7A69BBD2" w14:textId="6149A745" w:rsidR="00895842" w:rsidRDefault="005664BA" w:rsidP="000B7615">
      <w:pPr>
        <w:spacing w:line="276" w:lineRule="auto"/>
      </w:pPr>
      <w:r w:rsidRPr="005664BA">
        <w:t>The yield-curve phase focused on understanding the term structure of interest rates and the relationship between maturity and yield. Yield-curve modelling provides an important foundation for analysing parallel and non-parallel interest-rate movements and their effect on fixed-income portfolios.</w:t>
      </w:r>
    </w:p>
    <w:p w14:paraId="7105D009" w14:textId="2B09259C" w:rsidR="005664BA" w:rsidRPr="00E03ED3" w:rsidRDefault="005664BA" w:rsidP="000B7615">
      <w:pPr>
        <w:spacing w:line="276" w:lineRule="auto"/>
        <w:rPr>
          <w:b/>
          <w:bCs/>
          <w:sz w:val="28"/>
          <w:szCs w:val="28"/>
        </w:rPr>
      </w:pPr>
      <w:r w:rsidRPr="00E03ED3">
        <w:rPr>
          <w:b/>
          <w:bCs/>
          <w:sz w:val="28"/>
          <w:szCs w:val="28"/>
        </w:rPr>
        <w:t>13.10 Day 11 — R Implementation</w:t>
      </w:r>
    </w:p>
    <w:p w14:paraId="7AE0AF3A" w14:textId="4D4D2946" w:rsidR="005664BA" w:rsidRDefault="005664BA" w:rsidP="000B7615">
      <w:pPr>
        <w:spacing w:line="276" w:lineRule="auto"/>
      </w:pPr>
      <w:r w:rsidRPr="005664BA">
        <w:t>R was included in the project methodology as a complementary analytical environment for fixed-income calculations and yield-curve analysis. The purpose was to demonstrate reproducibility of selected quantitative methods across analytical platforms.</w:t>
      </w:r>
    </w:p>
    <w:p w14:paraId="4FA9B6AC" w14:textId="0D9C911C" w:rsidR="005960B8" w:rsidRPr="00E03ED3" w:rsidRDefault="005960B8" w:rsidP="000B7615">
      <w:pPr>
        <w:spacing w:line="276" w:lineRule="auto"/>
        <w:rPr>
          <w:b/>
          <w:bCs/>
          <w:sz w:val="28"/>
          <w:szCs w:val="28"/>
        </w:rPr>
      </w:pPr>
      <w:r w:rsidRPr="00E03ED3">
        <w:rPr>
          <w:b/>
          <w:bCs/>
          <w:sz w:val="28"/>
          <w:szCs w:val="28"/>
        </w:rPr>
        <w:t>13.11 Day 12 — Power BI Dashboard</w:t>
      </w:r>
    </w:p>
    <w:p w14:paraId="6B275A9C" w14:textId="562F2158" w:rsidR="005960B8" w:rsidRDefault="005960B8" w:rsidP="000B7615">
      <w:pPr>
        <w:spacing w:line="276" w:lineRule="auto"/>
      </w:pPr>
      <w:r w:rsidRPr="005960B8">
        <w:t>The Power BI phase focused on transforming analytical results into an interactive reporting format. The dashboard concept was designed to present portfolio risk, KRD contributions, scenario results and other important risk indicators in a decision-oriented format.</w:t>
      </w:r>
    </w:p>
    <w:p w14:paraId="2DB30CA2" w14:textId="2A97293C" w:rsidR="005960B8" w:rsidRPr="00E03ED3" w:rsidRDefault="005B0047" w:rsidP="000B7615">
      <w:pPr>
        <w:spacing w:line="276" w:lineRule="auto"/>
        <w:rPr>
          <w:b/>
          <w:bCs/>
          <w:sz w:val="28"/>
          <w:szCs w:val="28"/>
        </w:rPr>
      </w:pPr>
      <w:r w:rsidRPr="00E03ED3">
        <w:rPr>
          <w:b/>
          <w:bCs/>
          <w:sz w:val="28"/>
          <w:szCs w:val="28"/>
        </w:rPr>
        <w:t>13.12 Day 13 — Gamification &amp; Risk Lab</w:t>
      </w:r>
    </w:p>
    <w:p w14:paraId="547CB16C" w14:textId="280B3CC1" w:rsidR="005B0047" w:rsidRDefault="00E9779D" w:rsidP="000B7615">
      <w:pPr>
        <w:spacing w:line="276" w:lineRule="auto"/>
      </w:pPr>
      <w:r w:rsidRPr="00E9779D">
        <w:t>The Bond Risk Lab concept introduced a gamified approach to fixed-income risk learning. The framework uses levels, scenarios, achievements and risk-management challenges to make bond-risk concepts more practical and engaging.</w:t>
      </w:r>
    </w:p>
    <w:p w14:paraId="4AD16888" w14:textId="5B6DE07B" w:rsidR="00E9779D" w:rsidRPr="00E03ED3" w:rsidRDefault="00E9779D" w:rsidP="000B7615">
      <w:pPr>
        <w:spacing w:line="276" w:lineRule="auto"/>
        <w:rPr>
          <w:b/>
          <w:bCs/>
          <w:sz w:val="28"/>
          <w:szCs w:val="28"/>
        </w:rPr>
      </w:pPr>
      <w:r w:rsidRPr="00E03ED3">
        <w:rPr>
          <w:b/>
          <w:bCs/>
          <w:sz w:val="28"/>
          <w:szCs w:val="28"/>
        </w:rPr>
        <w:t>13.13 Day 14 — Validation &amp; Review</w:t>
      </w:r>
    </w:p>
    <w:p w14:paraId="1CF77AEE" w14:textId="1DE3CF3C" w:rsidR="00E9779D" w:rsidRDefault="007B6DE8" w:rsidP="000B7615">
      <w:pPr>
        <w:spacing w:line="276" w:lineRule="auto"/>
      </w:pPr>
      <w:r w:rsidRPr="007B6DE8">
        <w:t xml:space="preserve">The validation phase focused on reviewing analytical outputs, checking data quality and identifying areas requiring independent verification. Validation is particularly important because the project requires independent checks for bond calculations, machine-learning metrics, </w:t>
      </w:r>
      <w:proofErr w:type="spellStart"/>
      <w:r w:rsidRPr="007B6DE8">
        <w:t>VaR</w:t>
      </w:r>
      <w:proofErr w:type="spellEnd"/>
      <w:r w:rsidRPr="007B6DE8">
        <w:t>, DAX performance and case-study facts.</w:t>
      </w:r>
    </w:p>
    <w:p w14:paraId="732765A4" w14:textId="76546D2C" w:rsidR="007B6DE8" w:rsidRPr="00E03ED3" w:rsidRDefault="007B6DE8" w:rsidP="000B7615">
      <w:pPr>
        <w:spacing w:line="276" w:lineRule="auto"/>
        <w:rPr>
          <w:b/>
          <w:bCs/>
          <w:sz w:val="28"/>
          <w:szCs w:val="28"/>
        </w:rPr>
      </w:pPr>
      <w:r w:rsidRPr="00E03ED3">
        <w:rPr>
          <w:b/>
          <w:bCs/>
          <w:sz w:val="28"/>
          <w:szCs w:val="28"/>
        </w:rPr>
        <w:t xml:space="preserve">13.14 Day 15 — Final Submission </w:t>
      </w:r>
    </w:p>
    <w:p w14:paraId="654D919F" w14:textId="4B7C1B12" w:rsidR="007B6DE8" w:rsidRDefault="007B6DE8" w:rsidP="000B7615">
      <w:pPr>
        <w:spacing w:line="276" w:lineRule="auto"/>
      </w:pPr>
      <w:r w:rsidRPr="007B6DE8">
        <w:t>The final phase consolidated the project outputs into a structured technical report and presentation. The deliverables include the analytical notebook converted into appropriate source files, supporting datasets, visualizations, documentation and final project findings.</w:t>
      </w:r>
    </w:p>
    <w:p w14:paraId="17969434" w14:textId="77777777" w:rsidR="00BD756F" w:rsidRDefault="00BD756F" w:rsidP="000B7615">
      <w:pPr>
        <w:spacing w:line="276" w:lineRule="auto"/>
      </w:pPr>
    </w:p>
    <w:p w14:paraId="165AE7D3" w14:textId="77777777" w:rsidR="00303227" w:rsidRPr="005A2545" w:rsidRDefault="00303227" w:rsidP="00303227">
      <w:pPr>
        <w:pStyle w:val="Heading2"/>
        <w:rPr>
          <w:b/>
          <w:bCs/>
        </w:rPr>
      </w:pPr>
      <w:r w:rsidRPr="005A2545">
        <w:rPr>
          <w:b/>
          <w:bCs/>
        </w:rPr>
        <w:t>14. Conclusion</w:t>
      </w:r>
    </w:p>
    <w:p w14:paraId="6C0FAB57" w14:textId="2F4E920C" w:rsidR="007C30C2" w:rsidRDefault="007C30C2" w:rsidP="000B7615">
      <w:pPr>
        <w:spacing w:line="276" w:lineRule="auto"/>
      </w:pPr>
      <w:r w:rsidRPr="007C30C2">
        <w:t xml:space="preserve">This project provided a structured approach to analysing bond interest-rate risk using Key Rate Duration, scenario analysis, quantitative techniques and machine learning. The analysis </w:t>
      </w:r>
      <w:r w:rsidRPr="007C30C2">
        <w:lastRenderedPageBreak/>
        <w:t>demonstrated the importance of examining interest-rate sensitivity across individual maturity buckets rather than relying only on a single duration measure. The resulting risk views and visualizations provide useful support for identifying important risk concentrations and understanding potential portfolio impacts under yield-curve movements.</w:t>
      </w:r>
    </w:p>
    <w:p w14:paraId="17D223C6" w14:textId="77777777" w:rsidR="000B72E9" w:rsidRDefault="000B72E9" w:rsidP="000B7615">
      <w:pPr>
        <w:spacing w:line="276" w:lineRule="auto"/>
      </w:pPr>
    </w:p>
    <w:p w14:paraId="63720D5B" w14:textId="77777777" w:rsidR="00303227" w:rsidRPr="005A2545" w:rsidRDefault="00303227" w:rsidP="00303227">
      <w:pPr>
        <w:pStyle w:val="Heading2"/>
        <w:rPr>
          <w:b/>
          <w:bCs/>
        </w:rPr>
      </w:pPr>
      <w:r w:rsidRPr="005A2545">
        <w:rPr>
          <w:b/>
          <w:bCs/>
        </w:rPr>
        <w:t>15. Future Scope</w:t>
      </w:r>
    </w:p>
    <w:p w14:paraId="44C7E41F" w14:textId="6A5B8BB4" w:rsidR="007C30C2" w:rsidRDefault="00516C2B" w:rsidP="000B7615">
      <w:pPr>
        <w:spacing w:line="276" w:lineRule="auto"/>
      </w:pPr>
      <w:r w:rsidRPr="00516C2B">
        <w:t>Future development can include richer market datasets, real-time yield-curve integration, more advanced machine-learning models, robust out-of-sample validation, automated Power BI reporting, hedging optimisation and expanded stress-testing scenarios. Integration with reliable Indian fixed-income data sources could further improve the practical usefulness of the risk-management framework.</w:t>
      </w:r>
    </w:p>
    <w:p w14:paraId="12213948" w14:textId="77777777" w:rsidR="00284067" w:rsidRDefault="00284067" w:rsidP="000B7615">
      <w:pPr>
        <w:spacing w:line="276" w:lineRule="auto"/>
      </w:pPr>
    </w:p>
    <w:p w14:paraId="6BF48402" w14:textId="77777777" w:rsidR="00303227" w:rsidRPr="005A2545" w:rsidRDefault="00303227" w:rsidP="00303227">
      <w:pPr>
        <w:pStyle w:val="Heading2"/>
        <w:rPr>
          <w:b/>
          <w:bCs/>
        </w:rPr>
      </w:pPr>
      <w:r w:rsidRPr="005A2545">
        <w:rPr>
          <w:b/>
          <w:bCs/>
        </w:rPr>
        <w:t>16. References</w:t>
      </w:r>
    </w:p>
    <w:p w14:paraId="4CA66384" w14:textId="0E64DA1C" w:rsidR="00383E59" w:rsidRDefault="00A11613" w:rsidP="000B7615">
      <w:pPr>
        <w:spacing w:line="276" w:lineRule="auto"/>
      </w:pPr>
      <w:r>
        <w:t>1. Reserve Bank of India (RBI) — Government Securities,</w:t>
      </w:r>
      <w:r w:rsidR="000B72E9">
        <w:t xml:space="preserve"> </w:t>
      </w:r>
      <w:r>
        <w:t>monetary policy and auction-related information.</w:t>
      </w:r>
      <w:r w:rsidR="0066374F">
        <w:t xml:space="preserve">                                                                                                                                                            </w:t>
      </w:r>
      <w:r>
        <w:t>2. Clearing Corporation of India Limited (CCIL) — Government securities prices, yields and market data.</w:t>
      </w:r>
      <w:r w:rsidR="007B639F">
        <w:t xml:space="preserve">                                                                                                                                                                          </w:t>
      </w:r>
      <w:r>
        <w:t>3. Fixed Income Money Market and Derivatives Association</w:t>
      </w:r>
      <w:r w:rsidR="0066374F">
        <w:t xml:space="preserve"> </w:t>
      </w:r>
      <w:r>
        <w:t>of India (FIMMDA) — Fixed-income valuation information.</w:t>
      </w:r>
      <w:r w:rsidR="00270882">
        <w:t xml:space="preserve">                                                                                                                                           </w:t>
      </w:r>
      <w:r>
        <w:t>4. National Stock Exchange of India (NSE) — benchmark yields and fixed-income market information.</w:t>
      </w:r>
      <w:r w:rsidR="008104B3">
        <w:t xml:space="preserve">                    </w:t>
      </w:r>
      <w:r>
        <w:t>5. Association of Mutual Funds in India (AMFI) —mutual-fund and fixed-income related information.</w:t>
      </w:r>
      <w:r w:rsidR="008104B3">
        <w:t xml:space="preserve">    </w:t>
      </w:r>
      <w:r>
        <w:t>6. Project-provided Bond Risk &amp; Key Rate Duration</w:t>
      </w:r>
      <w:r w:rsidR="00BA1899">
        <w:t xml:space="preserve"> </w:t>
      </w:r>
      <w:r>
        <w:t>project specification document.</w:t>
      </w:r>
      <w:r w:rsidR="00BA1899">
        <w:t xml:space="preserve">                                </w:t>
      </w:r>
      <w:r>
        <w:t>7. Python / Jupyter Notebook documentation used for</w:t>
      </w:r>
      <w:r w:rsidR="00BA1899">
        <w:t xml:space="preserve"> </w:t>
      </w:r>
      <w:r>
        <w:t>analytical implementation.</w:t>
      </w:r>
    </w:p>
    <w:p w14:paraId="3D265754" w14:textId="77777777" w:rsidR="00284067" w:rsidRDefault="00284067" w:rsidP="000B7615">
      <w:pPr>
        <w:spacing w:line="276" w:lineRule="auto"/>
      </w:pPr>
    </w:p>
    <w:p w14:paraId="4E2666FB" w14:textId="77777777" w:rsidR="00303227" w:rsidRPr="005A2545" w:rsidRDefault="00303227" w:rsidP="00303227">
      <w:pPr>
        <w:pStyle w:val="Heading2"/>
        <w:rPr>
          <w:b/>
          <w:bCs/>
        </w:rPr>
      </w:pPr>
      <w:r w:rsidRPr="005A2545">
        <w:rPr>
          <w:b/>
          <w:bCs/>
        </w:rPr>
        <w:t>17. Appendix</w:t>
      </w:r>
    </w:p>
    <w:p w14:paraId="7F900589" w14:textId="7E22BF7A" w:rsidR="0037051E" w:rsidRDefault="0037051E" w:rsidP="000B7615">
      <w:pPr>
        <w:spacing w:line="276" w:lineRule="auto"/>
      </w:pPr>
      <w:r>
        <w:t>Appendix A — Jupyter Notebook</w:t>
      </w:r>
      <w:r w:rsidR="001C5EA3">
        <w:t xml:space="preserve"> </w:t>
      </w:r>
      <w:r>
        <w:t>Final notebook:</w:t>
      </w:r>
      <w:r w:rsidR="00234A2C">
        <w:t xml:space="preserve">                                                         </w:t>
      </w:r>
      <w:r>
        <w:t>Bond_Risk_KRD_Final.ipynb</w:t>
      </w:r>
    </w:p>
    <w:p w14:paraId="242968CB" w14:textId="68D69789" w:rsidR="0037051E" w:rsidRDefault="0037051E" w:rsidP="000B7615">
      <w:pPr>
        <w:spacing w:line="276" w:lineRule="auto"/>
      </w:pPr>
      <w:r>
        <w:t>Appendix B — HTML Notebook</w:t>
      </w:r>
      <w:r w:rsidR="00234A2C">
        <w:t xml:space="preserve">                                                                                             </w:t>
      </w:r>
      <w:r>
        <w:t>Bond_Risk_KRD_Final.html</w:t>
      </w:r>
    </w:p>
    <w:p w14:paraId="0B5E4BCB" w14:textId="57F6B0B3" w:rsidR="0037051E" w:rsidRDefault="0037051E" w:rsidP="000B7615">
      <w:pPr>
        <w:spacing w:line="276" w:lineRule="auto"/>
      </w:pPr>
      <w:r>
        <w:t>Appendix C — Data Outputs</w:t>
      </w:r>
      <w:r w:rsidR="00234A2C">
        <w:t xml:space="preserve">                                                                                                            </w:t>
      </w:r>
      <w:r>
        <w:t>Final_KRD_Analysis.csv</w:t>
      </w:r>
      <w:r w:rsidR="0016266A">
        <w:t xml:space="preserve">                                                                                                       </w:t>
      </w:r>
      <w:r>
        <w:t>Final_Bond_Risk_Dataset.csv</w:t>
      </w:r>
      <w:r w:rsidR="0016266A">
        <w:t xml:space="preserve">                                                                                               </w:t>
      </w:r>
      <w:r>
        <w:t>Final_Project_Summary.csv</w:t>
      </w:r>
    </w:p>
    <w:p w14:paraId="13314F26" w14:textId="572AA1E7" w:rsidR="0037051E" w:rsidRDefault="0037051E" w:rsidP="000B7615">
      <w:pPr>
        <w:spacing w:line="276" w:lineRule="auto"/>
      </w:pPr>
      <w:r>
        <w:t>Appendix D — Analytical Outputs</w:t>
      </w:r>
      <w:r w:rsidR="007725F7">
        <w:t xml:space="preserve">                                                                                 </w:t>
      </w:r>
      <w:r>
        <w:t>Final_Correlation_Matrix.csv</w:t>
      </w:r>
      <w:r w:rsidR="007725F7">
        <w:t xml:space="preserve">                                                                                         </w:t>
      </w:r>
      <w:r>
        <w:t>Final_Feature_Importance.csv</w:t>
      </w:r>
      <w:r w:rsidR="007725F7">
        <w:t xml:space="preserve">                                                                                   </w:t>
      </w:r>
      <w:r>
        <w:t>Final_Risk_Predictions.csv</w:t>
      </w:r>
    </w:p>
    <w:p w14:paraId="5A092ACE" w14:textId="0E6503C6" w:rsidR="00A11613" w:rsidRDefault="0037051E" w:rsidP="000B7615">
      <w:pPr>
        <w:spacing w:line="276" w:lineRule="auto"/>
      </w:pPr>
      <w:r>
        <w:lastRenderedPageBreak/>
        <w:t>Appendix E — Final Excel Workbook</w:t>
      </w:r>
      <w:r w:rsidR="007725F7">
        <w:t xml:space="preserve">                                                                                   </w:t>
      </w:r>
      <w:r>
        <w:t>Bond_Risk_KRD_Final_Report.xlsx</w:t>
      </w:r>
    </w:p>
    <w:p w14:paraId="00BF24CD" w14:textId="5E712BE2" w:rsidR="00384D3B" w:rsidRPr="00E03ED3" w:rsidRDefault="00384D3B" w:rsidP="000B7615">
      <w:pPr>
        <w:spacing w:line="276" w:lineRule="auto"/>
        <w:rPr>
          <w:b/>
          <w:bCs/>
          <w:sz w:val="28"/>
          <w:szCs w:val="28"/>
        </w:rPr>
      </w:pPr>
      <w:r w:rsidRPr="00E03ED3">
        <w:rPr>
          <w:b/>
          <w:bCs/>
          <w:sz w:val="28"/>
          <w:szCs w:val="28"/>
        </w:rPr>
        <w:t>17.1 Limitations</w:t>
      </w:r>
    </w:p>
    <w:p w14:paraId="33E741F9" w14:textId="5EA6F32F" w:rsidR="00384D3B" w:rsidRDefault="00384D3B" w:rsidP="000B7615">
      <w:pPr>
        <w:spacing w:line="276" w:lineRule="auto"/>
      </w:pPr>
      <w:r w:rsidRPr="00384D3B">
        <w:t xml:space="preserve">The analysis is dependent on the quality and scope of the available dataset. Some project requirements, including independent Excel validation, full machine-learning test-set validation, </w:t>
      </w:r>
      <w:proofErr w:type="spellStart"/>
      <w:r w:rsidRPr="00384D3B">
        <w:t>VaR</w:t>
      </w:r>
      <w:proofErr w:type="spellEnd"/>
      <w:r w:rsidRPr="00384D3B">
        <w:t xml:space="preserve"> sanity checks, DAX Studio profiling and primary-source verification, require separate supporting evidence. Therefore, these items should be completed and documented before final submission wherever applicable.</w:t>
      </w:r>
    </w:p>
    <w:p w14:paraId="5F434676" w14:textId="77777777" w:rsidR="00384D3B" w:rsidRDefault="00384D3B" w:rsidP="000B7615">
      <w:pPr>
        <w:spacing w:line="276" w:lineRule="auto"/>
      </w:pPr>
    </w:p>
    <w:p w14:paraId="10B11F5E" w14:textId="77777777" w:rsidR="00516C2B" w:rsidRDefault="00516C2B" w:rsidP="000B7615">
      <w:pPr>
        <w:spacing w:line="276" w:lineRule="auto"/>
      </w:pPr>
    </w:p>
    <w:p w14:paraId="33C28F07" w14:textId="77777777" w:rsidR="00A924EF" w:rsidRDefault="00A924EF" w:rsidP="000B7615">
      <w:pPr>
        <w:spacing w:line="276" w:lineRule="auto"/>
      </w:pPr>
    </w:p>
    <w:p w14:paraId="43D5A992" w14:textId="77777777" w:rsidR="00EB5C59" w:rsidRDefault="00EB5C59" w:rsidP="000B7615">
      <w:pPr>
        <w:spacing w:line="276" w:lineRule="auto"/>
      </w:pPr>
    </w:p>
    <w:p w14:paraId="36AC83E0" w14:textId="77777777" w:rsidR="00EB5C59" w:rsidRDefault="00EB5C59" w:rsidP="000B7615">
      <w:pPr>
        <w:spacing w:line="276" w:lineRule="auto"/>
      </w:pPr>
    </w:p>
    <w:p w14:paraId="65685060" w14:textId="77777777" w:rsidR="00EB5C59" w:rsidRDefault="00EB5C59" w:rsidP="000B7615">
      <w:pPr>
        <w:spacing w:line="276" w:lineRule="auto"/>
      </w:pPr>
    </w:p>
    <w:p w14:paraId="52D6EA51" w14:textId="77777777" w:rsidR="00EB5C59" w:rsidRDefault="00EB5C59" w:rsidP="000B7615">
      <w:pPr>
        <w:spacing w:line="276" w:lineRule="auto"/>
      </w:pPr>
    </w:p>
    <w:sectPr w:rsidR="00EB5C59">
      <w:head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C5FD0" w14:textId="77777777" w:rsidR="00ED7449" w:rsidRDefault="00ED7449" w:rsidP="00EB5C59">
      <w:pPr>
        <w:spacing w:after="0" w:line="240" w:lineRule="auto"/>
      </w:pPr>
      <w:r>
        <w:separator/>
      </w:r>
    </w:p>
  </w:endnote>
  <w:endnote w:type="continuationSeparator" w:id="0">
    <w:p w14:paraId="0DB13904" w14:textId="77777777" w:rsidR="00ED7449" w:rsidRDefault="00ED7449" w:rsidP="00EB5C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12562" w14:textId="77777777" w:rsidR="00ED7449" w:rsidRDefault="00ED7449" w:rsidP="00EB5C59">
      <w:pPr>
        <w:spacing w:after="0" w:line="240" w:lineRule="auto"/>
      </w:pPr>
      <w:r>
        <w:separator/>
      </w:r>
    </w:p>
  </w:footnote>
  <w:footnote w:type="continuationSeparator" w:id="0">
    <w:p w14:paraId="2D1B1A99" w14:textId="77777777" w:rsidR="00ED7449" w:rsidRDefault="00ED7449" w:rsidP="00EB5C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14952"/>
      <w:docPartObj>
        <w:docPartGallery w:val="Page Numbers (Top of Page)"/>
        <w:docPartUnique/>
      </w:docPartObj>
    </w:sdtPr>
    <w:sdtEndPr>
      <w:rPr>
        <w:noProof/>
      </w:rPr>
    </w:sdtEndPr>
    <w:sdtContent>
      <w:p w14:paraId="605D4DAA" w14:textId="29173D41" w:rsidR="003E1E01" w:rsidRDefault="003E1E0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3FF65DF" w14:textId="77777777" w:rsidR="003E1E01" w:rsidRDefault="003E1E0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C59"/>
    <w:rsid w:val="00006438"/>
    <w:rsid w:val="0003007F"/>
    <w:rsid w:val="000729EA"/>
    <w:rsid w:val="000A7A12"/>
    <w:rsid w:val="000B72E9"/>
    <w:rsid w:val="000B7615"/>
    <w:rsid w:val="000C49A3"/>
    <w:rsid w:val="00147E72"/>
    <w:rsid w:val="0016266A"/>
    <w:rsid w:val="001640F3"/>
    <w:rsid w:val="00165AF9"/>
    <w:rsid w:val="001C5EA3"/>
    <w:rsid w:val="001F4B16"/>
    <w:rsid w:val="00202E07"/>
    <w:rsid w:val="00222D85"/>
    <w:rsid w:val="00233D9B"/>
    <w:rsid w:val="00234755"/>
    <w:rsid w:val="00234A2C"/>
    <w:rsid w:val="00270882"/>
    <w:rsid w:val="002751D9"/>
    <w:rsid w:val="00284067"/>
    <w:rsid w:val="002A0201"/>
    <w:rsid w:val="002A7329"/>
    <w:rsid w:val="002E423C"/>
    <w:rsid w:val="00303227"/>
    <w:rsid w:val="00330113"/>
    <w:rsid w:val="00346F65"/>
    <w:rsid w:val="0037051E"/>
    <w:rsid w:val="00383E59"/>
    <w:rsid w:val="00384D3B"/>
    <w:rsid w:val="00397D42"/>
    <w:rsid w:val="003A0389"/>
    <w:rsid w:val="003A6CAF"/>
    <w:rsid w:val="003D4CF4"/>
    <w:rsid w:val="003E1E01"/>
    <w:rsid w:val="003E4DCE"/>
    <w:rsid w:val="003E773E"/>
    <w:rsid w:val="00401863"/>
    <w:rsid w:val="004063D7"/>
    <w:rsid w:val="00413A27"/>
    <w:rsid w:val="0047114A"/>
    <w:rsid w:val="00481128"/>
    <w:rsid w:val="00491EF7"/>
    <w:rsid w:val="004A5089"/>
    <w:rsid w:val="004B349B"/>
    <w:rsid w:val="004D5057"/>
    <w:rsid w:val="004E28DB"/>
    <w:rsid w:val="004E4F0C"/>
    <w:rsid w:val="004F5B4D"/>
    <w:rsid w:val="00500728"/>
    <w:rsid w:val="00512179"/>
    <w:rsid w:val="00516C2B"/>
    <w:rsid w:val="00545C43"/>
    <w:rsid w:val="0056172D"/>
    <w:rsid w:val="005664BA"/>
    <w:rsid w:val="00593CD3"/>
    <w:rsid w:val="005960B8"/>
    <w:rsid w:val="005A2545"/>
    <w:rsid w:val="005B0047"/>
    <w:rsid w:val="0060171D"/>
    <w:rsid w:val="006055EE"/>
    <w:rsid w:val="006558CE"/>
    <w:rsid w:val="0065631D"/>
    <w:rsid w:val="00662A69"/>
    <w:rsid w:val="0066374F"/>
    <w:rsid w:val="00673F63"/>
    <w:rsid w:val="00682322"/>
    <w:rsid w:val="006B3400"/>
    <w:rsid w:val="007372AC"/>
    <w:rsid w:val="00762069"/>
    <w:rsid w:val="00763CC0"/>
    <w:rsid w:val="0076796A"/>
    <w:rsid w:val="007725F7"/>
    <w:rsid w:val="00777155"/>
    <w:rsid w:val="007B1EF6"/>
    <w:rsid w:val="007B639F"/>
    <w:rsid w:val="007B6DE8"/>
    <w:rsid w:val="007C30C2"/>
    <w:rsid w:val="007F1D9F"/>
    <w:rsid w:val="008104B3"/>
    <w:rsid w:val="008553B0"/>
    <w:rsid w:val="00863A96"/>
    <w:rsid w:val="00895842"/>
    <w:rsid w:val="008A60B9"/>
    <w:rsid w:val="008A60CE"/>
    <w:rsid w:val="008F267F"/>
    <w:rsid w:val="008F2966"/>
    <w:rsid w:val="008F3A0F"/>
    <w:rsid w:val="009443C2"/>
    <w:rsid w:val="00957A49"/>
    <w:rsid w:val="0096148C"/>
    <w:rsid w:val="00963FD4"/>
    <w:rsid w:val="00970B85"/>
    <w:rsid w:val="00982C7D"/>
    <w:rsid w:val="0098633B"/>
    <w:rsid w:val="0099592C"/>
    <w:rsid w:val="009B42C5"/>
    <w:rsid w:val="009C241A"/>
    <w:rsid w:val="009C686C"/>
    <w:rsid w:val="00A11613"/>
    <w:rsid w:val="00A11ABB"/>
    <w:rsid w:val="00A23E4E"/>
    <w:rsid w:val="00A520C2"/>
    <w:rsid w:val="00A66CFD"/>
    <w:rsid w:val="00A82D99"/>
    <w:rsid w:val="00A92308"/>
    <w:rsid w:val="00A924EF"/>
    <w:rsid w:val="00AA22BF"/>
    <w:rsid w:val="00AC09FC"/>
    <w:rsid w:val="00AF5DA5"/>
    <w:rsid w:val="00B24FE5"/>
    <w:rsid w:val="00B30562"/>
    <w:rsid w:val="00B36D1B"/>
    <w:rsid w:val="00B667E3"/>
    <w:rsid w:val="00B74F1F"/>
    <w:rsid w:val="00BA1899"/>
    <w:rsid w:val="00BB10B7"/>
    <w:rsid w:val="00BB4A92"/>
    <w:rsid w:val="00BB720A"/>
    <w:rsid w:val="00BB7456"/>
    <w:rsid w:val="00BC421D"/>
    <w:rsid w:val="00BD756F"/>
    <w:rsid w:val="00BE25F4"/>
    <w:rsid w:val="00C22CC2"/>
    <w:rsid w:val="00C5369F"/>
    <w:rsid w:val="00C73D20"/>
    <w:rsid w:val="00C82867"/>
    <w:rsid w:val="00CD04C0"/>
    <w:rsid w:val="00CF19DA"/>
    <w:rsid w:val="00D307C6"/>
    <w:rsid w:val="00D86902"/>
    <w:rsid w:val="00DC7125"/>
    <w:rsid w:val="00E03ED3"/>
    <w:rsid w:val="00E1088E"/>
    <w:rsid w:val="00E72BD8"/>
    <w:rsid w:val="00E74B4B"/>
    <w:rsid w:val="00E9779D"/>
    <w:rsid w:val="00EA7924"/>
    <w:rsid w:val="00EB2E34"/>
    <w:rsid w:val="00EB5C59"/>
    <w:rsid w:val="00ED7449"/>
    <w:rsid w:val="00F074C5"/>
    <w:rsid w:val="00F2093E"/>
    <w:rsid w:val="00F2614E"/>
    <w:rsid w:val="00F40749"/>
    <w:rsid w:val="00F40D77"/>
    <w:rsid w:val="00F541D1"/>
    <w:rsid w:val="00F60E30"/>
    <w:rsid w:val="00F65B37"/>
    <w:rsid w:val="00F824EC"/>
    <w:rsid w:val="00F93C4E"/>
    <w:rsid w:val="00FE6D7E"/>
    <w:rsid w:val="00FE7216"/>
    <w:rsid w:val="00FF7F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BFB57"/>
  <w15:chartTrackingRefBased/>
  <w15:docId w15:val="{217F03D3-BC93-40A8-81E9-7B09F50BB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5C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B5C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B5C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B5C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EB5C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EB5C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EB5C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EB5C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EB5C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5C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B5C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B5C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B5C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EB5C59"/>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EB5C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EB5C59"/>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EB5C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EB5C59"/>
    <w:rPr>
      <w:rFonts w:eastAsiaTheme="majorEastAsia" w:cstheme="majorBidi"/>
      <w:color w:val="272727" w:themeColor="text1" w:themeTint="D8"/>
    </w:rPr>
  </w:style>
  <w:style w:type="paragraph" w:styleId="Title">
    <w:name w:val="Title"/>
    <w:basedOn w:val="Normal"/>
    <w:next w:val="Normal"/>
    <w:link w:val="TitleChar"/>
    <w:uiPriority w:val="10"/>
    <w:qFormat/>
    <w:rsid w:val="00EB5C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5C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5C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5C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5C59"/>
    <w:pPr>
      <w:spacing w:before="160"/>
      <w:jc w:val="center"/>
    </w:pPr>
    <w:rPr>
      <w:i/>
      <w:iCs/>
      <w:color w:val="404040" w:themeColor="text1" w:themeTint="BF"/>
    </w:rPr>
  </w:style>
  <w:style w:type="character" w:customStyle="1" w:styleId="QuoteChar">
    <w:name w:val="Quote Char"/>
    <w:basedOn w:val="DefaultParagraphFont"/>
    <w:link w:val="Quote"/>
    <w:uiPriority w:val="29"/>
    <w:rsid w:val="00EB5C59"/>
    <w:rPr>
      <w:i/>
      <w:iCs/>
      <w:color w:val="404040" w:themeColor="text1" w:themeTint="BF"/>
    </w:rPr>
  </w:style>
  <w:style w:type="paragraph" w:styleId="ListParagraph">
    <w:name w:val="List Paragraph"/>
    <w:basedOn w:val="Normal"/>
    <w:uiPriority w:val="34"/>
    <w:qFormat/>
    <w:rsid w:val="00EB5C59"/>
    <w:pPr>
      <w:ind w:left="720"/>
      <w:contextualSpacing/>
    </w:pPr>
  </w:style>
  <w:style w:type="character" w:styleId="IntenseEmphasis">
    <w:name w:val="Intense Emphasis"/>
    <w:basedOn w:val="DefaultParagraphFont"/>
    <w:uiPriority w:val="21"/>
    <w:qFormat/>
    <w:rsid w:val="00EB5C59"/>
    <w:rPr>
      <w:i/>
      <w:iCs/>
      <w:color w:val="2F5496" w:themeColor="accent1" w:themeShade="BF"/>
    </w:rPr>
  </w:style>
  <w:style w:type="paragraph" w:styleId="IntenseQuote">
    <w:name w:val="Intense Quote"/>
    <w:basedOn w:val="Normal"/>
    <w:next w:val="Normal"/>
    <w:link w:val="IntenseQuoteChar"/>
    <w:uiPriority w:val="30"/>
    <w:qFormat/>
    <w:rsid w:val="00EB5C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5C59"/>
    <w:rPr>
      <w:i/>
      <w:iCs/>
      <w:color w:val="2F5496" w:themeColor="accent1" w:themeShade="BF"/>
    </w:rPr>
  </w:style>
  <w:style w:type="character" w:styleId="IntenseReference">
    <w:name w:val="Intense Reference"/>
    <w:basedOn w:val="DefaultParagraphFont"/>
    <w:uiPriority w:val="32"/>
    <w:qFormat/>
    <w:rsid w:val="00EB5C59"/>
    <w:rPr>
      <w:b/>
      <w:bCs/>
      <w:smallCaps/>
      <w:color w:val="2F5496" w:themeColor="accent1" w:themeShade="BF"/>
      <w:spacing w:val="5"/>
    </w:rPr>
  </w:style>
  <w:style w:type="paragraph" w:styleId="Header">
    <w:name w:val="header"/>
    <w:basedOn w:val="Normal"/>
    <w:link w:val="HeaderChar"/>
    <w:uiPriority w:val="99"/>
    <w:unhideWhenUsed/>
    <w:rsid w:val="00EB5C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5C59"/>
  </w:style>
  <w:style w:type="paragraph" w:styleId="Footer">
    <w:name w:val="footer"/>
    <w:basedOn w:val="Normal"/>
    <w:link w:val="FooterChar"/>
    <w:uiPriority w:val="99"/>
    <w:unhideWhenUsed/>
    <w:rsid w:val="00EB5C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5C59"/>
  </w:style>
  <w:style w:type="paragraph" w:customStyle="1" w:styleId="Headind10">
    <w:name w:val="Headind 10"/>
    <w:basedOn w:val="Normal"/>
    <w:link w:val="Headind10Char"/>
    <w:qFormat/>
    <w:rsid w:val="008F3A0F"/>
    <w:pPr>
      <w:spacing w:line="276" w:lineRule="auto"/>
    </w:pPr>
    <w:rPr>
      <w:sz w:val="40"/>
      <w:szCs w:val="40"/>
    </w:rPr>
  </w:style>
  <w:style w:type="character" w:customStyle="1" w:styleId="Headind10Char">
    <w:name w:val="Headind 10 Char"/>
    <w:basedOn w:val="DefaultParagraphFont"/>
    <w:link w:val="Headind10"/>
    <w:rsid w:val="008F3A0F"/>
    <w:rPr>
      <w:sz w:val="40"/>
      <w:szCs w:val="40"/>
    </w:rPr>
  </w:style>
  <w:style w:type="paragraph" w:customStyle="1" w:styleId="Heading11">
    <w:name w:val="Heading 11"/>
    <w:basedOn w:val="Normal"/>
    <w:link w:val="Heading11Char"/>
    <w:qFormat/>
    <w:rsid w:val="00234755"/>
    <w:pPr>
      <w:spacing w:line="276" w:lineRule="auto"/>
    </w:pPr>
    <w:rPr>
      <w:sz w:val="40"/>
      <w:szCs w:val="40"/>
    </w:rPr>
  </w:style>
  <w:style w:type="character" w:customStyle="1" w:styleId="Heading11Char">
    <w:name w:val="Heading 11 Char"/>
    <w:basedOn w:val="DefaultParagraphFont"/>
    <w:link w:val="Heading11"/>
    <w:rsid w:val="00234755"/>
    <w:rPr>
      <w:sz w:val="40"/>
      <w:szCs w:val="40"/>
    </w:rPr>
  </w:style>
  <w:style w:type="paragraph" w:customStyle="1" w:styleId="Heading12">
    <w:name w:val="Heading 12"/>
    <w:basedOn w:val="Normal"/>
    <w:link w:val="Heading12Char"/>
    <w:qFormat/>
    <w:rsid w:val="00234755"/>
    <w:pPr>
      <w:spacing w:line="276" w:lineRule="auto"/>
    </w:pPr>
    <w:rPr>
      <w:sz w:val="40"/>
      <w:szCs w:val="40"/>
    </w:rPr>
  </w:style>
  <w:style w:type="character" w:customStyle="1" w:styleId="Heading12Char">
    <w:name w:val="Heading 12 Char"/>
    <w:basedOn w:val="DefaultParagraphFont"/>
    <w:link w:val="Heading12"/>
    <w:rsid w:val="00234755"/>
    <w:rPr>
      <w:sz w:val="40"/>
      <w:szCs w:val="40"/>
    </w:rPr>
  </w:style>
  <w:style w:type="paragraph" w:customStyle="1" w:styleId="Heading13">
    <w:name w:val="Heading 13"/>
    <w:basedOn w:val="Normal"/>
    <w:link w:val="Heading13Char"/>
    <w:qFormat/>
    <w:rsid w:val="00234755"/>
    <w:pPr>
      <w:spacing w:line="276" w:lineRule="auto"/>
    </w:pPr>
    <w:rPr>
      <w:sz w:val="40"/>
      <w:szCs w:val="40"/>
    </w:rPr>
  </w:style>
  <w:style w:type="character" w:customStyle="1" w:styleId="Heading13Char">
    <w:name w:val="Heading 13 Char"/>
    <w:basedOn w:val="DefaultParagraphFont"/>
    <w:link w:val="Heading13"/>
    <w:rsid w:val="00234755"/>
    <w:rPr>
      <w:sz w:val="40"/>
      <w:szCs w:val="40"/>
    </w:rPr>
  </w:style>
  <w:style w:type="paragraph" w:customStyle="1" w:styleId="Heading14">
    <w:name w:val="Heading 14"/>
    <w:basedOn w:val="Normal"/>
    <w:link w:val="Heading14Char"/>
    <w:qFormat/>
    <w:rsid w:val="00234755"/>
    <w:pPr>
      <w:spacing w:line="276" w:lineRule="auto"/>
    </w:pPr>
    <w:rPr>
      <w:sz w:val="40"/>
      <w:szCs w:val="40"/>
    </w:rPr>
  </w:style>
  <w:style w:type="character" w:customStyle="1" w:styleId="Heading14Char">
    <w:name w:val="Heading 14 Char"/>
    <w:basedOn w:val="DefaultParagraphFont"/>
    <w:link w:val="Heading14"/>
    <w:rsid w:val="00234755"/>
    <w:rPr>
      <w:sz w:val="40"/>
      <w:szCs w:val="40"/>
    </w:rPr>
  </w:style>
  <w:style w:type="paragraph" w:customStyle="1" w:styleId="Heading15">
    <w:name w:val="Heading 15"/>
    <w:basedOn w:val="Normal"/>
    <w:link w:val="Heading15Char"/>
    <w:qFormat/>
    <w:rsid w:val="00234755"/>
    <w:pPr>
      <w:spacing w:line="276" w:lineRule="auto"/>
    </w:pPr>
    <w:rPr>
      <w:sz w:val="40"/>
      <w:szCs w:val="40"/>
    </w:rPr>
  </w:style>
  <w:style w:type="character" w:customStyle="1" w:styleId="Heading15Char">
    <w:name w:val="Heading 15 Char"/>
    <w:basedOn w:val="DefaultParagraphFont"/>
    <w:link w:val="Heading15"/>
    <w:rsid w:val="00234755"/>
    <w:rPr>
      <w:sz w:val="40"/>
      <w:szCs w:val="40"/>
    </w:rPr>
  </w:style>
  <w:style w:type="paragraph" w:customStyle="1" w:styleId="Heading16">
    <w:name w:val="Heading 16"/>
    <w:basedOn w:val="Normal"/>
    <w:link w:val="Heading16Char"/>
    <w:qFormat/>
    <w:rsid w:val="00234755"/>
    <w:pPr>
      <w:spacing w:line="276" w:lineRule="auto"/>
    </w:pPr>
    <w:rPr>
      <w:sz w:val="40"/>
      <w:szCs w:val="40"/>
    </w:rPr>
  </w:style>
  <w:style w:type="character" w:customStyle="1" w:styleId="Heading16Char">
    <w:name w:val="Heading 16 Char"/>
    <w:basedOn w:val="DefaultParagraphFont"/>
    <w:link w:val="Heading16"/>
    <w:rsid w:val="00234755"/>
    <w:rPr>
      <w:sz w:val="40"/>
      <w:szCs w:val="40"/>
    </w:rPr>
  </w:style>
  <w:style w:type="paragraph" w:customStyle="1" w:styleId="Heading17">
    <w:name w:val="Heading 17"/>
    <w:basedOn w:val="Normal"/>
    <w:link w:val="Heading17Char"/>
    <w:qFormat/>
    <w:rsid w:val="00234755"/>
    <w:pPr>
      <w:spacing w:line="276" w:lineRule="auto"/>
    </w:pPr>
    <w:rPr>
      <w:sz w:val="40"/>
      <w:szCs w:val="40"/>
    </w:rPr>
  </w:style>
  <w:style w:type="character" w:customStyle="1" w:styleId="Heading17Char">
    <w:name w:val="Heading 17 Char"/>
    <w:basedOn w:val="DefaultParagraphFont"/>
    <w:link w:val="Heading17"/>
    <w:rsid w:val="00234755"/>
    <w:rPr>
      <w:sz w:val="40"/>
      <w:szCs w:val="40"/>
    </w:rPr>
  </w:style>
  <w:style w:type="table" w:styleId="TableGrid">
    <w:name w:val="Table Grid"/>
    <w:basedOn w:val="TableNormal"/>
    <w:uiPriority w:val="39"/>
    <w:rsid w:val="00982C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239</TotalTime>
  <Pages>14</Pages>
  <Words>3007</Words>
  <Characters>17145</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Swecha vrindha</dc:creator>
  <cp:keywords/>
  <dc:description/>
  <cp:lastModifiedBy>Swecha vrindha</cp:lastModifiedBy>
  <cp:revision>151</cp:revision>
  <dcterms:created xsi:type="dcterms:W3CDTF">2026-08-25T09:43:00Z</dcterms:created>
  <dcterms:modified xsi:type="dcterms:W3CDTF">2026-08-25T13:42:00Z</dcterms:modified>
</cp:coreProperties>
</file>