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BOND PORTFOLIO RISK ANALYSIS</w:t>
      </w:r>
    </w:p>
    <w:p>
      <w:pPr>
        <w:jc w:val="center"/>
      </w:pPr>
      <w:r>
        <w:rPr>
          <w:b/>
          <w:sz w:val="32"/>
        </w:rPr>
        <w:t>Convexity Sensitivity AI Agent</w:t>
      </w:r>
    </w:p>
    <w:p>
      <w:pPr>
        <w:jc w:val="center"/>
      </w:pPr>
      <w:r>
        <w:br/>
        <w:t>Project Report</w:t>
        <w:br/>
      </w:r>
      <w:r>
        <w:t>Zetheta Project 1B — Data Analyst</w:t>
      </w:r>
    </w:p>
    <w:p>
      <w:pPr>
        <w:jc w:val="center"/>
      </w:pPr>
      <w:r>
        <w:br/>
        <w:t>Prepared by: Jaswanth Goud</w:t>
        <w:br/>
      </w:r>
      <w:r>
        <w:t>Tools: Python • Pandas • Streamlit • Plotly • Excel • Power BI</w:t>
      </w:r>
    </w:p>
    <w:p>
      <w:pPr>
        <w:jc w:val="center"/>
      </w:pPr>
      <w:r>
        <w:br/>
        <w:t>Report status: Draft based on project implementation and dashboard screenshots</w:t>
      </w:r>
    </w:p>
    <w:p>
      <w:r>
        <w:br w:type="page"/>
      </w:r>
    </w:p>
    <w:p>
      <w:pPr>
        <w:pStyle w:val="Heading1"/>
      </w:pPr>
      <w:r>
        <w:t>1. Executive Summary</w:t>
      </w:r>
    </w:p>
    <w:p>
      <w:r>
        <w:t>This project develops a bond-portfolio risk analysis workflow focused on interest-rate sensitivity, duration, convexity, Monte Carlo risk measures, and scenario comparison. Python is used for data handling and analysis, Excel is used to organize results, Power BI provides dashboard views, and a Streamlit application presents portfolio metrics and interactive risk scenarios. The Streamlit application includes a rule-based Risk Agent interface for answering common questions about the displayed portfolio results.</w:t>
      </w:r>
    </w:p>
    <w:p>
      <w:r>
        <w:t>The dashboard screenshots show a portfolio of 300 bonds with an aggregate market value of ₹32,059,346, average yield to maturity (YTM) of 6.88%, average modified duration of 4.92 years, and average convexity of 57.35. These figures are transcribed from the demonstrated app screens and have not been independently recomputed from the source CSV files for this report.</w:t>
      </w:r>
    </w:p>
    <w:p>
      <w:pPr>
        <w:pStyle w:val="Heading1"/>
      </w:pPr>
      <w:r>
        <w:t>2. Problem Statement</w:t>
      </w:r>
    </w:p>
    <w:p>
      <w:r>
        <w:t>Bond prices are sensitive to changes in market yields. Analysts need a clear way to estimate how yield changes may affect portfolio value, compare normal and stressed rate scenarios, and communicate potential losses through dashboards and summary metrics. The project aims to combine data analysis and an interactive risk interface into one demonstrable workflow.</w:t>
      </w:r>
    </w:p>
    <w:p>
      <w:pPr>
        <w:pStyle w:val="Heading1"/>
      </w:pPr>
      <w:r>
        <w:t>3. Objectives</w:t>
      </w:r>
    </w:p>
    <w:p>
      <w:pPr>
        <w:pStyle w:val="ListBullet"/>
      </w:pPr>
      <w:r>
        <w:t>Load and work with bond-portfolio and scenario data using Python.</w:t>
      </w:r>
    </w:p>
    <w:p>
      <w:pPr>
        <w:pStyle w:val="ListBullet"/>
      </w:pPr>
      <w:r>
        <w:t>Summarize portfolio size, yield, modified duration, and convexity.</w:t>
      </w:r>
    </w:p>
    <w:p>
      <w:pPr>
        <w:pStyle w:val="ListBullet"/>
      </w:pPr>
      <w:r>
        <w:t>Estimate interest-rate sensitivity using duration and convexity approximations.</w:t>
      </w:r>
    </w:p>
    <w:p>
      <w:pPr>
        <w:pStyle w:val="ListBullet"/>
      </w:pPr>
      <w:r>
        <w:t>Present Monte Carlo Value at Risk (VaR) and Conditional Value at Risk (CVaR) metrics.</w:t>
      </w:r>
    </w:p>
    <w:p>
      <w:pPr>
        <w:pStyle w:val="ListBullet"/>
      </w:pPr>
      <w:r>
        <w:t>Compare normal, stress, and crisis yield-change scenarios.</w:t>
      </w:r>
    </w:p>
    <w:p>
      <w:pPr>
        <w:pStyle w:val="ListBullet"/>
      </w:pPr>
      <w:r>
        <w:t>Create dashboard views in Power BI and an interactive Streamlit application.</w:t>
      </w:r>
    </w:p>
    <w:p>
      <w:pPr>
        <w:pStyle w:val="ListBullet"/>
      </w:pPr>
      <w:r>
        <w:t>Provide a rule-based question-and-answer interface for common risk questions.</w:t>
      </w:r>
    </w:p>
    <w:p>
      <w:pPr>
        <w:pStyle w:val="Heading1"/>
      </w:pPr>
      <w:r>
        <w:t>4. Data and Tools</w:t>
      </w:r>
    </w:p>
    <w:p>
      <w:r>
        <w:t>The application is designed to read CSV inputs named bond_portfolio_data.csv, monte_carlo_scenarios.csv, and yield_curve_history.csv when these files are available in the configured project location. The source data files were not provided with the materials used to prepare this report, so the exact column definitions, data-cleaning steps, row-level records, and full calculation pipeline could not be independently audited here.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Tool / Component</w:t>
            </w:r>
          </w:p>
        </w:tc>
        <w:tc>
          <w:tcPr>
            <w:tcW w:type="dxa" w:w="4968"/>
            <w:vAlign w:val="center"/>
            <w:shd w:fill="D9EAF7"/>
          </w:tcPr>
          <w:p>
            <w:r/>
            <w:r>
              <w:rPr>
                <w:b/>
                <w:sz w:val="18"/>
              </w:rPr>
              <w:t>Role in the project</w:t>
            </w:r>
          </w:p>
        </w:tc>
      </w:tr>
      <w:tr>
        <w:tc>
          <w:tcPr>
            <w:tcW w:type="dxa" w:w="4968"/>
            <w:vAlign w:val="center"/>
          </w:tcPr>
          <w:p>
            <w:r/>
            <w:r>
              <w:rPr>
                <w:b w:val="0"/>
                <w:sz w:val="18"/>
              </w:rPr>
              <w:t>Python</w:t>
            </w:r>
          </w:p>
        </w:tc>
        <w:tc>
          <w:tcPr>
            <w:tcW w:type="dxa" w:w="4968"/>
            <w:vAlign w:val="center"/>
          </w:tcPr>
          <w:p>
            <w:r/>
            <w:r>
              <w:rPr>
                <w:b w:val="0"/>
                <w:sz w:val="18"/>
              </w:rPr>
              <w:t>Data processing, calculations, and application logic.</w:t>
            </w:r>
          </w:p>
        </w:tc>
      </w:tr>
      <w:tr>
        <w:tc>
          <w:tcPr>
            <w:tcW w:type="dxa" w:w="4968"/>
            <w:vAlign w:val="center"/>
          </w:tcPr>
          <w:p>
            <w:r/>
            <w:r>
              <w:rPr>
                <w:b w:val="0"/>
                <w:sz w:val="18"/>
              </w:rPr>
              <w:t>Pandas / NumPy</w:t>
            </w:r>
          </w:p>
        </w:tc>
        <w:tc>
          <w:tcPr>
            <w:tcW w:type="dxa" w:w="4968"/>
            <w:vAlign w:val="center"/>
          </w:tcPr>
          <w:p>
            <w:r/>
            <w:r>
              <w:rPr>
                <w:b w:val="0"/>
                <w:sz w:val="18"/>
              </w:rPr>
              <w:t>Tabular data handling and numerical operations.</w:t>
            </w:r>
          </w:p>
        </w:tc>
      </w:tr>
      <w:tr>
        <w:tc>
          <w:tcPr>
            <w:tcW w:type="dxa" w:w="4968"/>
            <w:vAlign w:val="center"/>
          </w:tcPr>
          <w:p>
            <w:r/>
            <w:r>
              <w:rPr>
                <w:b w:val="0"/>
                <w:sz w:val="18"/>
              </w:rPr>
              <w:t>Streamlit</w:t>
            </w:r>
          </w:p>
        </w:tc>
        <w:tc>
          <w:tcPr>
            <w:tcW w:type="dxa" w:w="4968"/>
            <w:vAlign w:val="center"/>
          </w:tcPr>
          <w:p>
            <w:r/>
            <w:r>
              <w:rPr>
                <w:b w:val="0"/>
                <w:sz w:val="18"/>
              </w:rPr>
              <w:t>Interactive web application for portfolio risk exploration.</w:t>
            </w:r>
          </w:p>
        </w:tc>
      </w:tr>
      <w:tr>
        <w:tc>
          <w:tcPr>
            <w:tcW w:type="dxa" w:w="4968"/>
            <w:vAlign w:val="center"/>
          </w:tcPr>
          <w:p>
            <w:r/>
            <w:r>
              <w:rPr>
                <w:b w:val="0"/>
                <w:sz w:val="18"/>
              </w:rPr>
              <w:t>Plotly</w:t>
            </w:r>
          </w:p>
        </w:tc>
        <w:tc>
          <w:tcPr>
            <w:tcW w:type="dxa" w:w="4968"/>
            <w:vAlign w:val="center"/>
          </w:tcPr>
          <w:p>
            <w:r/>
            <w:r>
              <w:rPr>
                <w:b w:val="0"/>
                <w:sz w:val="18"/>
              </w:rPr>
              <w:t>Interactive charts in the app.</w:t>
            </w:r>
          </w:p>
        </w:tc>
      </w:tr>
      <w:tr>
        <w:tc>
          <w:tcPr>
            <w:tcW w:type="dxa" w:w="4968"/>
            <w:vAlign w:val="center"/>
          </w:tcPr>
          <w:p>
            <w:r/>
            <w:r>
              <w:rPr>
                <w:b w:val="0"/>
                <w:sz w:val="18"/>
              </w:rPr>
              <w:t>Excel</w:t>
            </w:r>
          </w:p>
        </w:tc>
        <w:tc>
          <w:tcPr>
            <w:tcW w:type="dxa" w:w="4968"/>
            <w:vAlign w:val="center"/>
          </w:tcPr>
          <w:p>
            <w:r/>
            <w:r>
              <w:rPr>
                <w:b w:val="0"/>
                <w:sz w:val="18"/>
              </w:rPr>
              <w:t>Structured summary workbook and QA checklist.</w:t>
            </w:r>
          </w:p>
        </w:tc>
      </w:tr>
      <w:tr>
        <w:tc>
          <w:tcPr>
            <w:tcW w:type="dxa" w:w="4968"/>
            <w:vAlign w:val="center"/>
          </w:tcPr>
          <w:p>
            <w:r/>
            <w:r>
              <w:rPr>
                <w:b w:val="0"/>
                <w:sz w:val="18"/>
              </w:rPr>
              <w:t>Power BI</w:t>
            </w:r>
          </w:p>
        </w:tc>
        <w:tc>
          <w:tcPr>
            <w:tcW w:type="dxa" w:w="4968"/>
            <w:vAlign w:val="center"/>
          </w:tcPr>
          <w:p>
            <w:r/>
            <w:r>
              <w:rPr>
                <w:b w:val="0"/>
                <w:sz w:val="18"/>
              </w:rPr>
              <w:t>Dashboard pages for presenting portfolio and risk findings.</w:t>
            </w:r>
          </w:p>
        </w:tc>
      </w:tr>
      <w:tr>
        <w:tc>
          <w:tcPr>
            <w:tcW w:type="dxa" w:w="4968"/>
            <w:vAlign w:val="center"/>
          </w:tcPr>
          <w:p>
            <w:r/>
            <w:r>
              <w:rPr>
                <w:b w:val="0"/>
                <w:sz w:val="18"/>
              </w:rPr>
              <w:t>Machine-learning scripts</w:t>
            </w:r>
          </w:p>
        </w:tc>
        <w:tc>
          <w:tcPr>
            <w:tcW w:type="dxa" w:w="4968"/>
            <w:vAlign w:val="center"/>
          </w:tcPr>
          <w:p>
            <w:r/>
            <w:r>
              <w:rPr>
                <w:b w:val="0"/>
                <w:sz w:val="18"/>
              </w:rPr>
              <w:t>Project folder contains ML scripts; detailed model metrics are not included in this report because they were not supplied for review.</w:t>
            </w:r>
          </w:p>
        </w:tc>
      </w:tr>
    </w:tbl>
    <w:p/>
    <w:p>
      <w:pPr>
        <w:pStyle w:val="Heading1"/>
      </w:pPr>
      <w:r>
        <w:t>5. Application Architecture and Features</w:t>
      </w:r>
    </w:p>
    <w:p>
      <w:pPr>
        <w:pStyle w:val="ListBullet"/>
      </w:pPr>
      <w:r>
        <w:t>Input layer: CSV files for bond portfolio data, Monte Carlo scenarios, and historical yield curves.</w:t>
      </w:r>
    </w:p>
    <w:p>
      <w:pPr>
        <w:pStyle w:val="ListBullet"/>
      </w:pPr>
      <w:r>
        <w:t>Analysis layer: portfolio summaries, yield-shock estimates, and risk metrics displayed by the application.</w:t>
      </w:r>
    </w:p>
    <w:p>
      <w:pPr>
        <w:pStyle w:val="ListBullet"/>
      </w:pPr>
      <w:r>
        <w:t>Presentation layer: Streamlit tabs for portfolio KPIs, Risk Agent Q&amp;A, yield sensitivity, Monte Carlo risk, yield curve, portfolio data, and scenario comparison.</w:t>
      </w:r>
    </w:p>
    <w:p>
      <w:pPr>
        <w:pStyle w:val="ListBullet"/>
      </w:pPr>
      <w:r>
        <w:t>Communication layer: tables and charts intended to help users compare the estimated effect of different yield shocks.</w:t>
      </w:r>
    </w:p>
    <w:p>
      <w:r>
        <w:t>Important implementation note: the current Risk Agent Q&amp;A is rule-based. It is an interactive interface, but it should not be described as a large-language-model-powered agent unless an LLM/API integration is implemented and tested.</w:t>
      </w:r>
    </w:p>
    <w:p>
      <w:pPr>
        <w:pStyle w:val="Heading1"/>
      </w:pPr>
      <w:r>
        <w:t>6. Portfolio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Metric</w:t>
            </w:r>
          </w:p>
        </w:tc>
        <w:tc>
          <w:tcPr>
            <w:tcW w:type="dxa" w:w="4968"/>
            <w:vAlign w:val="center"/>
            <w:shd w:fill="D9EAF7"/>
          </w:tcPr>
          <w:p>
            <w:r/>
            <w:r>
              <w:rPr>
                <w:b/>
                <w:sz w:val="18"/>
              </w:rPr>
              <w:t>Displayed value</w:t>
            </w:r>
          </w:p>
        </w:tc>
      </w:tr>
      <w:tr>
        <w:tc>
          <w:tcPr>
            <w:tcW w:type="dxa" w:w="4968"/>
            <w:vAlign w:val="center"/>
          </w:tcPr>
          <w:p>
            <w:r/>
            <w:r>
              <w:rPr>
                <w:b w:val="0"/>
                <w:sz w:val="18"/>
              </w:rPr>
              <w:t>Number of bonds</w:t>
            </w:r>
          </w:p>
        </w:tc>
        <w:tc>
          <w:tcPr>
            <w:tcW w:type="dxa" w:w="4968"/>
            <w:vAlign w:val="center"/>
          </w:tcPr>
          <w:p>
            <w:r/>
            <w:r>
              <w:rPr>
                <w:b w:val="0"/>
                <w:sz w:val="18"/>
              </w:rPr>
              <w:t>300</w:t>
            </w:r>
          </w:p>
        </w:tc>
      </w:tr>
      <w:tr>
        <w:tc>
          <w:tcPr>
            <w:tcW w:type="dxa" w:w="4968"/>
            <w:vAlign w:val="center"/>
          </w:tcPr>
          <w:p>
            <w:r/>
            <w:r>
              <w:rPr>
                <w:b w:val="0"/>
                <w:sz w:val="18"/>
              </w:rPr>
              <w:t>Market value</w:t>
            </w:r>
          </w:p>
        </w:tc>
        <w:tc>
          <w:tcPr>
            <w:tcW w:type="dxa" w:w="4968"/>
            <w:vAlign w:val="center"/>
          </w:tcPr>
          <w:p>
            <w:r/>
            <w:r>
              <w:rPr>
                <w:b w:val="0"/>
                <w:sz w:val="18"/>
              </w:rPr>
              <w:t>₹32,059,346</w:t>
            </w:r>
          </w:p>
        </w:tc>
      </w:tr>
      <w:tr>
        <w:tc>
          <w:tcPr>
            <w:tcW w:type="dxa" w:w="4968"/>
            <w:vAlign w:val="center"/>
          </w:tcPr>
          <w:p>
            <w:r/>
            <w:r>
              <w:rPr>
                <w:b w:val="0"/>
                <w:sz w:val="18"/>
              </w:rPr>
              <w:t>Average YTM</w:t>
            </w:r>
          </w:p>
        </w:tc>
        <w:tc>
          <w:tcPr>
            <w:tcW w:type="dxa" w:w="4968"/>
            <w:vAlign w:val="center"/>
          </w:tcPr>
          <w:p>
            <w:r/>
            <w:r>
              <w:rPr>
                <w:b w:val="0"/>
                <w:sz w:val="18"/>
              </w:rPr>
              <w:t>6.88%</w:t>
            </w:r>
          </w:p>
        </w:tc>
      </w:tr>
      <w:tr>
        <w:tc>
          <w:tcPr>
            <w:tcW w:type="dxa" w:w="4968"/>
            <w:vAlign w:val="center"/>
          </w:tcPr>
          <w:p>
            <w:r/>
            <w:r>
              <w:rPr>
                <w:b w:val="0"/>
                <w:sz w:val="18"/>
              </w:rPr>
              <w:t>Average modified duration</w:t>
            </w:r>
          </w:p>
        </w:tc>
        <w:tc>
          <w:tcPr>
            <w:tcW w:type="dxa" w:w="4968"/>
            <w:vAlign w:val="center"/>
          </w:tcPr>
          <w:p>
            <w:r/>
            <w:r>
              <w:rPr>
                <w:b w:val="0"/>
                <w:sz w:val="18"/>
              </w:rPr>
              <w:t>4.92 years</w:t>
            </w:r>
          </w:p>
        </w:tc>
      </w:tr>
      <w:tr>
        <w:tc>
          <w:tcPr>
            <w:tcW w:type="dxa" w:w="4968"/>
            <w:vAlign w:val="center"/>
          </w:tcPr>
          <w:p>
            <w:r/>
            <w:r>
              <w:rPr>
                <w:b w:val="0"/>
                <w:sz w:val="18"/>
              </w:rPr>
              <w:t>Average convexity</w:t>
            </w:r>
          </w:p>
        </w:tc>
        <w:tc>
          <w:tcPr>
            <w:tcW w:type="dxa" w:w="4968"/>
            <w:vAlign w:val="center"/>
          </w:tcPr>
          <w:p>
            <w:r/>
            <w:r>
              <w:rPr>
                <w:b w:val="0"/>
                <w:sz w:val="18"/>
              </w:rPr>
              <w:t>57.35</w:t>
            </w:r>
          </w:p>
        </w:tc>
      </w:tr>
    </w:tbl>
    <w:p/>
    <w:p>
      <w:r>
        <w:t>Source note: values above were transcribed from screenshots of the running application. They are included as reported dashboard outputs, not as independently verified facts about the underlying dataset.</w:t>
      </w:r>
    </w:p>
    <w:p>
      <w:pPr>
        <w:pStyle w:val="Heading1"/>
      </w:pPr>
      <w:r>
        <w:t>7. Duration and Convexity Sensitivity</w:t>
      </w:r>
    </w:p>
    <w:p>
      <w:r>
        <w:t>Duration provides a first-order approximation of the percentage price change for a yield change. Convexity adds a second-order adjustment that helps represent the curvature of the price-yield relationship. A common approximation is ΔP ≈ −Dmod × P × Δy + ½ × C × P × (Δy)², where P is portfolio value, Dmod is modified duration, C is convexity, and Δy is the yield change expressed as a decimal. The application’s displayed figures are estimates and are not equivalent to full bond-by-bond repricing.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Yield scenario</w:t>
            </w:r>
          </w:p>
        </w:tc>
        <w:tc>
          <w:tcPr>
            <w:tcW w:type="dxa" w:w="2484"/>
            <w:vAlign w:val="center"/>
            <w:shd w:fill="D9EAF7"/>
          </w:tcPr>
          <w:p>
            <w:r/>
            <w:r>
              <w:rPr>
                <w:b/>
                <w:sz w:val="18"/>
              </w:rPr>
              <w:t>Duration effect</w:t>
            </w:r>
          </w:p>
        </w:tc>
        <w:tc>
          <w:tcPr>
            <w:tcW w:type="dxa" w:w="2484"/>
            <w:vAlign w:val="center"/>
            <w:shd w:fill="D9EAF7"/>
          </w:tcPr>
          <w:p>
            <w:r/>
            <w:r>
              <w:rPr>
                <w:b/>
                <w:sz w:val="18"/>
              </w:rPr>
              <w:t>Convexity effect</w:t>
            </w:r>
          </w:p>
        </w:tc>
        <w:tc>
          <w:tcPr>
            <w:tcW w:type="dxa" w:w="2484"/>
            <w:vAlign w:val="center"/>
            <w:shd w:fill="D9EAF7"/>
          </w:tcPr>
          <w:p>
            <w:r/>
            <w:r>
              <w:rPr>
                <w:b/>
                <w:sz w:val="18"/>
              </w:rPr>
              <w:t>Estimated total P&amp;L</w:t>
            </w:r>
          </w:p>
        </w:tc>
      </w:tr>
      <w:tr>
        <w:tc>
          <w:tcPr>
            <w:tcW w:type="dxa" w:w="2484"/>
            <w:vAlign w:val="center"/>
          </w:tcPr>
          <w:p>
            <w:r/>
            <w:r>
              <w:rPr>
                <w:b w:val="0"/>
                <w:sz w:val="18"/>
              </w:rPr>
              <w:t>Normal: +25 bps</w:t>
            </w:r>
          </w:p>
        </w:tc>
        <w:tc>
          <w:tcPr>
            <w:tcW w:type="dxa" w:w="2484"/>
            <w:vAlign w:val="center"/>
          </w:tcPr>
          <w:p>
            <w:r/>
            <w:r>
              <w:rPr>
                <w:b w:val="0"/>
                <w:sz w:val="18"/>
              </w:rPr>
              <w:t>−₹336,874</w:t>
            </w:r>
          </w:p>
        </w:tc>
        <w:tc>
          <w:tcPr>
            <w:tcW w:type="dxa" w:w="2484"/>
            <w:vAlign w:val="center"/>
          </w:tcPr>
          <w:p>
            <w:r/>
            <w:r>
              <w:rPr>
                <w:b w:val="0"/>
                <w:sz w:val="18"/>
              </w:rPr>
              <w:t>+₹4,414</w:t>
            </w:r>
          </w:p>
        </w:tc>
        <w:tc>
          <w:tcPr>
            <w:tcW w:type="dxa" w:w="2484"/>
            <w:vAlign w:val="center"/>
          </w:tcPr>
          <w:p>
            <w:r/>
            <w:r>
              <w:rPr>
                <w:b w:val="0"/>
                <w:sz w:val="18"/>
              </w:rPr>
              <w:t>−₹332,460</w:t>
            </w:r>
          </w:p>
        </w:tc>
      </w:tr>
      <w:tr>
        <w:tc>
          <w:tcPr>
            <w:tcW w:type="dxa" w:w="2484"/>
            <w:vAlign w:val="center"/>
          </w:tcPr>
          <w:p>
            <w:r/>
            <w:r>
              <w:rPr>
                <w:b w:val="0"/>
                <w:sz w:val="18"/>
              </w:rPr>
              <w:t>Stress: +100 bps</w:t>
            </w:r>
          </w:p>
        </w:tc>
        <w:tc>
          <w:tcPr>
            <w:tcW w:type="dxa" w:w="2484"/>
            <w:vAlign w:val="center"/>
          </w:tcPr>
          <w:p>
            <w:r/>
            <w:r>
              <w:rPr>
                <w:b w:val="0"/>
                <w:sz w:val="18"/>
              </w:rPr>
              <w:t>−₹1,347,495</w:t>
            </w:r>
          </w:p>
        </w:tc>
        <w:tc>
          <w:tcPr>
            <w:tcW w:type="dxa" w:w="2484"/>
            <w:vAlign w:val="center"/>
          </w:tcPr>
          <w:p>
            <w:r/>
            <w:r>
              <w:rPr>
                <w:b w:val="0"/>
                <w:sz w:val="18"/>
              </w:rPr>
              <w:t>+₹70,629</w:t>
            </w:r>
          </w:p>
        </w:tc>
        <w:tc>
          <w:tcPr>
            <w:tcW w:type="dxa" w:w="2484"/>
            <w:vAlign w:val="center"/>
          </w:tcPr>
          <w:p>
            <w:r/>
            <w:r>
              <w:rPr>
                <w:b w:val="0"/>
                <w:sz w:val="18"/>
              </w:rPr>
              <w:t>−₹1,276,867</w:t>
            </w:r>
          </w:p>
        </w:tc>
      </w:tr>
      <w:tr>
        <w:tc>
          <w:tcPr>
            <w:tcW w:type="dxa" w:w="2484"/>
            <w:vAlign w:val="center"/>
          </w:tcPr>
          <w:p>
            <w:r/>
            <w:r>
              <w:rPr>
                <w:b w:val="0"/>
                <w:sz w:val="18"/>
              </w:rPr>
              <w:t>Crisis: +200 bps</w:t>
            </w:r>
          </w:p>
        </w:tc>
        <w:tc>
          <w:tcPr>
            <w:tcW w:type="dxa" w:w="2484"/>
            <w:vAlign w:val="center"/>
          </w:tcPr>
          <w:p>
            <w:r/>
            <w:r>
              <w:rPr>
                <w:b w:val="0"/>
                <w:sz w:val="18"/>
              </w:rPr>
              <w:t>−₹2,694,990</w:t>
            </w:r>
          </w:p>
        </w:tc>
        <w:tc>
          <w:tcPr>
            <w:tcW w:type="dxa" w:w="2484"/>
            <w:vAlign w:val="center"/>
          </w:tcPr>
          <w:p>
            <w:r/>
            <w:r>
              <w:rPr>
                <w:b w:val="0"/>
                <w:sz w:val="18"/>
              </w:rPr>
              <w:t>+₹282,515</w:t>
            </w:r>
          </w:p>
        </w:tc>
        <w:tc>
          <w:tcPr>
            <w:tcW w:type="dxa" w:w="2484"/>
            <w:vAlign w:val="center"/>
          </w:tcPr>
          <w:p>
            <w:r/>
            <w:r>
              <w:rPr>
                <w:b w:val="0"/>
                <w:sz w:val="18"/>
              </w:rPr>
              <w:t>−₹2,412,476</w:t>
            </w:r>
          </w:p>
        </w:tc>
      </w:tr>
    </w:tbl>
    <w:p/>
    <w:p>
      <w:r>
        <w:t>Interpretation: in the displayed scenarios, rising yields correspond to estimated portfolio losses. The positive convexity adjustment partially offsets the negative duration effect. The estimates shown above should be reconciled to the source data and formulas before being used for investment or risk-management decisions.</w:t>
      </w:r>
    </w:p>
    <w:p>
      <w:pPr>
        <w:pStyle w:val="Heading1"/>
      </w:pPr>
      <w:r>
        <w:t>8. Monte Carlo Risk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Metric</w:t>
            </w:r>
          </w:p>
        </w:tc>
        <w:tc>
          <w:tcPr>
            <w:tcW w:type="dxa" w:w="4968"/>
            <w:vAlign w:val="center"/>
            <w:shd w:fill="D9EAF7"/>
          </w:tcPr>
          <w:p>
            <w:r/>
            <w:r>
              <w:rPr>
                <w:b/>
                <w:sz w:val="18"/>
              </w:rPr>
              <w:t>Displayed value</w:t>
            </w:r>
          </w:p>
        </w:tc>
      </w:tr>
      <w:tr>
        <w:tc>
          <w:tcPr>
            <w:tcW w:type="dxa" w:w="4968"/>
            <w:vAlign w:val="center"/>
          </w:tcPr>
          <w:p>
            <w:r/>
            <w:r>
              <w:rPr>
                <w:b w:val="0"/>
                <w:sz w:val="18"/>
              </w:rPr>
              <w:t>Number of scenarios</w:t>
            </w:r>
          </w:p>
        </w:tc>
        <w:tc>
          <w:tcPr>
            <w:tcW w:type="dxa" w:w="4968"/>
            <w:vAlign w:val="center"/>
          </w:tcPr>
          <w:p>
            <w:r/>
            <w:r>
              <w:rPr>
                <w:b w:val="0"/>
                <w:sz w:val="18"/>
              </w:rPr>
              <w:t>1,000</w:t>
            </w:r>
          </w:p>
        </w:tc>
      </w:tr>
      <w:tr>
        <w:tc>
          <w:tcPr>
            <w:tcW w:type="dxa" w:w="4968"/>
            <w:vAlign w:val="center"/>
          </w:tcPr>
          <w:p>
            <w:r/>
            <w:r>
              <w:rPr>
                <w:b w:val="0"/>
                <w:sz w:val="18"/>
              </w:rPr>
              <w:t>95% VaR</w:t>
            </w:r>
          </w:p>
        </w:tc>
        <w:tc>
          <w:tcPr>
            <w:tcW w:type="dxa" w:w="4968"/>
            <w:vAlign w:val="center"/>
          </w:tcPr>
          <w:p>
            <w:r/>
            <w:r>
              <w:rPr>
                <w:b w:val="0"/>
                <w:sz w:val="18"/>
              </w:rPr>
              <w:t>₹1,976,671</w:t>
            </w:r>
          </w:p>
        </w:tc>
      </w:tr>
      <w:tr>
        <w:tc>
          <w:tcPr>
            <w:tcW w:type="dxa" w:w="4968"/>
            <w:vAlign w:val="center"/>
          </w:tcPr>
          <w:p>
            <w:r/>
            <w:r>
              <w:rPr>
                <w:b w:val="0"/>
                <w:sz w:val="18"/>
              </w:rPr>
              <w:t>99% VaR</w:t>
            </w:r>
          </w:p>
        </w:tc>
        <w:tc>
          <w:tcPr>
            <w:tcW w:type="dxa" w:w="4968"/>
            <w:vAlign w:val="center"/>
          </w:tcPr>
          <w:p>
            <w:r/>
            <w:r>
              <w:rPr>
                <w:b w:val="0"/>
                <w:sz w:val="18"/>
              </w:rPr>
              <w:t>₹2,517,271</w:t>
            </w:r>
          </w:p>
        </w:tc>
      </w:tr>
      <w:tr>
        <w:tc>
          <w:tcPr>
            <w:tcW w:type="dxa" w:w="4968"/>
            <w:vAlign w:val="center"/>
          </w:tcPr>
          <w:p>
            <w:r/>
            <w:r>
              <w:rPr>
                <w:b w:val="0"/>
                <w:sz w:val="18"/>
              </w:rPr>
              <w:t>95% CVaR</w:t>
            </w:r>
          </w:p>
        </w:tc>
        <w:tc>
          <w:tcPr>
            <w:tcW w:type="dxa" w:w="4968"/>
            <w:vAlign w:val="center"/>
          </w:tcPr>
          <w:p>
            <w:r/>
            <w:r>
              <w:rPr>
                <w:b w:val="0"/>
                <w:sz w:val="18"/>
              </w:rPr>
              <w:t>₹2,377,154</w:t>
            </w:r>
          </w:p>
        </w:tc>
      </w:tr>
    </w:tbl>
    <w:p/>
    <w:p>
      <w:r>
        <w:t>VaR is intended to summarize a loss threshold at a selected confidence level; CVaR (also called expected shortfall) summarizes the average loss in the tail beyond the VaR threshold, subject to the implementation’s definition. The sign convention, loss transformation, percentile method, and CVaR calculation must be checked against the raw scenario file before these figures are considered validated.</w:t>
      </w:r>
    </w:p>
    <w:p>
      <w:pPr>
        <w:pStyle w:val="Heading1"/>
      </w:pPr>
      <w:r>
        <w:t>9. Excel and Power BI Deliverables</w:t>
      </w:r>
    </w:p>
    <w:p>
      <w:r>
        <w:t>The project workflow includes Excel-based organization of summary metrics, scenario comparisons, Monte Carlo risk results, and a quality-assurance checklist. Power BI dashboard pages were demonstrated in screenshots. This report does not claim that the Power BI visuals have been independently checked against source data or that every displayed number reconciles to the Python outputs.</w:t>
      </w:r>
    </w:p>
    <w:p>
      <w:pPr>
        <w:pStyle w:val="Heading1"/>
      </w:pPr>
      <w:r>
        <w:t>10. Testing and Quality Checks</w:t>
      </w:r>
    </w:p>
    <w:p>
      <w:pPr>
        <w:pStyle w:val="ListBullet"/>
      </w:pPr>
      <w:r>
        <w:t>Confirm all required CSV files exist and that the application handles missing files clearly.</w:t>
      </w:r>
    </w:p>
    <w:p>
      <w:pPr>
        <w:pStyle w:val="ListBullet"/>
      </w:pPr>
      <w:r>
        <w:t>Check column names, data types, missing values, duplicate records, and units.</w:t>
      </w:r>
    </w:p>
    <w:p>
      <w:pPr>
        <w:pStyle w:val="ListBullet"/>
      </w:pPr>
      <w:r>
        <w:t>Recompute market value, average YTM, duration, and convexity directly from the source rows.</w:t>
      </w:r>
    </w:p>
    <w:p>
      <w:pPr>
        <w:pStyle w:val="ListBullet"/>
      </w:pPr>
      <w:r>
        <w:t>Verify the yield-shock unit conversion (basis points to decimal yield change).</w:t>
      </w:r>
    </w:p>
    <w:p>
      <w:pPr>
        <w:pStyle w:val="ListBullet"/>
      </w:pPr>
      <w:r>
        <w:t>Reconcile duration and convexity components and total P&amp;L for each scenario.</w:t>
      </w:r>
    </w:p>
    <w:p>
      <w:pPr>
        <w:pStyle w:val="ListBullet"/>
      </w:pPr>
      <w:r>
        <w:t>Check Monte Carlo loss sign convention and recompute 95% / 99% VaR and 95% CVaR from raw outcomes.</w:t>
      </w:r>
    </w:p>
    <w:p>
      <w:pPr>
        <w:pStyle w:val="ListBullet"/>
      </w:pPr>
      <w:r>
        <w:t>Compare Python, Excel, Power BI, and Streamlit results using a shared set of test values.</w:t>
      </w:r>
    </w:p>
    <w:p>
      <w:pPr>
        <w:pStyle w:val="ListBullet"/>
      </w:pPr>
      <w:r>
        <w:t>Document any assumptions, data exclusions, and rounding differences.</w:t>
      </w:r>
    </w:p>
    <w:p>
      <w:pPr>
        <w:pStyle w:val="Heading1"/>
      </w:pPr>
      <w:r>
        <w:t>11. Limitations</w:t>
      </w:r>
    </w:p>
    <w:p>
      <w:pPr>
        <w:pStyle w:val="ListBullet"/>
      </w:pPr>
      <w:r>
        <w:t>Underlying CSV files and full source code were not supplied for independent calculation validation when this report was prepared.</w:t>
      </w:r>
    </w:p>
    <w:p>
      <w:pPr>
        <w:pStyle w:val="ListBullet"/>
      </w:pPr>
      <w:r>
        <w:t>Duration-convexity results are approximations; they do not replace full repricing of each bond under a changed yield curve.</w:t>
      </w:r>
    </w:p>
    <w:p>
      <w:pPr>
        <w:pStyle w:val="ListBullet"/>
      </w:pPr>
      <w:r>
        <w:t>Portfolio-level averages may not fully capture instrument-level, curve, credit-spread, liquidity, or optionality risks.</w:t>
      </w:r>
    </w:p>
    <w:p>
      <w:pPr>
        <w:pStyle w:val="ListBullet"/>
      </w:pPr>
      <w:r>
        <w:t>Monte Carlo VaR/CVaR depend on the scenario-generation method, distribution assumptions, horizon, and loss sign convention.</w:t>
      </w:r>
    </w:p>
    <w:p>
      <w:pPr>
        <w:pStyle w:val="ListBullet"/>
      </w:pPr>
      <w:r>
        <w:t>The Risk Agent interface is rule-based and does not currently establish the use of a generative AI model.</w:t>
      </w:r>
    </w:p>
    <w:p>
      <w:pPr>
        <w:pStyle w:val="ListBullet"/>
      </w:pPr>
      <w:r>
        <w:t>Detailed machine-learning model design, training data, evaluation metrics, and results were not available for inclusion.</w:t>
      </w:r>
    </w:p>
    <w:p>
      <w:pPr>
        <w:pStyle w:val="Heading1"/>
      </w:pPr>
      <w:r>
        <w:t>12. Future Enhancements</w:t>
      </w:r>
    </w:p>
    <w:p>
      <w:pPr>
        <w:pStyle w:val="ListBullet"/>
      </w:pPr>
      <w:r>
        <w:t>Validate all figures against the original CSV data and add automated calculation tests.</w:t>
      </w:r>
    </w:p>
    <w:p>
      <w:pPr>
        <w:pStyle w:val="ListBullet"/>
      </w:pPr>
      <w:r>
        <w:t>Add bond-by-bond repricing and parallel/non-parallel yield-curve shocks.</w:t>
      </w:r>
    </w:p>
    <w:p>
      <w:pPr>
        <w:pStyle w:val="ListBullet"/>
      </w:pPr>
      <w:r>
        <w:t>Document Monte Carlo assumptions and add backtesting or historical benchmarking.</w:t>
      </w:r>
    </w:p>
    <w:p>
      <w:pPr>
        <w:pStyle w:val="ListBullet"/>
      </w:pPr>
      <w:r>
        <w:t>Improve error handling, input validation, and downloadable report/export options.</w:t>
      </w:r>
    </w:p>
    <w:p>
      <w:pPr>
        <w:pStyle w:val="ListBullet"/>
      </w:pPr>
      <w:r>
        <w:t>If appropriate, integrate a language model with clear grounding in verified portfolio metrics and safe handling of financial questions.</w:t>
      </w:r>
    </w:p>
    <w:p>
      <w:pPr>
        <w:pStyle w:val="ListBullet"/>
      </w:pPr>
      <w:r>
        <w:t>Document any machine-learning component with reproducible training steps and evaluation metrics.</w:t>
      </w:r>
    </w:p>
    <w:p>
      <w:pPr>
        <w:pStyle w:val="Heading1"/>
      </w:pPr>
      <w:r>
        <w:t>13. Conclusion</w:t>
      </w:r>
    </w:p>
    <w:p>
      <w:r>
        <w:t>The project brings together Python-based bond-risk analysis, an interactive Streamlit interface, scenario comparison, Monte Carlo risk summaries, and dashboard-oriented reporting. The demonstrated application is a useful prototype for explaining interest-rate sensitivity. Before presenting its numerical outputs as validated results, the underlying data and formulas should be reconciled across Python, Excel, and Power BI. This report is a project summary, not investment advice or an independent audit.</w:t>
      </w:r>
    </w:p>
    <w:p>
      <w:pPr>
        <w:pStyle w:val="Heading1"/>
      </w:pPr>
      <w:r>
        <w:t>Appendix A — Reported Scenario Results</w:t>
      </w:r>
    </w:p>
    <w:p>
      <w:r>
        <w:t>All numeric results in this appendix reproduce values seen in the project screenshots. The underlying CSVs were not available for independent recalculation at the time of report creation.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Reported value</w:t>
            </w:r>
          </w:p>
        </w:tc>
      </w:tr>
      <w:tr>
        <w:tc>
          <w:tcPr>
            <w:tcW w:type="dxa" w:w="4968"/>
            <w:vAlign w:val="center"/>
          </w:tcPr>
          <w:p>
            <w:r/>
            <w:r>
              <w:rPr>
                <w:b w:val="0"/>
                <w:sz w:val="18"/>
              </w:rPr>
              <w:t>Portfolio bonds</w:t>
            </w:r>
          </w:p>
        </w:tc>
        <w:tc>
          <w:tcPr>
            <w:tcW w:type="dxa" w:w="4968"/>
            <w:vAlign w:val="center"/>
          </w:tcPr>
          <w:p>
            <w:r/>
            <w:r>
              <w:rPr>
                <w:b w:val="0"/>
                <w:sz w:val="18"/>
              </w:rPr>
              <w:t>300</w:t>
            </w:r>
          </w:p>
        </w:tc>
      </w:tr>
      <w:tr>
        <w:tc>
          <w:tcPr>
            <w:tcW w:type="dxa" w:w="4968"/>
            <w:vAlign w:val="center"/>
          </w:tcPr>
          <w:p>
            <w:r/>
            <w:r>
              <w:rPr>
                <w:b w:val="0"/>
                <w:sz w:val="18"/>
              </w:rPr>
              <w:t>Portfolio market value</w:t>
            </w:r>
          </w:p>
        </w:tc>
        <w:tc>
          <w:tcPr>
            <w:tcW w:type="dxa" w:w="4968"/>
            <w:vAlign w:val="center"/>
          </w:tcPr>
          <w:p>
            <w:r/>
            <w:r>
              <w:rPr>
                <w:b w:val="0"/>
                <w:sz w:val="18"/>
              </w:rPr>
              <w:t>₹32,059,346</w:t>
            </w:r>
          </w:p>
        </w:tc>
      </w:tr>
      <w:tr>
        <w:tc>
          <w:tcPr>
            <w:tcW w:type="dxa" w:w="4968"/>
            <w:vAlign w:val="center"/>
          </w:tcPr>
          <w:p>
            <w:r/>
            <w:r>
              <w:rPr>
                <w:b w:val="0"/>
                <w:sz w:val="18"/>
              </w:rPr>
              <w:t>Average YTM</w:t>
            </w:r>
          </w:p>
        </w:tc>
        <w:tc>
          <w:tcPr>
            <w:tcW w:type="dxa" w:w="4968"/>
            <w:vAlign w:val="center"/>
          </w:tcPr>
          <w:p>
            <w:r/>
            <w:r>
              <w:rPr>
                <w:b w:val="0"/>
                <w:sz w:val="18"/>
              </w:rPr>
              <w:t>6.88%</w:t>
            </w:r>
          </w:p>
        </w:tc>
      </w:tr>
      <w:tr>
        <w:tc>
          <w:tcPr>
            <w:tcW w:type="dxa" w:w="4968"/>
            <w:vAlign w:val="center"/>
          </w:tcPr>
          <w:p>
            <w:r/>
            <w:r>
              <w:rPr>
                <w:b w:val="0"/>
                <w:sz w:val="18"/>
              </w:rPr>
              <w:t>Average modified duration</w:t>
            </w:r>
          </w:p>
        </w:tc>
        <w:tc>
          <w:tcPr>
            <w:tcW w:type="dxa" w:w="4968"/>
            <w:vAlign w:val="center"/>
          </w:tcPr>
          <w:p>
            <w:r/>
            <w:r>
              <w:rPr>
                <w:b w:val="0"/>
                <w:sz w:val="18"/>
              </w:rPr>
              <w:t>4.92 years</w:t>
            </w:r>
          </w:p>
        </w:tc>
      </w:tr>
      <w:tr>
        <w:tc>
          <w:tcPr>
            <w:tcW w:type="dxa" w:w="4968"/>
            <w:vAlign w:val="center"/>
          </w:tcPr>
          <w:p>
            <w:r/>
            <w:r>
              <w:rPr>
                <w:b w:val="0"/>
                <w:sz w:val="18"/>
              </w:rPr>
              <w:t>Average convexity</w:t>
            </w:r>
          </w:p>
        </w:tc>
        <w:tc>
          <w:tcPr>
            <w:tcW w:type="dxa" w:w="4968"/>
            <w:vAlign w:val="center"/>
          </w:tcPr>
          <w:p>
            <w:r/>
            <w:r>
              <w:rPr>
                <w:b w:val="0"/>
                <w:sz w:val="18"/>
              </w:rPr>
              <w:t>57.35</w:t>
            </w:r>
          </w:p>
        </w:tc>
      </w:tr>
      <w:tr>
        <w:tc>
          <w:tcPr>
            <w:tcW w:type="dxa" w:w="4968"/>
            <w:vAlign w:val="center"/>
          </w:tcPr>
          <w:p>
            <w:r/>
            <w:r>
              <w:rPr>
                <w:b w:val="0"/>
                <w:sz w:val="18"/>
              </w:rPr>
              <w:t>Monte Carlo scenarios</w:t>
            </w:r>
          </w:p>
        </w:tc>
        <w:tc>
          <w:tcPr>
            <w:tcW w:type="dxa" w:w="4968"/>
            <w:vAlign w:val="center"/>
          </w:tcPr>
          <w:p>
            <w:r/>
            <w:r>
              <w:rPr>
                <w:b w:val="0"/>
                <w:sz w:val="18"/>
              </w:rPr>
              <w:t>1,000</w:t>
            </w:r>
          </w:p>
        </w:tc>
      </w:tr>
      <w:tr>
        <w:tc>
          <w:tcPr>
            <w:tcW w:type="dxa" w:w="4968"/>
            <w:vAlign w:val="center"/>
          </w:tcPr>
          <w:p>
            <w:r/>
            <w:r>
              <w:rPr>
                <w:b w:val="0"/>
                <w:sz w:val="18"/>
              </w:rPr>
              <w:t>95% VaR</w:t>
            </w:r>
          </w:p>
        </w:tc>
        <w:tc>
          <w:tcPr>
            <w:tcW w:type="dxa" w:w="4968"/>
            <w:vAlign w:val="center"/>
          </w:tcPr>
          <w:p>
            <w:r/>
            <w:r>
              <w:rPr>
                <w:b w:val="0"/>
                <w:sz w:val="18"/>
              </w:rPr>
              <w:t>₹1,976,671</w:t>
            </w:r>
          </w:p>
        </w:tc>
      </w:tr>
      <w:tr>
        <w:tc>
          <w:tcPr>
            <w:tcW w:type="dxa" w:w="4968"/>
            <w:vAlign w:val="center"/>
          </w:tcPr>
          <w:p>
            <w:r/>
            <w:r>
              <w:rPr>
                <w:b w:val="0"/>
                <w:sz w:val="18"/>
              </w:rPr>
              <w:t>99% VaR</w:t>
            </w:r>
          </w:p>
        </w:tc>
        <w:tc>
          <w:tcPr>
            <w:tcW w:type="dxa" w:w="4968"/>
            <w:vAlign w:val="center"/>
          </w:tcPr>
          <w:p>
            <w:r/>
            <w:r>
              <w:rPr>
                <w:b w:val="0"/>
                <w:sz w:val="18"/>
              </w:rPr>
              <w:t>₹2,517,271</w:t>
            </w:r>
          </w:p>
        </w:tc>
      </w:tr>
      <w:tr>
        <w:tc>
          <w:tcPr>
            <w:tcW w:type="dxa" w:w="4968"/>
            <w:vAlign w:val="center"/>
          </w:tcPr>
          <w:p>
            <w:r/>
            <w:r>
              <w:rPr>
                <w:b w:val="0"/>
                <w:sz w:val="18"/>
              </w:rPr>
              <w:t>95% CVaR</w:t>
            </w:r>
          </w:p>
        </w:tc>
        <w:tc>
          <w:tcPr>
            <w:tcW w:type="dxa" w:w="4968"/>
            <w:vAlign w:val="center"/>
          </w:tcPr>
          <w:p>
            <w:r/>
            <w:r>
              <w:rPr>
                <w:b w:val="0"/>
                <w:sz w:val="18"/>
              </w:rPr>
              <w:t>₹2,377,154</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Zetheta Project 1B — Convexity Sensitivity AI Agent | Draft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