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bookmarkStart w:id="5" w:name="_GoBack"/>
      <w:bookmarkEnd w:id="5"/>
      <w:r w:rsidRPr="008B5277">
        <w:rPr>
          <w:noProof/>
          <w:lang w:val="en-IN" w:eastAsia="en-IN"/>
        </w:rPr>
        <w:drawing>
          <wp:inline distT="0" distB="0" distL="0" distR="0" wp14:anchorId="0446AF6B" wp14:editId="26C45C9C">
            <wp:extent cx="3657600" cy="5486400"/>
            <wp:effectExtent l="0" t="0" r="0" b="0"/>
            <wp:docPr id="22" name="Picture 1" descr="Bright blue glacial lake surrounded by white ice on a dark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5486400"/>
                    </a:xfrm>
                    <a:prstGeom prst="rect">
                      <a:avLst/>
                    </a:prstGeom>
                    <a:noFill/>
                    <a:ln w="254000" cap="rnd">
                      <a:noFill/>
                    </a:ln>
                    <a:effectLst/>
                  </pic:spPr>
                </pic:pic>
              </a:graphicData>
            </a:graphic>
          </wp:inline>
        </w:drawing>
      </w:r>
    </w:p>
    <w:bookmarkEnd w:id="0"/>
    <w:bookmarkEnd w:id="1"/>
    <w:bookmarkEnd w:id="2"/>
    <w:bookmarkEnd w:id="3"/>
    <w:bookmarkEnd w:id="4"/>
    <w:p w:rsidR="00C6554A" w:rsidRDefault="006655D5" w:rsidP="00C6554A">
      <w:pPr>
        <w:pStyle w:val="Title"/>
      </w:pPr>
      <w:r>
        <w:t>Securitization Dashboard</w:t>
      </w:r>
    </w:p>
    <w:p w:rsidR="00C6554A" w:rsidRPr="00D5413C" w:rsidRDefault="00C6554A" w:rsidP="00C6554A">
      <w:pPr>
        <w:pStyle w:val="Subtitle"/>
      </w:pPr>
    </w:p>
    <w:p w:rsidR="002405BB" w:rsidRDefault="001A4864" w:rsidP="0016597B">
      <w:pPr>
        <w:pStyle w:val="ContactInfo"/>
        <w:jc w:val="left"/>
      </w:pPr>
      <w:r>
        <w:t xml:space="preserve">                                               Meenakarthika / 29/06/26</w:t>
      </w:r>
    </w:p>
    <w:p w:rsidR="001A4864" w:rsidRDefault="001A4864" w:rsidP="001A4864"/>
    <w:p w:rsidR="001A4864" w:rsidRPr="0016597B" w:rsidRDefault="001A4864" w:rsidP="001A4864">
      <w:pPr>
        <w:pStyle w:val="Heading3"/>
        <w:rPr>
          <w:rFonts w:ascii="Times New Roman" w:hAnsi="Times New Roman" w:cs="Times New Roman"/>
        </w:rPr>
      </w:pPr>
      <w:r w:rsidRPr="0016597B">
        <w:rPr>
          <w:rFonts w:ascii="Times New Roman" w:hAnsi="Times New Roman" w:cs="Times New Roman"/>
        </w:rPr>
        <w:lastRenderedPageBreak/>
        <w:t xml:space="preserve">1. </w:t>
      </w:r>
      <w:r w:rsidRPr="0016597B">
        <w:rPr>
          <w:rStyle w:val="Strong"/>
          <w:rFonts w:ascii="Times New Roman" w:hAnsi="Times New Roman" w:cs="Times New Roman"/>
          <w:b w:val="0"/>
          <w:bCs w:val="0"/>
        </w:rPr>
        <w:t>Project Overview and Objectives</w:t>
      </w:r>
    </w:p>
    <w:p w:rsidR="001A4864" w:rsidRPr="0016597B" w:rsidRDefault="001A4864" w:rsidP="001A4864">
      <w:pPr>
        <w:pStyle w:val="jot-paragraph-element"/>
      </w:pPr>
      <w:r w:rsidRPr="0016597B">
        <w:t>This project focuses on building advanced securitisation risk assessment dashboards and analytics using DAX in Power BI. The primary goal is to transform raw loan-level data (from SAP/ERP systems) into actionable risk intelligence for asset-backed securities (ABS), mortgage-backed securities (MBS), collateralised loan obligations (CLOs), and other structured credit products. The analysis supports credit committees, rating agencies, investors, and regulators by providing comprehensive risk metrics, stress testing, and investor reporting.</w:t>
      </w:r>
    </w:p>
    <w:p w:rsidR="001A4864" w:rsidRPr="0016597B" w:rsidRDefault="001A4864" w:rsidP="001A4864">
      <w:pPr>
        <w:pStyle w:val="Heading3"/>
        <w:rPr>
          <w:rFonts w:ascii="Times New Roman" w:hAnsi="Times New Roman" w:cs="Times New Roman"/>
        </w:rPr>
      </w:pPr>
      <w:r w:rsidRPr="0016597B">
        <w:rPr>
          <w:rFonts w:ascii="Times New Roman" w:hAnsi="Times New Roman" w:cs="Times New Roman"/>
        </w:rPr>
        <w:t xml:space="preserve">2. </w:t>
      </w:r>
      <w:r w:rsidRPr="0016597B">
        <w:rPr>
          <w:rStyle w:val="Strong"/>
          <w:rFonts w:ascii="Times New Roman" w:hAnsi="Times New Roman" w:cs="Times New Roman"/>
          <w:b w:val="0"/>
          <w:bCs w:val="0"/>
        </w:rPr>
        <w:t>Key Methodologies and Tools</w:t>
      </w:r>
    </w:p>
    <w:p w:rsidR="001A4864" w:rsidRPr="0016597B" w:rsidRDefault="001A4864" w:rsidP="001A4864">
      <w:pPr>
        <w:numPr>
          <w:ilvl w:val="0"/>
          <w:numId w:val="16"/>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DAX in Power BI</w:t>
      </w:r>
      <w:r w:rsidRPr="0016597B">
        <w:rPr>
          <w:rFonts w:ascii="Times New Roman" w:hAnsi="Times New Roman" w:cs="Times New Roman"/>
          <w:sz w:val="24"/>
          <w:szCs w:val="24"/>
        </w:rPr>
        <w:t>: Complex DAX expressions are used for weighted averages, stratification, time intelligence, and scenario analysis.</w:t>
      </w:r>
    </w:p>
    <w:p w:rsidR="001A4864" w:rsidRPr="0016597B" w:rsidRDefault="001A4864" w:rsidP="001A4864">
      <w:pPr>
        <w:numPr>
          <w:ilvl w:val="0"/>
          <w:numId w:val="16"/>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Data Model</w:t>
      </w:r>
      <w:r w:rsidRPr="0016597B">
        <w:rPr>
          <w:rFonts w:ascii="Times New Roman" w:hAnsi="Times New Roman" w:cs="Times New Roman"/>
          <w:sz w:val="24"/>
          <w:szCs w:val="24"/>
        </w:rPr>
        <w:t>: Star schema with dimension tables (e.g., loans, borrowers, vehicles, properties) and fact tables (monthly performance, static pool, dynamic loss).</w:t>
      </w:r>
    </w:p>
    <w:p w:rsidR="001A4864" w:rsidRPr="0016597B" w:rsidRDefault="001A4864" w:rsidP="001A4864">
      <w:pPr>
        <w:numPr>
          <w:ilvl w:val="0"/>
          <w:numId w:val="16"/>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Dashboards</w:t>
      </w:r>
      <w:r w:rsidRPr="0016597B">
        <w:rPr>
          <w:rFonts w:ascii="Times New Roman" w:hAnsi="Times New Roman" w:cs="Times New Roman"/>
          <w:sz w:val="24"/>
          <w:szCs w:val="24"/>
        </w:rPr>
        <w:t>: Interactive Power BI dashboards with KPI cards, trend charts, roll rate matrices, and compliance indicators.</w:t>
      </w:r>
    </w:p>
    <w:p w:rsidR="001A4864" w:rsidRPr="0016597B" w:rsidRDefault="001A4864" w:rsidP="001A4864">
      <w:pPr>
        <w:numPr>
          <w:ilvl w:val="0"/>
          <w:numId w:val="16"/>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Validation</w:t>
      </w:r>
      <w:r w:rsidRPr="0016597B">
        <w:rPr>
          <w:rFonts w:ascii="Times New Roman" w:hAnsi="Times New Roman" w:cs="Times New Roman"/>
          <w:sz w:val="24"/>
          <w:szCs w:val="24"/>
        </w:rPr>
        <w:t>: All DAX measures are tested in DAX Studio for correctness and performance (&lt;100ms target).</w:t>
      </w:r>
    </w:p>
    <w:p w:rsidR="001A4864" w:rsidRPr="0016597B" w:rsidRDefault="001A4864" w:rsidP="001A4864">
      <w:pPr>
        <w:pStyle w:val="Heading3"/>
        <w:rPr>
          <w:rFonts w:ascii="Times New Roman" w:hAnsi="Times New Roman" w:cs="Times New Roman"/>
        </w:rPr>
      </w:pPr>
      <w:r w:rsidRPr="0016597B">
        <w:rPr>
          <w:rFonts w:ascii="Times New Roman" w:hAnsi="Times New Roman" w:cs="Times New Roman"/>
        </w:rPr>
        <w:t xml:space="preserve">3. </w:t>
      </w:r>
      <w:r w:rsidRPr="0016597B">
        <w:rPr>
          <w:rStyle w:val="Strong"/>
          <w:rFonts w:ascii="Times New Roman" w:hAnsi="Times New Roman" w:cs="Times New Roman"/>
          <w:b w:val="0"/>
          <w:bCs w:val="0"/>
        </w:rPr>
        <w:t>Data Requirements and Risk Metrics</w:t>
      </w:r>
    </w:p>
    <w:p w:rsidR="001A4864" w:rsidRPr="0016597B" w:rsidRDefault="001A4864" w:rsidP="001A4864">
      <w:pPr>
        <w:pStyle w:val="Heading4"/>
        <w:rPr>
          <w:rFonts w:ascii="Times New Roman" w:hAnsi="Times New Roman" w:cs="Times New Roman"/>
          <w:sz w:val="24"/>
          <w:szCs w:val="24"/>
        </w:rPr>
      </w:pPr>
      <w:r w:rsidRPr="0016597B">
        <w:rPr>
          <w:rFonts w:ascii="Times New Roman" w:hAnsi="Times New Roman" w:cs="Times New Roman"/>
          <w:sz w:val="24"/>
          <w:szCs w:val="24"/>
        </w:rPr>
        <w:t xml:space="preserve">a. </w:t>
      </w:r>
      <w:r w:rsidRPr="0016597B">
        <w:rPr>
          <w:rStyle w:val="Strong"/>
          <w:rFonts w:ascii="Times New Roman" w:hAnsi="Times New Roman" w:cs="Times New Roman"/>
          <w:b w:val="0"/>
          <w:bCs w:val="0"/>
          <w:sz w:val="24"/>
          <w:szCs w:val="24"/>
        </w:rPr>
        <w:t>Loan-Level Data</w:t>
      </w:r>
    </w:p>
    <w:p w:rsidR="001A4864" w:rsidRPr="0016597B" w:rsidRDefault="001A4864" w:rsidP="001A4864">
      <w:pPr>
        <w:numPr>
          <w:ilvl w:val="0"/>
          <w:numId w:val="17"/>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Auto Loan ABS</w:t>
      </w:r>
      <w:r w:rsidRPr="0016597B">
        <w:rPr>
          <w:rFonts w:ascii="Times New Roman" w:hAnsi="Times New Roman" w:cs="Times New Roman"/>
          <w:sz w:val="24"/>
          <w:szCs w:val="24"/>
        </w:rPr>
        <w:t>: Loan ID, pool ID, origination details, vehicle and borrower attributes, performance data (delinquency, prepayment, recovery, IFRS 9 stage).</w:t>
      </w:r>
    </w:p>
    <w:p w:rsidR="001A4864" w:rsidRPr="0016597B" w:rsidRDefault="001A4864" w:rsidP="001A4864">
      <w:pPr>
        <w:numPr>
          <w:ilvl w:val="0"/>
          <w:numId w:val="17"/>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RMBS</w:t>
      </w:r>
      <w:r w:rsidRPr="0016597B">
        <w:rPr>
          <w:rFonts w:ascii="Times New Roman" w:hAnsi="Times New Roman" w:cs="Times New Roman"/>
          <w:sz w:val="24"/>
          <w:szCs w:val="24"/>
        </w:rPr>
        <w:t>: Property type, valuation, occupancy, DSCR, CERSAI registration, title insurance.</w:t>
      </w:r>
    </w:p>
    <w:p w:rsidR="001A4864" w:rsidRPr="0016597B" w:rsidRDefault="001A4864" w:rsidP="001A4864">
      <w:pPr>
        <w:numPr>
          <w:ilvl w:val="0"/>
          <w:numId w:val="17"/>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CLOs</w:t>
      </w:r>
      <w:r w:rsidRPr="0016597B">
        <w:rPr>
          <w:rFonts w:ascii="Times New Roman" w:hAnsi="Times New Roman" w:cs="Times New Roman"/>
          <w:sz w:val="24"/>
          <w:szCs w:val="24"/>
        </w:rPr>
        <w:t>: Obligor, industry, ratings, leverage, interest coverage, facility type.</w:t>
      </w:r>
    </w:p>
    <w:p w:rsidR="001A4864" w:rsidRPr="0016597B" w:rsidRDefault="001A4864" w:rsidP="001A4864">
      <w:pPr>
        <w:numPr>
          <w:ilvl w:val="0"/>
          <w:numId w:val="17"/>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Credit Card ABS</w:t>
      </w:r>
      <w:r w:rsidRPr="0016597B">
        <w:rPr>
          <w:rFonts w:ascii="Times New Roman" w:hAnsi="Times New Roman" w:cs="Times New Roman"/>
          <w:sz w:val="24"/>
          <w:szCs w:val="24"/>
        </w:rPr>
        <w:t>: Account-level revolving data, payment rates, utilisation.</w:t>
      </w:r>
    </w:p>
    <w:p w:rsidR="001A4864" w:rsidRPr="0016597B" w:rsidRDefault="001A4864" w:rsidP="001A4864">
      <w:pPr>
        <w:pStyle w:val="Heading4"/>
        <w:rPr>
          <w:rFonts w:ascii="Times New Roman" w:hAnsi="Times New Roman" w:cs="Times New Roman"/>
          <w:sz w:val="24"/>
          <w:szCs w:val="24"/>
        </w:rPr>
      </w:pPr>
      <w:r w:rsidRPr="0016597B">
        <w:rPr>
          <w:rFonts w:ascii="Times New Roman" w:hAnsi="Times New Roman" w:cs="Times New Roman"/>
          <w:sz w:val="24"/>
          <w:szCs w:val="24"/>
        </w:rPr>
        <w:t xml:space="preserve">b. </w:t>
      </w:r>
      <w:r w:rsidRPr="0016597B">
        <w:rPr>
          <w:rStyle w:val="Strong"/>
          <w:rFonts w:ascii="Times New Roman" w:hAnsi="Times New Roman" w:cs="Times New Roman"/>
          <w:b w:val="0"/>
          <w:bCs w:val="0"/>
          <w:sz w:val="24"/>
          <w:szCs w:val="24"/>
        </w:rPr>
        <w:t>Pool-Level Metrics</w:t>
      </w:r>
    </w:p>
    <w:p w:rsidR="001A4864" w:rsidRPr="0016597B" w:rsidRDefault="001A4864" w:rsidP="001A4864">
      <w:pPr>
        <w:numPr>
          <w:ilvl w:val="0"/>
          <w:numId w:val="18"/>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Weighted Average Coupon (WAC), Maturity (WAM), Loan Age (WALA), LTV, CIBIL Score, DTI.</w:t>
      </w:r>
    </w:p>
    <w:p w:rsidR="001A4864" w:rsidRPr="0016597B" w:rsidRDefault="001A4864" w:rsidP="001A4864">
      <w:pPr>
        <w:numPr>
          <w:ilvl w:val="0"/>
          <w:numId w:val="18"/>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Concentration metrics: Top 10 borrower, geographic, originator, vehicle make, HHI index.</w:t>
      </w:r>
    </w:p>
    <w:p w:rsidR="001A4864" w:rsidRPr="0016597B" w:rsidRDefault="001A4864" w:rsidP="001A4864">
      <w:pPr>
        <w:numPr>
          <w:ilvl w:val="0"/>
          <w:numId w:val="18"/>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Compliance and trigger tests: Overcollateralisation (OC), Interest Coverage (IC), delinquency and loss triggers.</w:t>
      </w:r>
    </w:p>
    <w:p w:rsidR="001A4864" w:rsidRPr="0016597B" w:rsidRDefault="001A4864" w:rsidP="001A4864">
      <w:pPr>
        <w:pStyle w:val="Heading4"/>
        <w:rPr>
          <w:rFonts w:ascii="Times New Roman" w:hAnsi="Times New Roman" w:cs="Times New Roman"/>
          <w:sz w:val="24"/>
          <w:szCs w:val="24"/>
        </w:rPr>
      </w:pPr>
      <w:r w:rsidRPr="0016597B">
        <w:rPr>
          <w:rFonts w:ascii="Times New Roman" w:hAnsi="Times New Roman" w:cs="Times New Roman"/>
          <w:sz w:val="24"/>
          <w:szCs w:val="24"/>
        </w:rPr>
        <w:t xml:space="preserve">c. </w:t>
      </w:r>
      <w:r w:rsidRPr="0016597B">
        <w:rPr>
          <w:rStyle w:val="Strong"/>
          <w:rFonts w:ascii="Times New Roman" w:hAnsi="Times New Roman" w:cs="Times New Roman"/>
          <w:b w:val="0"/>
          <w:bCs w:val="0"/>
          <w:sz w:val="24"/>
          <w:szCs w:val="24"/>
        </w:rPr>
        <w:t>Performance and Loss Analysis</w:t>
      </w:r>
    </w:p>
    <w:p w:rsidR="001A4864" w:rsidRPr="0016597B" w:rsidRDefault="001A4864" w:rsidP="001A4864">
      <w:pPr>
        <w:numPr>
          <w:ilvl w:val="0"/>
          <w:numId w:val="19"/>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Delinquency Analysis</w:t>
      </w:r>
      <w:r w:rsidRPr="0016597B">
        <w:rPr>
          <w:rFonts w:ascii="Times New Roman" w:hAnsi="Times New Roman" w:cs="Times New Roman"/>
          <w:sz w:val="24"/>
          <w:szCs w:val="24"/>
        </w:rPr>
        <w:t>: DPD buckets (Current, 1-29, 30-59, 60-89, 90+), roll rate matrices, chronic delinquency, cure rates.</w:t>
      </w:r>
    </w:p>
    <w:p w:rsidR="001A4864" w:rsidRPr="0016597B" w:rsidRDefault="001A4864" w:rsidP="001A4864">
      <w:pPr>
        <w:numPr>
          <w:ilvl w:val="0"/>
          <w:numId w:val="19"/>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lastRenderedPageBreak/>
        <w:t>Static Pool (Vintage) Analysis</w:t>
      </w:r>
      <w:r w:rsidRPr="0016597B">
        <w:rPr>
          <w:rFonts w:ascii="Times New Roman" w:hAnsi="Times New Roman" w:cs="Times New Roman"/>
          <w:sz w:val="24"/>
          <w:szCs w:val="24"/>
        </w:rPr>
        <w:t>: Cumulative net loss rates by origination cohort, loss timing curves, vintage comparison.</w:t>
      </w:r>
    </w:p>
    <w:p w:rsidR="001A4864" w:rsidRPr="0016597B" w:rsidRDefault="001A4864" w:rsidP="001A4864">
      <w:pPr>
        <w:numPr>
          <w:ilvl w:val="0"/>
          <w:numId w:val="19"/>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Dynamic Loss Analysis</w:t>
      </w:r>
      <w:r w:rsidRPr="0016597B">
        <w:rPr>
          <w:rFonts w:ascii="Times New Roman" w:hAnsi="Times New Roman" w:cs="Times New Roman"/>
          <w:sz w:val="24"/>
          <w:szCs w:val="24"/>
        </w:rPr>
        <w:t>: Monthly default and loss rates, prepayment speeds (SMM, CPR), recovery rates, excess spread.</w:t>
      </w:r>
    </w:p>
    <w:p w:rsidR="001A4864" w:rsidRPr="0016597B" w:rsidRDefault="001A4864" w:rsidP="001A4864">
      <w:pPr>
        <w:pStyle w:val="Heading3"/>
        <w:rPr>
          <w:rFonts w:ascii="Times New Roman" w:hAnsi="Times New Roman" w:cs="Times New Roman"/>
        </w:rPr>
      </w:pPr>
      <w:r w:rsidRPr="0016597B">
        <w:rPr>
          <w:rFonts w:ascii="Times New Roman" w:hAnsi="Times New Roman" w:cs="Times New Roman"/>
        </w:rPr>
        <w:t xml:space="preserve">4. </w:t>
      </w:r>
      <w:r w:rsidRPr="0016597B">
        <w:rPr>
          <w:rStyle w:val="Strong"/>
          <w:rFonts w:ascii="Times New Roman" w:hAnsi="Times New Roman" w:cs="Times New Roman"/>
          <w:b w:val="0"/>
          <w:bCs w:val="0"/>
        </w:rPr>
        <w:t>Regulatory and Rating Agency Requirements</w:t>
      </w:r>
    </w:p>
    <w:p w:rsidR="001A4864" w:rsidRPr="0016597B" w:rsidRDefault="001A4864" w:rsidP="001A4864">
      <w:pPr>
        <w:numPr>
          <w:ilvl w:val="0"/>
          <w:numId w:val="20"/>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RBI/SEBI</w:t>
      </w:r>
      <w:r w:rsidRPr="0016597B">
        <w:rPr>
          <w:rFonts w:ascii="Times New Roman" w:hAnsi="Times New Roman" w:cs="Times New Roman"/>
          <w:sz w:val="24"/>
          <w:szCs w:val="24"/>
        </w:rPr>
        <w:t>: Minimum Retention Requirement (MRR), Minimum Holding Period (MHP), enhanced disclosure, monthly reporting.</w:t>
      </w:r>
    </w:p>
    <w:p w:rsidR="001A4864" w:rsidRPr="0016597B" w:rsidRDefault="001A4864" w:rsidP="001A4864">
      <w:pPr>
        <w:numPr>
          <w:ilvl w:val="0"/>
          <w:numId w:val="20"/>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Rating Agencies (S&amp;P, Moody’s, Fitch, CRISIL, ICRA)</w:t>
      </w:r>
      <w:r w:rsidRPr="0016597B">
        <w:rPr>
          <w:rFonts w:ascii="Times New Roman" w:hAnsi="Times New Roman" w:cs="Times New Roman"/>
          <w:sz w:val="24"/>
          <w:szCs w:val="24"/>
        </w:rPr>
        <w:t>: Require granular data tapes, pool stratification, loss timing, stress scenario analysis, and compliance with specific models (e.g., S&amp;P LEVELS, Moody’s MILAN).</w:t>
      </w:r>
    </w:p>
    <w:p w:rsidR="001A4864" w:rsidRPr="0016597B" w:rsidRDefault="001A4864" w:rsidP="001A4864">
      <w:pPr>
        <w:numPr>
          <w:ilvl w:val="0"/>
          <w:numId w:val="20"/>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ESG Metrics</w:t>
      </w:r>
      <w:r w:rsidRPr="0016597B">
        <w:rPr>
          <w:rFonts w:ascii="Times New Roman" w:hAnsi="Times New Roman" w:cs="Times New Roman"/>
          <w:sz w:val="24"/>
          <w:szCs w:val="24"/>
        </w:rPr>
        <w:t>: Environmental (energy efficiency, EV share), social (affordable housing, inclusion), governance (compliance, complaint resolution).</w:t>
      </w:r>
    </w:p>
    <w:p w:rsidR="001A4864" w:rsidRPr="0016597B" w:rsidRDefault="001A4864" w:rsidP="001A4864">
      <w:pPr>
        <w:pStyle w:val="Heading3"/>
        <w:rPr>
          <w:rFonts w:ascii="Times New Roman" w:hAnsi="Times New Roman" w:cs="Times New Roman"/>
        </w:rPr>
      </w:pPr>
      <w:r w:rsidRPr="0016597B">
        <w:rPr>
          <w:rFonts w:ascii="Times New Roman" w:hAnsi="Times New Roman" w:cs="Times New Roman"/>
        </w:rPr>
        <w:t xml:space="preserve">5. </w:t>
      </w:r>
      <w:r w:rsidRPr="0016597B">
        <w:rPr>
          <w:rStyle w:val="Strong"/>
          <w:rFonts w:ascii="Times New Roman" w:hAnsi="Times New Roman" w:cs="Times New Roman"/>
          <w:b w:val="0"/>
          <w:bCs w:val="0"/>
        </w:rPr>
        <w:t>Analytical Framework and DAX Examples</w:t>
      </w:r>
    </w:p>
    <w:p w:rsidR="001A4864" w:rsidRPr="0016597B" w:rsidRDefault="001A4864" w:rsidP="001A4864">
      <w:pPr>
        <w:numPr>
          <w:ilvl w:val="0"/>
          <w:numId w:val="21"/>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Weighted Average LTV</w:t>
      </w:r>
      <w:r w:rsidRPr="0016597B">
        <w:rPr>
          <w:rFonts w:ascii="Times New Roman" w:hAnsi="Times New Roman" w:cs="Times New Roman"/>
          <w:sz w:val="24"/>
          <w:szCs w:val="24"/>
        </w:rPr>
        <w:t xml:space="preserve">: </w:t>
      </w:r>
      <w:r w:rsidRPr="0016597B">
        <w:rPr>
          <w:rStyle w:val="HTMLCode"/>
          <w:rFonts w:ascii="Times New Roman" w:hAnsi="Times New Roman" w:cs="Times New Roman"/>
          <w:sz w:val="24"/>
          <w:szCs w:val="24"/>
        </w:rPr>
        <w:t>DIVIDE(SUMX(Loans, Loans[CurrentBalance] * Loans[LTV_Ratio]), SUM(Loans[CurrentBalance]))</w:t>
      </w:r>
    </w:p>
    <w:p w:rsidR="001A4864" w:rsidRPr="0016597B" w:rsidRDefault="001A4864" w:rsidP="001A4864">
      <w:pPr>
        <w:numPr>
          <w:ilvl w:val="0"/>
          <w:numId w:val="21"/>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DPD Rate by Bucket</w:t>
      </w:r>
      <w:r w:rsidRPr="0016597B">
        <w:rPr>
          <w:rFonts w:ascii="Times New Roman" w:hAnsi="Times New Roman" w:cs="Times New Roman"/>
          <w:sz w:val="24"/>
          <w:szCs w:val="24"/>
        </w:rPr>
        <w:t xml:space="preserve">: </w:t>
      </w:r>
      <w:r w:rsidRPr="0016597B">
        <w:rPr>
          <w:rStyle w:val="HTMLCode"/>
          <w:rFonts w:ascii="Times New Roman" w:hAnsi="Times New Roman" w:cs="Times New Roman"/>
          <w:sz w:val="24"/>
          <w:szCs w:val="24"/>
        </w:rPr>
        <w:t>DIVIDE([DPD Balance], CALCULATE([DPD Balance], REMOVEFILTERS(FactLoanPerformance[DPD_Bucket])))</w:t>
      </w:r>
    </w:p>
    <w:p w:rsidR="001A4864" w:rsidRPr="0016597B" w:rsidRDefault="001A4864" w:rsidP="001A4864">
      <w:pPr>
        <w:numPr>
          <w:ilvl w:val="0"/>
          <w:numId w:val="21"/>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Roll Rate Calculation</w:t>
      </w:r>
      <w:r w:rsidRPr="0016597B">
        <w:rPr>
          <w:rFonts w:ascii="Times New Roman" w:hAnsi="Times New Roman" w:cs="Times New Roman"/>
          <w:sz w:val="24"/>
          <w:szCs w:val="24"/>
        </w:rPr>
        <w:t>: Tracks migration between DPD buckets month-over-month for early warning.</w:t>
      </w:r>
    </w:p>
    <w:p w:rsidR="001A4864" w:rsidRPr="0016597B" w:rsidRDefault="001A4864" w:rsidP="001A4864">
      <w:pPr>
        <w:numPr>
          <w:ilvl w:val="0"/>
          <w:numId w:val="21"/>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IFRS 9 ECL</w:t>
      </w:r>
      <w:r w:rsidRPr="0016597B">
        <w:rPr>
          <w:rFonts w:ascii="Times New Roman" w:hAnsi="Times New Roman" w:cs="Times New Roman"/>
          <w:sz w:val="24"/>
          <w:szCs w:val="24"/>
        </w:rPr>
        <w:t>: Stage classification, PD/LGD/EAD computation, lifetime vs 12-month ECL.</w:t>
      </w:r>
    </w:p>
    <w:p w:rsidR="001A4864" w:rsidRPr="0016597B" w:rsidRDefault="001A4864" w:rsidP="001A4864">
      <w:pPr>
        <w:numPr>
          <w:ilvl w:val="0"/>
          <w:numId w:val="21"/>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Trigger Testing</w:t>
      </w:r>
      <w:r w:rsidRPr="0016597B">
        <w:rPr>
          <w:rFonts w:ascii="Times New Roman" w:hAnsi="Times New Roman" w:cs="Times New Roman"/>
          <w:sz w:val="24"/>
          <w:szCs w:val="24"/>
        </w:rPr>
        <w:t>: Automated PASS/FAIL status for OC, IC, delinquency, and loss triggers.</w:t>
      </w:r>
    </w:p>
    <w:p w:rsidR="001A4864" w:rsidRPr="0016597B" w:rsidRDefault="001A4864" w:rsidP="001A4864">
      <w:pPr>
        <w:pStyle w:val="Heading3"/>
        <w:rPr>
          <w:rFonts w:ascii="Times New Roman" w:hAnsi="Times New Roman" w:cs="Times New Roman"/>
        </w:rPr>
      </w:pPr>
      <w:r w:rsidRPr="0016597B">
        <w:rPr>
          <w:rFonts w:ascii="Times New Roman" w:hAnsi="Times New Roman" w:cs="Times New Roman"/>
        </w:rPr>
        <w:t xml:space="preserve">6. </w:t>
      </w:r>
      <w:r w:rsidRPr="0016597B">
        <w:rPr>
          <w:rStyle w:val="Strong"/>
          <w:rFonts w:ascii="Times New Roman" w:hAnsi="Times New Roman" w:cs="Times New Roman"/>
          <w:b w:val="0"/>
          <w:bCs w:val="0"/>
        </w:rPr>
        <w:t>Case Studies and Real-World Lessons</w:t>
      </w:r>
    </w:p>
    <w:p w:rsidR="001A4864" w:rsidRPr="0016597B" w:rsidRDefault="001A4864" w:rsidP="001A4864">
      <w:pPr>
        <w:numPr>
          <w:ilvl w:val="0"/>
          <w:numId w:val="22"/>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2008 Global Financial Crisis</w:t>
      </w:r>
      <w:r w:rsidRPr="0016597B">
        <w:rPr>
          <w:rFonts w:ascii="Times New Roman" w:hAnsi="Times New Roman" w:cs="Times New Roman"/>
          <w:sz w:val="24"/>
          <w:szCs w:val="24"/>
        </w:rPr>
        <w:t>: Highlighted the need for vintage analysis, roll rate monitoring, and concentration risk reporting.</w:t>
      </w:r>
    </w:p>
    <w:p w:rsidR="001A4864" w:rsidRPr="0016597B" w:rsidRDefault="001A4864" w:rsidP="001A4864">
      <w:pPr>
        <w:numPr>
          <w:ilvl w:val="0"/>
          <w:numId w:val="22"/>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IL&amp;FS Crisis (India, 2018)</w:t>
      </w:r>
      <w:r w:rsidRPr="0016597B">
        <w:rPr>
          <w:rFonts w:ascii="Times New Roman" w:hAnsi="Times New Roman" w:cs="Times New Roman"/>
          <w:sz w:val="24"/>
          <w:szCs w:val="24"/>
        </w:rPr>
        <w:t>: Emphasised obligor concentration, real-time collection monitoring, and regulatory compliance.</w:t>
      </w:r>
    </w:p>
    <w:p w:rsidR="001A4864" w:rsidRPr="0016597B" w:rsidRDefault="001A4864" w:rsidP="001A4864">
      <w:pPr>
        <w:pStyle w:val="Heading3"/>
        <w:rPr>
          <w:rFonts w:ascii="Times New Roman" w:hAnsi="Times New Roman" w:cs="Times New Roman"/>
        </w:rPr>
      </w:pPr>
      <w:r w:rsidRPr="0016597B">
        <w:rPr>
          <w:rFonts w:ascii="Times New Roman" w:hAnsi="Times New Roman" w:cs="Times New Roman"/>
        </w:rPr>
        <w:t xml:space="preserve">7. </w:t>
      </w:r>
      <w:r w:rsidRPr="0016597B">
        <w:rPr>
          <w:rStyle w:val="Strong"/>
          <w:rFonts w:ascii="Times New Roman" w:hAnsi="Times New Roman" w:cs="Times New Roman"/>
          <w:b w:val="0"/>
          <w:bCs w:val="0"/>
        </w:rPr>
        <w:t>Best Practices and Recommendations</w:t>
      </w:r>
    </w:p>
    <w:p w:rsidR="001A4864" w:rsidRPr="0016597B" w:rsidRDefault="001A4864" w:rsidP="001A4864">
      <w:pPr>
        <w:numPr>
          <w:ilvl w:val="0"/>
          <w:numId w:val="23"/>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Data Quality</w:t>
      </w:r>
      <w:r w:rsidRPr="0016597B">
        <w:rPr>
          <w:rFonts w:ascii="Times New Roman" w:hAnsi="Times New Roman" w:cs="Times New Roman"/>
          <w:sz w:val="24"/>
          <w:szCs w:val="24"/>
        </w:rPr>
        <w:t>: Ensure completeness and consistency of loan-level data; use DAX validation and error handling.</w:t>
      </w:r>
    </w:p>
    <w:p w:rsidR="001A4864" w:rsidRPr="0016597B" w:rsidRDefault="001A4864" w:rsidP="001A4864">
      <w:pPr>
        <w:numPr>
          <w:ilvl w:val="0"/>
          <w:numId w:val="23"/>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Documentation</w:t>
      </w:r>
      <w:r w:rsidRPr="0016597B">
        <w:rPr>
          <w:rFonts w:ascii="Times New Roman" w:hAnsi="Times New Roman" w:cs="Times New Roman"/>
          <w:sz w:val="24"/>
          <w:szCs w:val="24"/>
        </w:rPr>
        <w:t>: Maintain a DAX measure dictionary with business purpose and formulas.</w:t>
      </w:r>
    </w:p>
    <w:p w:rsidR="001A4864" w:rsidRPr="0016597B" w:rsidRDefault="001A4864" w:rsidP="001A4864">
      <w:pPr>
        <w:numPr>
          <w:ilvl w:val="0"/>
          <w:numId w:val="23"/>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Automation</w:t>
      </w:r>
      <w:r w:rsidRPr="0016597B">
        <w:rPr>
          <w:rFonts w:ascii="Times New Roman" w:hAnsi="Times New Roman" w:cs="Times New Roman"/>
          <w:sz w:val="24"/>
          <w:szCs w:val="24"/>
        </w:rPr>
        <w:t>: Use DAX to automate investor reporting, regulatory compliance, and early-warning alerts.</w:t>
      </w:r>
    </w:p>
    <w:p w:rsidR="001A4864" w:rsidRPr="0016597B" w:rsidRDefault="001A4864" w:rsidP="001A4864">
      <w:pPr>
        <w:numPr>
          <w:ilvl w:val="0"/>
          <w:numId w:val="23"/>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Performance</w:t>
      </w:r>
      <w:r w:rsidRPr="0016597B">
        <w:rPr>
          <w:rFonts w:ascii="Times New Roman" w:hAnsi="Times New Roman" w:cs="Times New Roman"/>
          <w:sz w:val="24"/>
          <w:szCs w:val="24"/>
        </w:rPr>
        <w:t>: Optimise all DAX measures for speed and accuracy; validate against Excel crosschecks.</w:t>
      </w:r>
    </w:p>
    <w:p w:rsidR="001A4864" w:rsidRPr="0016597B" w:rsidRDefault="001A4864" w:rsidP="001A4864">
      <w:pPr>
        <w:numPr>
          <w:ilvl w:val="0"/>
          <w:numId w:val="23"/>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lastRenderedPageBreak/>
        <w:t>Business Context</w:t>
      </w:r>
      <w:r w:rsidRPr="0016597B">
        <w:rPr>
          <w:rFonts w:ascii="Times New Roman" w:hAnsi="Times New Roman" w:cs="Times New Roman"/>
          <w:sz w:val="24"/>
          <w:szCs w:val="24"/>
        </w:rPr>
        <w:t>: Link technical analytics to business impact for stakeholders (investors, regulators, management).</w:t>
      </w:r>
    </w:p>
    <w:p w:rsidR="001A4864" w:rsidRPr="0016597B" w:rsidRDefault="001A4864" w:rsidP="001A4864">
      <w:pPr>
        <w:pStyle w:val="Heading3"/>
        <w:rPr>
          <w:rFonts w:ascii="Times New Roman" w:hAnsi="Times New Roman" w:cs="Times New Roman"/>
        </w:rPr>
      </w:pPr>
      <w:r w:rsidRPr="0016597B">
        <w:rPr>
          <w:rFonts w:ascii="Times New Roman" w:hAnsi="Times New Roman" w:cs="Times New Roman"/>
        </w:rPr>
        <w:t xml:space="preserve">8. </w:t>
      </w:r>
      <w:r w:rsidRPr="0016597B">
        <w:rPr>
          <w:rStyle w:val="Strong"/>
          <w:rFonts w:ascii="Times New Roman" w:hAnsi="Times New Roman" w:cs="Times New Roman"/>
          <w:b w:val="0"/>
          <w:bCs w:val="0"/>
        </w:rPr>
        <w:t>Project Deliverables</w:t>
      </w:r>
    </w:p>
    <w:p w:rsidR="001A4864" w:rsidRPr="0016597B" w:rsidRDefault="001A4864" w:rsidP="001A4864">
      <w:pPr>
        <w:numPr>
          <w:ilvl w:val="0"/>
          <w:numId w:val="24"/>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Power BI Model</w:t>
      </w:r>
      <w:r w:rsidRPr="0016597B">
        <w:rPr>
          <w:rFonts w:ascii="Times New Roman" w:hAnsi="Times New Roman" w:cs="Times New Roman"/>
          <w:sz w:val="24"/>
          <w:szCs w:val="24"/>
        </w:rPr>
        <w:t>: Star schema,  DAX measures, 8+ dashboards, RLS implemented.</w:t>
      </w:r>
    </w:p>
    <w:p w:rsidR="001A4864" w:rsidRPr="0016597B" w:rsidRDefault="001A4864" w:rsidP="001A4864">
      <w:pPr>
        <w:numPr>
          <w:ilvl w:val="0"/>
          <w:numId w:val="24"/>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Excel Workbooks</w:t>
      </w:r>
      <w:r w:rsidRPr="0016597B">
        <w:rPr>
          <w:rFonts w:ascii="Times New Roman" w:hAnsi="Times New Roman" w:cs="Times New Roman"/>
          <w:sz w:val="24"/>
          <w:szCs w:val="24"/>
        </w:rPr>
        <w:t>: ECL crosscheck, waterfall validation, DAX dictionary.</w:t>
      </w:r>
    </w:p>
    <w:p w:rsidR="001A4864" w:rsidRPr="0016597B" w:rsidRDefault="001A4864" w:rsidP="001A4864">
      <w:pPr>
        <w:numPr>
          <w:ilvl w:val="0"/>
          <w:numId w:val="24"/>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Presentation</w:t>
      </w:r>
      <w:r w:rsidRPr="0016597B">
        <w:rPr>
          <w:rFonts w:ascii="Times New Roman" w:hAnsi="Times New Roman" w:cs="Times New Roman"/>
          <w:sz w:val="24"/>
          <w:szCs w:val="24"/>
        </w:rPr>
        <w:t>: 10 slides summarising key findings and dashboards.</w:t>
      </w:r>
    </w:p>
    <w:p w:rsidR="001A4864" w:rsidRPr="0016597B" w:rsidRDefault="001A4864" w:rsidP="001A4864">
      <w:pPr>
        <w:numPr>
          <w:ilvl w:val="0"/>
          <w:numId w:val="24"/>
        </w:numPr>
        <w:spacing w:before="100" w:beforeAutospacing="1" w:after="100" w:afterAutospacing="1" w:line="240" w:lineRule="auto"/>
        <w:rPr>
          <w:rFonts w:ascii="Times New Roman" w:hAnsi="Times New Roman" w:cs="Times New Roman"/>
          <w:sz w:val="24"/>
          <w:szCs w:val="24"/>
        </w:rPr>
      </w:pPr>
      <w:r w:rsidRPr="0016597B">
        <w:rPr>
          <w:rStyle w:val="Strong"/>
          <w:rFonts w:ascii="Times New Roman" w:hAnsi="Times New Roman" w:cs="Times New Roman"/>
          <w:sz w:val="24"/>
          <w:szCs w:val="24"/>
        </w:rPr>
        <w:t>GitHub Repository</w:t>
      </w:r>
      <w:r w:rsidRPr="0016597B">
        <w:rPr>
          <w:rFonts w:ascii="Times New Roman" w:hAnsi="Times New Roman" w:cs="Times New Roman"/>
          <w:sz w:val="24"/>
          <w:szCs w:val="24"/>
        </w:rPr>
        <w:t>: All code, documentation, and models versioned and transferred as per protocol.</w:t>
      </w:r>
    </w:p>
    <w:p w:rsidR="0016597B" w:rsidRPr="0016597B" w:rsidRDefault="0016597B" w:rsidP="0016597B">
      <w:pPr>
        <w:pStyle w:val="pdq2pgselectionanchorcontainer"/>
        <w:rPr>
          <w:color w:val="00566E" w:themeColor="accent4" w:themeShade="80"/>
        </w:rPr>
      </w:pPr>
      <w:r w:rsidRPr="0016597B">
        <w:rPr>
          <w:rStyle w:val="Strong"/>
          <w:rFonts w:eastAsiaTheme="majorEastAsia"/>
          <w:color w:val="00566E" w:themeColor="accent4" w:themeShade="80"/>
        </w:rPr>
        <w:t>Dashboard Implementation</w:t>
      </w:r>
    </w:p>
    <w:p w:rsidR="0016597B" w:rsidRPr="0016597B" w:rsidRDefault="0016597B" w:rsidP="0016597B">
      <w:pPr>
        <w:pStyle w:val="NormalWeb"/>
      </w:pPr>
      <w:r w:rsidRPr="0016597B">
        <w:t>An interactive Power BI dashboard was developed using the provided auto loan securitisation dataset. The dashboard contains KPI cards, portfolio analysis charts, borrower analysis visuals, and interactive slicers to enable dynamic filtering of loan portfolios.</w:t>
      </w:r>
    </w:p>
    <w:p w:rsidR="0016597B" w:rsidRPr="0016597B" w:rsidRDefault="0016597B" w:rsidP="0016597B">
      <w:pPr>
        <w:rPr>
          <w:rFonts w:ascii="Times New Roman" w:hAnsi="Times New Roman" w:cs="Times New Roman"/>
          <w:sz w:val="24"/>
          <w:szCs w:val="24"/>
        </w:rPr>
      </w:pPr>
    </w:p>
    <w:p w:rsidR="0016597B" w:rsidRPr="0016597B" w:rsidRDefault="0016597B" w:rsidP="0016597B">
      <w:pPr>
        <w:pStyle w:val="Heading3"/>
        <w:rPr>
          <w:rFonts w:ascii="Times New Roman" w:hAnsi="Times New Roman" w:cs="Times New Roman"/>
        </w:rPr>
      </w:pPr>
      <w:r w:rsidRPr="0016597B">
        <w:rPr>
          <w:rFonts w:ascii="Times New Roman" w:hAnsi="Times New Roman" w:cs="Times New Roman"/>
        </w:rPr>
        <w:t>2. KPI Summary</w:t>
      </w:r>
    </w:p>
    <w:p w:rsidR="0016597B" w:rsidRPr="0016597B" w:rsidRDefault="0016597B" w:rsidP="0016597B">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3721"/>
      </w:tblGrid>
      <w:tr w:rsidR="0016597B" w:rsidRPr="0016597B" w:rsidTr="0016597B">
        <w:trPr>
          <w:tblHeader/>
          <w:tblCellSpacing w:w="15" w:type="dxa"/>
        </w:trPr>
        <w:tc>
          <w:tcPr>
            <w:tcW w:w="0" w:type="auto"/>
            <w:vAlign w:val="center"/>
            <w:hideMark/>
          </w:tcPr>
          <w:p w:rsidR="0016597B" w:rsidRPr="0016597B" w:rsidRDefault="0016597B">
            <w:pPr>
              <w:jc w:val="center"/>
              <w:rPr>
                <w:rFonts w:ascii="Times New Roman" w:hAnsi="Times New Roman" w:cs="Times New Roman"/>
                <w:b/>
                <w:bCs/>
                <w:sz w:val="24"/>
                <w:szCs w:val="24"/>
              </w:rPr>
            </w:pPr>
            <w:r w:rsidRPr="0016597B">
              <w:rPr>
                <w:rFonts w:ascii="Times New Roman" w:hAnsi="Times New Roman" w:cs="Times New Roman"/>
                <w:b/>
                <w:bCs/>
                <w:sz w:val="24"/>
                <w:szCs w:val="24"/>
              </w:rPr>
              <w:t>KPI</w:t>
            </w:r>
          </w:p>
        </w:tc>
        <w:tc>
          <w:tcPr>
            <w:tcW w:w="0" w:type="auto"/>
            <w:vAlign w:val="center"/>
            <w:hideMark/>
          </w:tcPr>
          <w:p w:rsidR="0016597B" w:rsidRPr="0016597B" w:rsidRDefault="0016597B">
            <w:pPr>
              <w:jc w:val="center"/>
              <w:rPr>
                <w:rFonts w:ascii="Times New Roman" w:hAnsi="Times New Roman" w:cs="Times New Roman"/>
                <w:b/>
                <w:bCs/>
                <w:sz w:val="24"/>
                <w:szCs w:val="24"/>
              </w:rPr>
            </w:pPr>
            <w:r w:rsidRPr="0016597B">
              <w:rPr>
                <w:rFonts w:ascii="Times New Roman" w:hAnsi="Times New Roman" w:cs="Times New Roman"/>
                <w:b/>
                <w:bCs/>
                <w:sz w:val="24"/>
                <w:szCs w:val="24"/>
              </w:rPr>
              <w:t>Description</w:t>
            </w:r>
          </w:p>
        </w:tc>
      </w:tr>
      <w:tr w:rsidR="0016597B" w:rsidRPr="0016597B" w:rsidTr="0016597B">
        <w:trPr>
          <w:tblCellSpacing w:w="15" w:type="dxa"/>
        </w:trPr>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Total Portfolio Balance</w:t>
            </w:r>
          </w:p>
        </w:tc>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Total outstanding loan balance</w:t>
            </w:r>
          </w:p>
        </w:tc>
      </w:tr>
      <w:tr w:rsidR="0016597B" w:rsidRPr="0016597B" w:rsidTr="0016597B">
        <w:trPr>
          <w:tblCellSpacing w:w="15" w:type="dxa"/>
        </w:trPr>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Total EAD</w:t>
            </w:r>
          </w:p>
        </w:tc>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Total Exposure at Default</w:t>
            </w:r>
          </w:p>
        </w:tc>
      </w:tr>
      <w:tr w:rsidR="0016597B" w:rsidRPr="0016597B" w:rsidTr="0016597B">
        <w:trPr>
          <w:tblCellSpacing w:w="15" w:type="dxa"/>
        </w:trPr>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Average Interest Rate</w:t>
            </w:r>
          </w:p>
        </w:tc>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Average interest charged across loans</w:t>
            </w:r>
          </w:p>
        </w:tc>
      </w:tr>
      <w:tr w:rsidR="0016597B" w:rsidRPr="0016597B" w:rsidTr="0016597B">
        <w:trPr>
          <w:tblCellSpacing w:w="15" w:type="dxa"/>
        </w:trPr>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Average CIBIL Score</w:t>
            </w:r>
          </w:p>
        </w:tc>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Average borrower credit score</w:t>
            </w:r>
          </w:p>
        </w:tc>
      </w:tr>
      <w:tr w:rsidR="0016597B" w:rsidRPr="0016597B" w:rsidTr="0016597B">
        <w:trPr>
          <w:tblCellSpacing w:w="15" w:type="dxa"/>
        </w:trPr>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Average DTI Ratio</w:t>
            </w:r>
          </w:p>
        </w:tc>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Average debt-to-income ratio</w:t>
            </w:r>
          </w:p>
        </w:tc>
      </w:tr>
      <w:tr w:rsidR="0016597B" w:rsidRPr="0016597B" w:rsidTr="0016597B">
        <w:trPr>
          <w:tblCellSpacing w:w="15" w:type="dxa"/>
        </w:trPr>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Total Borrowers</w:t>
            </w:r>
          </w:p>
        </w:tc>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Number of borrowers</w:t>
            </w:r>
          </w:p>
        </w:tc>
      </w:tr>
      <w:tr w:rsidR="0016597B" w:rsidRPr="0016597B" w:rsidTr="0016597B">
        <w:trPr>
          <w:tblCellSpacing w:w="15" w:type="dxa"/>
        </w:trPr>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ECL Provision</w:t>
            </w:r>
          </w:p>
        </w:tc>
        <w:tc>
          <w:tcPr>
            <w:tcW w:w="0" w:type="auto"/>
            <w:vAlign w:val="center"/>
            <w:hideMark/>
          </w:tcPr>
          <w:p w:rsidR="0016597B" w:rsidRPr="0016597B" w:rsidRDefault="0016597B">
            <w:pPr>
              <w:rPr>
                <w:rFonts w:ascii="Times New Roman" w:hAnsi="Times New Roman" w:cs="Times New Roman"/>
                <w:sz w:val="24"/>
                <w:szCs w:val="24"/>
              </w:rPr>
            </w:pPr>
            <w:r w:rsidRPr="0016597B">
              <w:rPr>
                <w:rFonts w:ascii="Times New Roman" w:hAnsi="Times New Roman" w:cs="Times New Roman"/>
                <w:sz w:val="24"/>
                <w:szCs w:val="24"/>
              </w:rPr>
              <w:t>Expected Credit Loss</w:t>
            </w:r>
          </w:p>
        </w:tc>
      </w:tr>
    </w:tbl>
    <w:p w:rsidR="0016597B" w:rsidRPr="0016597B" w:rsidRDefault="0016597B" w:rsidP="0016597B">
      <w:pPr>
        <w:rPr>
          <w:rFonts w:ascii="Times New Roman" w:hAnsi="Times New Roman" w:cs="Times New Roman"/>
          <w:sz w:val="24"/>
          <w:szCs w:val="24"/>
        </w:rPr>
      </w:pPr>
      <w:r w:rsidRPr="0016597B">
        <w:rPr>
          <w:rFonts w:ascii="Times New Roman" w:hAnsi="Times New Roman" w:cs="Times New Roman"/>
          <w:sz w:val="24"/>
          <w:szCs w:val="24"/>
        </w:rPr>
        <w:lastRenderedPageBreak/>
        <w:pict>
          <v:rect id="_x0000_i1025" style="width:0;height:1.5pt" o:hralign="center" o:hrstd="t" o:hr="t" fillcolor="#a0a0a0" stroked="f"/>
        </w:pict>
      </w:r>
    </w:p>
    <w:p w:rsidR="0016597B" w:rsidRPr="0016597B" w:rsidRDefault="0016597B" w:rsidP="0016597B">
      <w:pPr>
        <w:pStyle w:val="Heading3"/>
        <w:rPr>
          <w:rFonts w:ascii="Times New Roman" w:hAnsi="Times New Roman" w:cs="Times New Roman"/>
        </w:rPr>
      </w:pPr>
      <w:r w:rsidRPr="0016597B">
        <w:rPr>
          <w:rFonts w:ascii="Times New Roman" w:hAnsi="Times New Roman" w:cs="Times New Roman"/>
        </w:rPr>
        <w:t>3. Dashboard Features</w:t>
      </w:r>
    </w:p>
    <w:p w:rsidR="0016597B" w:rsidRPr="0016597B" w:rsidRDefault="0016597B" w:rsidP="0016597B">
      <w:pPr>
        <w:numPr>
          <w:ilvl w:val="0"/>
          <w:numId w:val="25"/>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KPI Cards </w:t>
      </w:r>
    </w:p>
    <w:p w:rsidR="0016597B" w:rsidRPr="0016597B" w:rsidRDefault="0016597B" w:rsidP="0016597B">
      <w:pPr>
        <w:numPr>
          <w:ilvl w:val="0"/>
          <w:numId w:val="25"/>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Clustered Column Charts </w:t>
      </w:r>
    </w:p>
    <w:p w:rsidR="0016597B" w:rsidRPr="0016597B" w:rsidRDefault="0016597B" w:rsidP="0016597B">
      <w:pPr>
        <w:numPr>
          <w:ilvl w:val="0"/>
          <w:numId w:val="25"/>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Slicers </w:t>
      </w:r>
    </w:p>
    <w:p w:rsidR="0016597B" w:rsidRPr="0016597B" w:rsidRDefault="0016597B" w:rsidP="0016597B">
      <w:pPr>
        <w:numPr>
          <w:ilvl w:val="0"/>
          <w:numId w:val="25"/>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Cross-filtering </w:t>
      </w:r>
    </w:p>
    <w:p w:rsidR="0016597B" w:rsidRPr="0016597B" w:rsidRDefault="0016597B" w:rsidP="0016597B">
      <w:pPr>
        <w:numPr>
          <w:ilvl w:val="0"/>
          <w:numId w:val="25"/>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Interactive analysis </w:t>
      </w:r>
    </w:p>
    <w:p w:rsidR="0016597B" w:rsidRPr="0016597B" w:rsidRDefault="0016597B" w:rsidP="0016597B">
      <w:pPr>
        <w:spacing w:before="0" w:after="0"/>
        <w:rPr>
          <w:rFonts w:ascii="Times New Roman" w:hAnsi="Times New Roman" w:cs="Times New Roman"/>
          <w:sz w:val="24"/>
          <w:szCs w:val="24"/>
        </w:rPr>
      </w:pPr>
      <w:r w:rsidRPr="0016597B">
        <w:rPr>
          <w:rFonts w:ascii="Times New Roman" w:hAnsi="Times New Roman" w:cs="Times New Roman"/>
          <w:sz w:val="24"/>
          <w:szCs w:val="24"/>
        </w:rPr>
        <w:pict>
          <v:rect id="_x0000_i1026" style="width:0;height:1.5pt" o:hralign="center" o:hrstd="t" o:hr="t" fillcolor="#a0a0a0" stroked="f"/>
        </w:pict>
      </w:r>
    </w:p>
    <w:p w:rsidR="0016597B" w:rsidRPr="0016597B" w:rsidRDefault="0016597B" w:rsidP="0016597B">
      <w:pPr>
        <w:pStyle w:val="Heading3"/>
        <w:rPr>
          <w:rFonts w:ascii="Times New Roman" w:hAnsi="Times New Roman" w:cs="Times New Roman"/>
        </w:rPr>
      </w:pPr>
      <w:r w:rsidRPr="0016597B">
        <w:rPr>
          <w:rFonts w:ascii="Times New Roman" w:hAnsi="Times New Roman" w:cs="Times New Roman"/>
        </w:rPr>
        <w:t>4. Business Insights</w:t>
      </w:r>
    </w:p>
    <w:p w:rsidR="0016597B" w:rsidRPr="0016597B" w:rsidRDefault="0016597B" w:rsidP="0016597B">
      <w:pPr>
        <w:numPr>
          <w:ilvl w:val="0"/>
          <w:numId w:val="26"/>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Most loans belong to IFRS Stage 1. </w:t>
      </w:r>
    </w:p>
    <w:p w:rsidR="0016597B" w:rsidRPr="0016597B" w:rsidRDefault="0016597B" w:rsidP="0016597B">
      <w:pPr>
        <w:numPr>
          <w:ilvl w:val="0"/>
          <w:numId w:val="26"/>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Borrowers with higher DPD buckets show increased portfolio risk. </w:t>
      </w:r>
    </w:p>
    <w:p w:rsidR="0016597B" w:rsidRPr="0016597B" w:rsidRDefault="0016597B" w:rsidP="0016597B">
      <w:pPr>
        <w:numPr>
          <w:ilvl w:val="0"/>
          <w:numId w:val="26"/>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Higher CIBIL scores generally indicate lower default risk. </w:t>
      </w:r>
    </w:p>
    <w:p w:rsidR="0016597B" w:rsidRPr="0016597B" w:rsidRDefault="0016597B" w:rsidP="0016597B">
      <w:pPr>
        <w:numPr>
          <w:ilvl w:val="0"/>
          <w:numId w:val="26"/>
        </w:numPr>
        <w:spacing w:before="100" w:beforeAutospacing="1" w:after="100" w:afterAutospacing="1" w:line="240" w:lineRule="auto"/>
        <w:rPr>
          <w:rFonts w:ascii="Times New Roman" w:hAnsi="Times New Roman" w:cs="Times New Roman"/>
          <w:sz w:val="24"/>
          <w:szCs w:val="24"/>
        </w:rPr>
      </w:pPr>
      <w:r w:rsidRPr="0016597B">
        <w:rPr>
          <w:rFonts w:ascii="Times New Roman" w:hAnsi="Times New Roman" w:cs="Times New Roman"/>
          <w:sz w:val="24"/>
          <w:szCs w:val="24"/>
        </w:rPr>
        <w:t xml:space="preserve">Interactive slicers allow portfolio analysis by employment type, vehicle type, and insurance type. </w:t>
      </w:r>
    </w:p>
    <w:p w:rsidR="0016597B" w:rsidRPr="0016597B" w:rsidRDefault="0016597B" w:rsidP="0016597B">
      <w:pPr>
        <w:spacing w:before="0" w:after="0"/>
        <w:rPr>
          <w:rFonts w:ascii="Times New Roman" w:hAnsi="Times New Roman" w:cs="Times New Roman"/>
          <w:sz w:val="24"/>
          <w:szCs w:val="24"/>
        </w:rPr>
      </w:pPr>
      <w:r w:rsidRPr="0016597B">
        <w:rPr>
          <w:rFonts w:ascii="Times New Roman" w:hAnsi="Times New Roman" w:cs="Times New Roman"/>
          <w:sz w:val="24"/>
          <w:szCs w:val="24"/>
        </w:rPr>
        <w:pict>
          <v:rect id="_x0000_i1027" style="width:0;height:1.5pt" o:hralign="center" o:hrstd="t" o:hr="t" fillcolor="#a0a0a0" stroked="f"/>
        </w:pict>
      </w:r>
    </w:p>
    <w:p w:rsidR="0016597B" w:rsidRDefault="0016597B" w:rsidP="0016597B">
      <w:pPr>
        <w:pStyle w:val="Heading3"/>
        <w:rPr>
          <w:rFonts w:ascii="Times New Roman" w:hAnsi="Times New Roman" w:cs="Times New Roman"/>
        </w:rPr>
      </w:pPr>
      <w:r>
        <w:rPr>
          <w:rFonts w:ascii="Times New Roman" w:hAnsi="Times New Roman" w:cs="Times New Roman"/>
        </w:rPr>
        <w:t>5. Dash Board</w:t>
      </w:r>
    </w:p>
    <w:p w:rsidR="0016597B" w:rsidRDefault="0045636B" w:rsidP="0016597B">
      <w:r w:rsidRPr="0045636B">
        <w:drawing>
          <wp:inline distT="0" distB="0" distL="0" distR="0" wp14:anchorId="227E1FE6" wp14:editId="68F2A1D4">
            <wp:extent cx="5486400" cy="31210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121025"/>
                    </a:xfrm>
                    <a:prstGeom prst="rect">
                      <a:avLst/>
                    </a:prstGeom>
                  </pic:spPr>
                </pic:pic>
              </a:graphicData>
            </a:graphic>
          </wp:inline>
        </w:drawing>
      </w:r>
    </w:p>
    <w:p w:rsidR="0016597B" w:rsidRDefault="0016597B" w:rsidP="0016597B"/>
    <w:p w:rsidR="0045636B" w:rsidRPr="0045636B" w:rsidRDefault="0045636B" w:rsidP="0016597B">
      <w:pPr>
        <w:rPr>
          <w:b/>
          <w:color w:val="00566E" w:themeColor="accent4" w:themeShade="80"/>
        </w:rPr>
      </w:pPr>
      <w:r w:rsidRPr="0045636B">
        <w:rPr>
          <w:b/>
          <w:color w:val="00566E" w:themeColor="accent4" w:themeShade="80"/>
        </w:rPr>
        <w:t>IFRS Stage Chart</w:t>
      </w:r>
    </w:p>
    <w:p w:rsidR="0016597B" w:rsidRDefault="0045636B" w:rsidP="0016597B">
      <w:r w:rsidRPr="0045636B">
        <w:lastRenderedPageBreak/>
        <w:drawing>
          <wp:inline distT="0" distB="0" distL="0" distR="0" wp14:anchorId="78E91FC2" wp14:editId="7590C1ED">
            <wp:extent cx="5094921" cy="5155659"/>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6269" cy="5167142"/>
                    </a:xfrm>
                    <a:prstGeom prst="rect">
                      <a:avLst/>
                    </a:prstGeom>
                  </pic:spPr>
                </pic:pic>
              </a:graphicData>
            </a:graphic>
          </wp:inline>
        </w:drawing>
      </w:r>
    </w:p>
    <w:p w:rsidR="0016597B" w:rsidRDefault="0016597B" w:rsidP="0016597B"/>
    <w:p w:rsidR="0016597B" w:rsidRPr="0016597B" w:rsidRDefault="0016597B" w:rsidP="0016597B"/>
    <w:p w:rsidR="0016597B" w:rsidRPr="0016597B" w:rsidRDefault="0016597B" w:rsidP="0016597B">
      <w:pPr>
        <w:pStyle w:val="Heading3"/>
        <w:rPr>
          <w:rFonts w:ascii="Times New Roman" w:hAnsi="Times New Roman" w:cs="Times New Roman"/>
        </w:rPr>
      </w:pPr>
      <w:r w:rsidRPr="0016597B">
        <w:rPr>
          <w:rFonts w:ascii="Times New Roman" w:hAnsi="Times New Roman" w:cs="Times New Roman"/>
        </w:rPr>
        <w:pict>
          <v:rect id="_x0000_i1028" style="width:0;height:1.5pt" o:hralign="center" o:hrstd="t" o:hr="t" fillcolor="#a0a0a0" stroked="f"/>
        </w:pict>
      </w:r>
    </w:p>
    <w:p w:rsidR="001A4864" w:rsidRDefault="001A4864" w:rsidP="001A4864">
      <w:pPr>
        <w:rPr>
          <w:rFonts w:ascii="Times New Roman" w:hAnsi="Times New Roman" w:cs="Times New Roman"/>
          <w:sz w:val="24"/>
          <w:szCs w:val="24"/>
        </w:rPr>
      </w:pPr>
    </w:p>
    <w:p w:rsidR="00617E96" w:rsidRPr="0016597B" w:rsidRDefault="00617E96" w:rsidP="001A4864">
      <w:pPr>
        <w:rPr>
          <w:rFonts w:ascii="Times New Roman" w:hAnsi="Times New Roman" w:cs="Times New Roman"/>
          <w:sz w:val="24"/>
          <w:szCs w:val="24"/>
        </w:rPr>
      </w:pPr>
    </w:p>
    <w:sectPr w:rsidR="00617E96" w:rsidRPr="0016597B">
      <w:footerReference w:type="default" r:id="rId10"/>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6DD3" w:rsidRDefault="00FB6DD3" w:rsidP="00C6554A">
      <w:pPr>
        <w:spacing w:before="0" w:after="0" w:line="240" w:lineRule="auto"/>
      </w:pPr>
      <w:r>
        <w:separator/>
      </w:r>
    </w:p>
  </w:endnote>
  <w:endnote w:type="continuationSeparator" w:id="0">
    <w:p w:rsidR="00FB6DD3" w:rsidRDefault="00FB6DD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05BB" w:rsidRDefault="00ED7C44">
    <w:pPr>
      <w:pStyle w:val="Footer"/>
    </w:pPr>
    <w:r>
      <w:t xml:space="preserve">Page </w:t>
    </w:r>
    <w:r>
      <w:fldChar w:fldCharType="begin"/>
    </w:r>
    <w:r>
      <w:instrText xml:space="preserve"> PAGE  \* Arabic  \* MERGEFORMAT </w:instrText>
    </w:r>
    <w:r>
      <w:fldChar w:fldCharType="separate"/>
    </w:r>
    <w:r w:rsidR="000A32CF">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6DD3" w:rsidRDefault="00FB6DD3" w:rsidP="00C6554A">
      <w:pPr>
        <w:spacing w:before="0" w:after="0" w:line="240" w:lineRule="auto"/>
      </w:pPr>
      <w:r>
        <w:separator/>
      </w:r>
    </w:p>
  </w:footnote>
  <w:footnote w:type="continuationSeparator" w:id="0">
    <w:p w:rsidR="00FB6DD3" w:rsidRDefault="00FB6DD3" w:rsidP="00C6554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7D82858"/>
    <w:multiLevelType w:val="multilevel"/>
    <w:tmpl w:val="E5F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75D61"/>
    <w:multiLevelType w:val="multilevel"/>
    <w:tmpl w:val="4746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2D52848"/>
    <w:multiLevelType w:val="multilevel"/>
    <w:tmpl w:val="328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21469"/>
    <w:multiLevelType w:val="multilevel"/>
    <w:tmpl w:val="4A54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3189D"/>
    <w:multiLevelType w:val="multilevel"/>
    <w:tmpl w:val="F8DC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F1014"/>
    <w:multiLevelType w:val="multilevel"/>
    <w:tmpl w:val="20B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05964"/>
    <w:multiLevelType w:val="multilevel"/>
    <w:tmpl w:val="12A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A0E27"/>
    <w:multiLevelType w:val="multilevel"/>
    <w:tmpl w:val="4CB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791476"/>
    <w:multiLevelType w:val="multilevel"/>
    <w:tmpl w:val="4D4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82C95"/>
    <w:multiLevelType w:val="multilevel"/>
    <w:tmpl w:val="12F6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11614"/>
    <w:multiLevelType w:val="multilevel"/>
    <w:tmpl w:val="7F7E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43B7C"/>
    <w:multiLevelType w:val="multilevel"/>
    <w:tmpl w:val="9F5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E7878"/>
    <w:multiLevelType w:val="multilevel"/>
    <w:tmpl w:val="CC0C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8"/>
  </w:num>
  <w:num w:numId="4">
    <w:abstractNumId w:val="9"/>
  </w:num>
  <w:num w:numId="5">
    <w:abstractNumId w:val="20"/>
  </w:num>
  <w:num w:numId="6">
    <w:abstractNumId w:val="10"/>
  </w:num>
  <w:num w:numId="7">
    <w:abstractNumId w:val="13"/>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1"/>
  </w:num>
  <w:num w:numId="17">
    <w:abstractNumId w:val="15"/>
  </w:num>
  <w:num w:numId="18">
    <w:abstractNumId w:val="18"/>
  </w:num>
  <w:num w:numId="19">
    <w:abstractNumId w:val="22"/>
  </w:num>
  <w:num w:numId="20">
    <w:abstractNumId w:val="16"/>
  </w:num>
  <w:num w:numId="21">
    <w:abstractNumId w:val="23"/>
  </w:num>
  <w:num w:numId="22">
    <w:abstractNumId w:val="21"/>
  </w:num>
  <w:num w:numId="23">
    <w:abstractNumId w:val="17"/>
  </w:num>
  <w:num w:numId="24">
    <w:abstractNumId w:val="25"/>
  </w:num>
  <w:num w:numId="25">
    <w:abstractNumId w:val="14"/>
  </w:num>
  <w:num w:numId="26">
    <w:abstractNumId w:val="24"/>
  </w:num>
  <w:num w:numId="27">
    <w:abstractNumId w:val="19"/>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5D5"/>
    <w:rsid w:val="000A32CF"/>
    <w:rsid w:val="0016597B"/>
    <w:rsid w:val="001A4864"/>
    <w:rsid w:val="002405BB"/>
    <w:rsid w:val="002554CD"/>
    <w:rsid w:val="00293B83"/>
    <w:rsid w:val="002B4294"/>
    <w:rsid w:val="00333D0D"/>
    <w:rsid w:val="0045636B"/>
    <w:rsid w:val="004C049F"/>
    <w:rsid w:val="005000E2"/>
    <w:rsid w:val="00617E96"/>
    <w:rsid w:val="006655D5"/>
    <w:rsid w:val="006A3CE7"/>
    <w:rsid w:val="00C6554A"/>
    <w:rsid w:val="00ED7C44"/>
    <w:rsid w:val="00FB6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327214C-BC63-4D4F-9810-2A18E52F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semiHidden/>
    <w:unhideWhenUsed/>
    <w:qFormat/>
    <w:rsid w:val="001A4864"/>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character" w:customStyle="1" w:styleId="Heading4Char">
    <w:name w:val="Heading 4 Char"/>
    <w:basedOn w:val="DefaultParagraphFont"/>
    <w:link w:val="Heading4"/>
    <w:uiPriority w:val="9"/>
    <w:semiHidden/>
    <w:rsid w:val="001A4864"/>
    <w:rPr>
      <w:rFonts w:asciiTheme="majorHAnsi" w:eastAsiaTheme="majorEastAsia" w:hAnsiTheme="majorHAnsi" w:cstheme="majorBidi"/>
      <w:i/>
      <w:iCs/>
      <w:color w:val="007789" w:themeColor="accent1" w:themeShade="BF"/>
    </w:rPr>
  </w:style>
  <w:style w:type="character" w:styleId="Strong">
    <w:name w:val="Strong"/>
    <w:basedOn w:val="DefaultParagraphFont"/>
    <w:uiPriority w:val="22"/>
    <w:qFormat/>
    <w:rsid w:val="001A4864"/>
    <w:rPr>
      <w:b/>
      <w:bCs/>
    </w:rPr>
  </w:style>
  <w:style w:type="paragraph" w:customStyle="1" w:styleId="jot-paragraph-element">
    <w:name w:val="jot-paragraph-element"/>
    <w:basedOn w:val="Normal"/>
    <w:rsid w:val="001A4864"/>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customStyle="1" w:styleId="pdq2pgselectionanchorcontainer">
    <w:name w:val="pdq2pg_selectionanchorcontainer"/>
    <w:basedOn w:val="Normal"/>
    <w:rsid w:val="0016597B"/>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NormalWeb">
    <w:name w:val="Normal (Web)"/>
    <w:basedOn w:val="Normal"/>
    <w:uiPriority w:val="99"/>
    <w:semiHidden/>
    <w:unhideWhenUsed/>
    <w:rsid w:val="0016597B"/>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5234989">
      <w:bodyDiv w:val="1"/>
      <w:marLeft w:val="0"/>
      <w:marRight w:val="0"/>
      <w:marTop w:val="0"/>
      <w:marBottom w:val="0"/>
      <w:divBdr>
        <w:top w:val="none" w:sz="0" w:space="0" w:color="auto"/>
        <w:left w:val="none" w:sz="0" w:space="0" w:color="auto"/>
        <w:bottom w:val="none" w:sz="0" w:space="0" w:color="auto"/>
        <w:right w:val="none" w:sz="0" w:space="0" w:color="auto"/>
      </w:divBdr>
      <w:divsChild>
        <w:div w:id="14078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432435782">
          <w:marLeft w:val="0"/>
          <w:marRight w:val="0"/>
          <w:marTop w:val="0"/>
          <w:marBottom w:val="0"/>
          <w:divBdr>
            <w:top w:val="none" w:sz="0" w:space="0" w:color="auto"/>
            <w:left w:val="none" w:sz="0" w:space="0" w:color="auto"/>
            <w:bottom w:val="none" w:sz="0" w:space="0" w:color="auto"/>
            <w:right w:val="none" w:sz="0" w:space="0" w:color="auto"/>
          </w:divBdr>
          <w:divsChild>
            <w:div w:id="2661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56360">
      <w:bodyDiv w:val="1"/>
      <w:marLeft w:val="0"/>
      <w:marRight w:val="0"/>
      <w:marTop w:val="0"/>
      <w:marBottom w:val="0"/>
      <w:divBdr>
        <w:top w:val="none" w:sz="0" w:space="0" w:color="auto"/>
        <w:left w:val="none" w:sz="0" w:space="0" w:color="auto"/>
        <w:bottom w:val="none" w:sz="0" w:space="0" w:color="auto"/>
        <w:right w:val="none" w:sz="0" w:space="0" w:color="auto"/>
      </w:divBdr>
      <w:divsChild>
        <w:div w:id="1455710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malai\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118</TotalTime>
  <Pages>6</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Annamalai</dc:creator>
  <cp:keywords/>
  <dc:description/>
  <cp:lastModifiedBy>Microsoft account</cp:lastModifiedBy>
  <cp:revision>1</cp:revision>
  <dcterms:created xsi:type="dcterms:W3CDTF">2026-06-29T16:08:00Z</dcterms:created>
  <dcterms:modified xsi:type="dcterms:W3CDTF">2026-07-01T06:08:00Z</dcterms:modified>
</cp:coreProperties>
</file>