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2B4B"/>
          <w:spacing w:val="40"/>
          <w:sz w:val="16"/>
          <w:szCs w:val="16"/>
        </w:rPr>
        <w:t xml:space="preserve">DUOC UC · DSY1107 DESARROLLO CLOUD NATIVE I · SECCIÓN 005V</w:t>
      </w:r>
    </w:p>
    <w:p>
      <w:pPr>
        <w:pBdr>
          <w:bottom w:val="double" w:color="1B2B4B" w:sz="6" w:space="6"/>
        </w:pBdr>
        <w:spacing w:after="3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Evaluación Parcial N°2 · Presentación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B4B"/>
          <w:sz w:val="56"/>
          <w:szCs w:val="56"/>
        </w:rPr>
        <w:t xml:space="preserve">Guía de presentación</w:t>
      </w:r>
    </w:p>
    <w:p>
      <w:pPr>
        <w:spacing w:after="300"/>
      </w:pPr>
      <w:r>
        <w:rPr>
          <w:rFonts w:ascii="Arial" w:cs="Arial" w:eastAsia="Arial" w:hAnsi="Arial"/>
          <w:color w:val="0063B1"/>
          <w:sz w:val="24"/>
          <w:szCs w:val="24"/>
        </w:rPr>
        <w:t xml:space="preserve">Pedidos360 · rutina previa, guion por diapositiva y preguntas de repaso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7"/>
      </w:tblGrid>
      <w:tr>
        <w:trPr>
          <w:tblHeader/>
        </w:trPr>
        <w:tc>
          <w:tcPr>
            <w:tcW w:type="dxa" w:w="2313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Dato</w:t>
            </w:r>
          </w:p>
        </w:tc>
        <w:tc>
          <w:tcPr>
            <w:tcW w:type="dxa" w:w="732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732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 10 minutos (el guion suma ~9 min)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en la nube</w:t>
            </w:r>
          </w:p>
        </w:tc>
        <w:tc>
          <w:tcPr>
            <w:tcW w:type="dxa" w:w="73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https://main.d1pem9n2nc75cz.amplifyapp.com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3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https://j9w6eomnw5.execute-api.us-east-1.amazonaws.com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 de prueba</w:t>
            </w:r>
          </w:p>
        </w:tc>
        <w:tc>
          <w:tcPr>
            <w:tcW w:type="dxa" w:w="73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sofi.troncoso@duocuc.cl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rol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Pedidos.Admin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Repositorios</w:t>
            </w:r>
          </w:p>
        </w:tc>
        <w:tc>
          <w:tcPr>
            <w:tcW w:type="dxa" w:w="732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github.com/Zetita1/Pedidos360-backend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github.com/Zetita1/Pedidos360-frontend</w:t>
            </w:r>
          </w:p>
        </w:tc>
      </w:tr>
    </w:tbl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B85F00" w:sz="6"/>
              <w:left w:val="dotted" w:color="B85F00" w:sz="6"/>
              <w:bottom w:val="dotted" w:color="B85F00" w:sz="6"/>
              <w:right w:val="dotted" w:color="B85F00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B85F00"/>
                <w:spacing w:val="30"/>
                <w:sz w:val="17"/>
                <w:szCs w:val="17"/>
              </w:rPr>
              <w:t xml:space="preserve">IDEA FUERZA   </w:t>
            </w:r>
            <w:r>
              <w:rPr>
                <w:rFonts w:ascii="Arial" w:cs="Arial" w:eastAsia="Arial" w:hAnsi="Arial"/>
              </w:rPr>
              <w:t xml:space="preserve">El token se valida en cada capa. </w:t>
            </w:r>
            <w:r>
              <w:rPr>
                <w:rFonts w:ascii="Arial" w:cs="Arial" w:eastAsia="Arial" w:hAnsi="Arial"/>
                <w:b/>
                <w:bCs/>
              </w:rPr>
              <w:t xml:space="preserve">El gateway decide quién eres (401); el microservicio decide qué puedes hacer (403).</w:t>
            </w:r>
            <w:r>
              <w:rPr>
                <w:rFonts w:ascii="Arial" w:cs="Arial" w:eastAsia="Arial" w:hAnsi="Arial"/>
              </w:rPr>
              <w:t xml:space="preserve"> Repítela al inicio y al cierre.</w:t>
            </w:r>
          </w:p>
        </w:tc>
      </w:tr>
    </w:tbl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E7A4F"/>
          <w:spacing w:val="40"/>
          <w:sz w:val="16"/>
          <w:szCs w:val="16"/>
        </w:rPr>
        <w:t xml:space="preserve">RUTINA DE 5 MINUTOS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1. Antes de entrar a presentar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Start Lab</w:t>
      </w:r>
      <w:r>
        <w:rPr>
          <w:rFonts w:ascii="Arial" w:cs="Arial" w:eastAsia="Arial" w:hAnsi="Arial"/>
        </w:rPr>
        <w:t xml:space="preserve"> en AWS Academy y esperar el punto verde junto a "AWS".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Consola de AWS → </w:t>
      </w:r>
      <w:r>
        <w:rPr>
          <w:rFonts w:ascii="Arial" w:cs="Arial" w:eastAsia="Arial" w:hAnsi="Arial"/>
          <w:b/>
          <w:bCs/>
        </w:rPr>
        <w:t xml:space="preserve">EC2 → Instancias → pedidos360-backend</w:t>
      </w:r>
      <w:r>
        <w:rPr>
          <w:rFonts w:ascii="Arial" w:cs="Arial" w:eastAsia="Arial" w:hAnsi="Arial"/>
        </w:rPr>
        <w:t xml:space="preserve">. Si está *Detenida*: </w:t>
      </w:r>
      <w:r>
        <w:rPr>
          <w:rFonts w:ascii="Arial" w:cs="Arial" w:eastAsia="Arial" w:hAnsi="Arial"/>
          <w:b/>
          <w:bCs/>
        </w:rPr>
        <w:t xml:space="preserve">Estado de la instancia → Iniciar</w:t>
      </w:r>
      <w:r>
        <w:rPr>
          <w:rFonts w:ascii="Arial" w:cs="Arial" w:eastAsia="Arial" w:hAnsi="Arial"/>
        </w:rPr>
        <w:t xml:space="preserve"> y esperar ~1 minuto.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Abrir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…execute-api…/health</w:t>
      </w:r>
      <w:r>
        <w:rPr>
          <w:rFonts w:ascii="Arial" w:cs="Arial" w:eastAsia="Arial" w:hAnsi="Arial"/>
        </w:rPr>
        <w:t xml:space="preserve"> en el navegador: debe decir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{"status":"UP"}</w:t>
      </w:r>
      <w:r>
        <w:rPr>
          <w:rFonts w:ascii="Arial" w:cs="Arial" w:eastAsia="Arial" w:hAnsi="Arial"/>
        </w:rPr>
        <w:t xml:space="preserve">. Si falla, esperar 30 segundos y recargar.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Abrir la URL de Amplify en incógnito, iniciar sesión y comprobar que el </w:t>
      </w:r>
      <w:r>
        <w:rPr>
          <w:rFonts w:ascii="Arial" w:cs="Arial" w:eastAsia="Arial" w:hAnsi="Arial"/>
          <w:b/>
          <w:bCs/>
        </w:rPr>
        <w:t xml:space="preserve">tablero trae datos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Dejar abiertas estas pestañas: presentación · portal de Entra (tenant Pedidos360) · API Gateway (Rutas y CORS) · Amplify · la app.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Tener una terminal con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URL</w:t>
      </w:r>
      <w:r>
        <w:rPr>
          <w:rFonts w:ascii="Arial" w:cs="Arial" w:eastAsia="Arial" w:hAnsi="Arial"/>
        </w:rPr>
        <w:t xml:space="preserve"> exportada para la demo con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curl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color w:val="C0392B"/>
        </w:rPr>
        <w:t xml:space="preserve">Plan B si algo falla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6748"/>
      </w:tblGrid>
      <w:tr>
        <w:trPr>
          <w:tblHeader/>
        </w:trPr>
        <w:tc>
          <w:tcPr>
            <w:tcW w:type="dxa" w:w="2892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Problema</w:t>
            </w:r>
          </w:p>
        </w:tc>
        <w:tc>
          <w:tcPr>
            <w:tcW w:type="dxa" w:w="674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892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Amplify no carga</w:t>
            </w:r>
          </w:p>
        </w:tc>
        <w:tc>
          <w:tcPr>
            <w:tcW w:type="dxa" w:w="674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Levantar local: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npm --prefix pedidos360-frontend start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usar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http://localhost:4200</w:t>
            </w:r>
          </w:p>
        </w:tc>
      </w:tr>
      <w:tr>
        <w:trPr>
          <w:cantSplit/>
        </w:trPr>
        <w:tc>
          <w:tcPr>
            <w:tcW w:type="dxa" w:w="289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`/health` no responde</w:t>
            </w:r>
          </w:p>
        </w:tc>
        <w:tc>
          <w:tcPr>
            <w:tcW w:type="dxa" w:w="674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instancia está apagada o arrancando: encenderla y esperar</w:t>
            </w:r>
          </w:p>
        </w:tc>
      </w:tr>
      <w:tr>
        <w:trPr>
          <w:cantSplit/>
        </w:trPr>
        <w:tc>
          <w:tcPr>
            <w:tcW w:type="dxa" w:w="289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 da 401 con sesión iniciada</w:t>
            </w:r>
          </w:p>
        </w:tc>
        <w:tc>
          <w:tcPr>
            <w:tcW w:type="dxa" w:w="674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Cerrar sesión y volver a entrar para renovar el token</w:t>
            </w:r>
          </w:p>
        </w:tc>
      </w:tr>
      <w:tr>
        <w:trPr>
          <w:cantSplit/>
        </w:trPr>
        <w:tc>
          <w:tcPr>
            <w:tcW w:type="dxa" w:w="2892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 internet en la sala</w:t>
            </w:r>
          </w:p>
        </w:tc>
        <w:tc>
          <w:tcPr>
            <w:tcW w:type="dxa" w:w="674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Presentar solo con las capturas: cada diapositiva cubre un punto de la pauta</w:t>
            </w:r>
          </w:p>
        </w:tc>
      </w:tr>
    </w:tbl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0063B1"/>
          <w:spacing w:val="40"/>
          <w:sz w:val="16"/>
          <w:szCs w:val="16"/>
        </w:rPr>
        <w:t xml:space="preserve">QUÉ MOSTRAR Y QUÉ DECIR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2. Guion por diapositiva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5012"/>
        <w:gridCol w:w="1253"/>
        <w:gridCol w:w="2797"/>
      </w:tblGrid>
      <w:tr>
        <w:trPr>
          <w:tblHeader/>
        </w:trPr>
        <w:tc>
          <w:tcPr>
            <w:tcW w:type="dxa" w:w="57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5012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Diapositiva</w:t>
            </w:r>
          </w:p>
        </w:tc>
        <w:tc>
          <w:tcPr>
            <w:tcW w:type="dxa" w:w="1253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Tiempo</w:t>
            </w:r>
          </w:p>
        </w:tc>
        <w:tc>
          <w:tcPr>
            <w:tcW w:type="dxa" w:w="279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Pauta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12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Portada</w:t>
            </w:r>
          </w:p>
        </w:tc>
        <w:tc>
          <w:tcPr>
            <w:tcW w:type="dxa" w:w="1253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Cómo viaja el token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Hilo conductor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IDaaS con usuarios y roles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s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· tenant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API expone, el SPA consume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s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· aplicación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 inicio de sesión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s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· flujo de usuario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 con PKCE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· PKCE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Manager: 22 rutas explícitas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s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 · rutas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Autorizador JWT en cada ruta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· validación JWT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sin comodines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 · CORS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ruta probada contra AWS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· evidencia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publicado en AWS Amplify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s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 la nube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 EC2, todo integrado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 la nube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012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resumen</w:t>
            </w:r>
          </w:p>
        </w:tc>
        <w:tc>
          <w:tcPr>
            <w:tcW w:type="dxa" w:w="1253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</w:t>
            </w:r>
          </w:p>
        </w:tc>
        <w:tc>
          <w:tcPr>
            <w:tcW w:type="dxa" w:w="279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1  </w:t>
      </w:r>
      <w:r>
        <w:rPr>
          <w:rFonts w:ascii="Arial" w:cs="Arial" w:eastAsia="Arial" w:hAnsi="Arial"/>
          <w:color w:val="1B2B4B"/>
        </w:rPr>
        <w:t xml:space="preserve">Portada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10 s · —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Solo la diapositiva.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"Somos Joshua Mardones y Sofía Troncoso. Pedidos360 es un sistema de pedidos cuya identidad vive en Azure y cuyo tráfico entra por AWS."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2  </w:t>
      </w:r>
      <w:r>
        <w:rPr>
          <w:rFonts w:ascii="Arial" w:cs="Arial" w:eastAsia="Arial" w:hAnsi="Arial"/>
          <w:color w:val="1B2B4B"/>
        </w:rPr>
        <w:t xml:space="preserve">Cómo viaja el token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1 min · Hilo conductor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</w:rPr>
        <w:t xml:space="preserve">Recorrer el diagrama de izquierda a derecha siguiendo las flechas.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</w:rPr>
        <w:t xml:space="preserve">Terminar leyendo el post-it amarillo (idea fuerza).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"El frontend delega el login en Entra External ID, que emite un JWT con los roles. Cada llamada va al API Gateway con ese token; el gateway lo valida y recién ahí reenvía al EC2, donde cada microservicio lo vuelve a validar."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3  </w:t>
      </w:r>
      <w:r>
        <w:rPr>
          <w:rFonts w:ascii="Arial" w:cs="Arial" w:eastAsia="Arial" w:hAnsi="Arial"/>
          <w:color w:val="1B2B4B"/>
        </w:rPr>
        <w:t xml:space="preserve">Tenant IDaaS con usuarios y roles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40 s · 10% · tenant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</w:rPr>
        <w:t xml:space="preserve">Señalar </w:t>
      </w:r>
      <w:r>
        <w:rPr>
          <w:rFonts w:ascii="Arial" w:cs="Arial" w:eastAsia="Arial" w:hAnsi="Arial"/>
          <w:b/>
          <w:bCs/>
        </w:rPr>
        <w:t xml:space="preserve">Tipo de creación: Cuenta local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</w:rPr>
        <w:t xml:space="preserve">Señalar el rol </w:t>
      </w:r>
      <w:r>
        <w:rPr>
          <w:rFonts w:ascii="Arial" w:cs="Arial" w:eastAsia="Arial" w:hAnsi="Arial"/>
          <w:b/>
          <w:bCs/>
        </w:rPr>
        <w:t xml:space="preserve">Administrador de pedidos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</w:rPr>
        <w:t xml:space="preserve">En vivo (opcional): portal de Entra → Usuarios.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"Usamos un tenant externo porque permite autorregistro. Esta usuaria se registró sola desde el frontend, y su rol lo asignamos en el IDaaS, no en nuestra base de datos."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4  </w:t>
      </w:r>
      <w:r>
        <w:rPr>
          <w:rFonts w:ascii="Arial" w:cs="Arial" w:eastAsia="Arial" w:hAnsi="Arial"/>
          <w:color w:val="1B2B4B"/>
        </w:rPr>
        <w:t xml:space="preserve">La API expone, el SPA consume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45 s · 10% · aplicación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Arial" w:eastAsia="Arial" w:hAnsi="Arial"/>
        </w:rPr>
        <w:t xml:space="preserve">Izquierda: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api://pedidos360-api</w:t>
      </w:r>
      <w:r>
        <w:rPr>
          <w:rFonts w:ascii="Arial" w:cs="Arial" w:eastAsia="Arial" w:hAnsi="Arial"/>
        </w:rPr>
        <w:t xml:space="preserve"> y los scopes Read/Write.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Arial" w:eastAsia="Arial" w:hAnsi="Arial"/>
        </w:rPr>
        <w:t xml:space="preserve">Derecha: las 3 URI de redirección (Amplify y localhost).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"La API expone los scopes y los roles; su identificador es la audiencia que valida AWS. El SPA está registrado como aplicación de página única, sin flujo implícito, con la URL de Amplify y la de localhost."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5  </w:t>
      </w:r>
      <w:r>
        <w:rPr>
          <w:rFonts w:ascii="Arial" w:cs="Arial" w:eastAsia="Arial" w:hAnsi="Arial"/>
          <w:color w:val="1B2B4B"/>
        </w:rPr>
        <w:t xml:space="preserve">Registro e inicio de sesión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40 s · 10% · flujo de usuario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</w:rPr>
        <w:t xml:space="preserve">Señalar la URL: es de </w:t>
      </w:r>
      <w:r>
        <w:rPr>
          <w:rFonts w:ascii="Arial" w:cs="Arial" w:eastAsia="Arial" w:hAnsi="Arial"/>
          <w:b/>
          <w:bCs/>
        </w:rPr>
        <w:t xml:space="preserve">ciamlogin.com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</w:rPr>
        <w:t xml:space="preserve">Señalar el círculo rojo en </w:t>
      </w:r>
      <w:r>
        <w:rPr>
          <w:rFonts w:ascii="Arial" w:cs="Arial" w:eastAsia="Arial" w:hAnsi="Arial"/>
          <w:b/>
          <w:bCs/>
        </w:rPr>
        <w:t xml:space="preserve">"Cree una"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</w:rPr>
        <w:t xml:space="preserve">Si hay tiempo: crear una cuenta en vivo.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"Esta página no es nuestra: es del IDaaS. Desde aquí el usuario inicia sesión o crea su cuenta, y vuelve al frontend con un código de autorización."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6  </w:t>
      </w:r>
      <w:r>
        <w:rPr>
          <w:rFonts w:ascii="Arial" w:cs="Arial" w:eastAsia="Arial" w:hAnsi="Arial"/>
          <w:color w:val="1B2B4B"/>
        </w:rPr>
        <w:t xml:space="preserve">Authorization Code con PKCE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1 min · 15% · PKCE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</w:rPr>
        <w:t xml:space="preserve">Señalar dentro del círculo: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response_type=code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code_challenge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S256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</w:rPr>
        <w:t xml:space="preserve">Mencionar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state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nonce</w:t>
      </w:r>
      <w:r>
        <w:rPr>
          <w:rFonts w:ascii="Arial" w:cs="Arial" w:eastAsia="Arial" w:hAnsi="Arial"/>
        </w:rPr>
        <w:t xml:space="preserve"> (más arriba en la captura).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</w:rPr>
        <w:t xml:space="preserve">En vivo: F12 → Network → Keep log → cerrar sesión → ingresar →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authorize</w:t>
      </w:r>
      <w:r>
        <w:rPr>
          <w:rFonts w:ascii="Arial" w:cs="Arial" w:eastAsia="Arial" w:hAnsi="Arial"/>
        </w:rPr>
        <w:t xml:space="preserve"> → Payload.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"Pedimos un código, no un token. MSAL genera un code verifier secreto y envía solo su hash con S256; al canjear el código entrega el verifier, así un código robado no sirve. State protege contra CSRF y nonce contra reutilización."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7  </w:t>
      </w:r>
      <w:r>
        <w:rPr>
          <w:rFonts w:ascii="Arial" w:cs="Arial" w:eastAsia="Arial" w:hAnsi="Arial"/>
          <w:color w:val="1B2B4B"/>
        </w:rPr>
        <w:t xml:space="preserve">API Manager: 22 rutas explícitas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50 s · 13% · rutas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</w:rPr>
        <w:t xml:space="preserve">Señalar que cada ruta tiene </w:t>
      </w:r>
      <w:r>
        <w:rPr>
          <w:rFonts w:ascii="Arial" w:cs="Arial" w:eastAsia="Arial" w:hAnsi="Arial"/>
          <w:b/>
          <w:bCs/>
        </w:rPr>
        <w:t xml:space="preserve">JWT Auth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</w:rPr>
        <w:t xml:space="preserve">Leer el post-it con el conteo por microservicio.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</w:rPr>
        <w:t xml:space="preserve">En vivo: API Gateway → Rutas.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"Veintidós rutas explícitas, sin comodines. Cada recurso va a su microservicio: pedidos al 8081, productos al 8082, clientes al 8083; el BFF solo sirve vistas agregadas. La única pública es /health."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8  </w:t>
      </w:r>
      <w:r>
        <w:rPr>
          <w:rFonts w:ascii="Arial" w:cs="Arial" w:eastAsia="Arial" w:hAnsi="Arial"/>
          <w:color w:val="1B2B4B"/>
        </w:rPr>
        <w:t xml:space="preserve">Autorizador JWT en cada ruta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1 min · 20% · validación JWT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</w:rPr>
        <w:t xml:space="preserve">Señalar </w:t>
      </w:r>
      <w:r>
        <w:rPr>
          <w:rFonts w:ascii="Arial" w:cs="Arial" w:eastAsia="Arial" w:hAnsi="Arial"/>
          <w:b/>
          <w:bCs/>
        </w:rPr>
        <w:t xml:space="preserve">Emisor</w:t>
      </w:r>
      <w:r>
        <w:rPr>
          <w:rFonts w:ascii="Arial" w:cs="Arial" w:eastAsia="Arial" w:hAnsi="Arial"/>
        </w:rPr>
        <w:t xml:space="preserve"> (nuestro tenant) y </w:t>
      </w:r>
      <w:r>
        <w:rPr>
          <w:rFonts w:ascii="Arial" w:cs="Arial" w:eastAsia="Arial" w:hAnsi="Arial"/>
          <w:b/>
          <w:bCs/>
        </w:rPr>
        <w:t xml:space="preserve">Audiencia</w:t>
      </w:r>
      <w:r>
        <w:rPr>
          <w:rFonts w:ascii="Arial" w:cs="Arial" w:eastAsia="Arial" w:hAnsi="Arial"/>
        </w:rPr>
        <w:t xml:space="preserve"> (nuestra API).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</w:rPr>
        <w:t xml:space="preserve">En vivo: API Gateway → Autorización.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"El autorizador verifica firma, emisor, audiencia y vencimiento. Si algo falla, AWS responde 401 y la petición nunca llega al EC2. Lo tienen 21 de las 22 rutas."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9  </w:t>
      </w:r>
      <w:r>
        <w:rPr>
          <w:rFonts w:ascii="Arial" w:cs="Arial" w:eastAsia="Arial" w:hAnsi="Arial"/>
          <w:color w:val="1B2B4B"/>
        </w:rPr>
        <w:t xml:space="preserve">CORS sin comodines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30 s · 7% · CORS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</w:rPr>
        <w:t xml:space="preserve">Señalar los dos orígenes, los 5 métodos y las 3 cabeceras.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"Solo permitimos el frontend en Amplify y localhost. No usamos asterisco porque cualquier sitio podría llamar a la API desde el navegador del usuario."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10  </w:t>
      </w:r>
      <w:r>
        <w:rPr>
          <w:rFonts w:ascii="Arial" w:cs="Arial" w:eastAsia="Arial" w:hAnsi="Arial"/>
          <w:color w:val="1B2B4B"/>
        </w:rPr>
        <w:t xml:space="preserve">Cada ruta probada contra AWS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1 min · 15% · evidencia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</w:rPr>
        <w:t xml:space="preserve">Señalar </w:t>
      </w:r>
      <w:r>
        <w:rPr>
          <w:rFonts w:ascii="Arial" w:cs="Arial" w:eastAsia="Arial" w:hAnsi="Arial"/>
          <w:b/>
          <w:bCs/>
        </w:rPr>
        <w:t xml:space="preserve">31/31</w:t>
      </w:r>
      <w:r>
        <w:rPr>
          <w:rFonts w:ascii="Arial" w:cs="Arial" w:eastAsia="Arial" w:hAnsi="Arial"/>
        </w:rPr>
        <w:t xml:space="preserve"> y los tres códigos.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</w:rPr>
        <w:t xml:space="preserve">Leer el post-it verde (crear pedido → 201).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"Probamos las 22 rutas contra AWS: 31 verificaciones correctas. Sin token, 401 del gateway; con token, el JSON de cada microservicio; sin rol, 403."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11  </w:t>
      </w:r>
      <w:r>
        <w:rPr>
          <w:rFonts w:ascii="Arial" w:cs="Arial" w:eastAsia="Arial" w:hAnsi="Arial"/>
          <w:color w:val="1B2B4B"/>
        </w:rPr>
        <w:t xml:space="preserve">Frontend publicado en AWS Amplify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40 s · Frontend en la nube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</w:rPr>
        <w:t xml:space="preserve">Izquierda: rama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main</w:t>
      </w:r>
      <w:r>
        <w:rPr>
          <w:rFonts w:ascii="Arial" w:cs="Arial" w:eastAsia="Arial" w:hAnsi="Arial"/>
        </w:rPr>
        <w:t xml:space="preserve"> implementada.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</w:rPr>
        <w:t xml:space="preserve">En vivo: abrir la URL de Amplify, iniciar sesión y mostrar el tablero.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"El frontend está en AWS Amplify, que entrega HTTPS, obligatorio para Entra. CloudFront no está permitido en el laboratorio."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12  </w:t>
      </w:r>
      <w:r>
        <w:rPr>
          <w:rFonts w:ascii="Arial" w:cs="Arial" w:eastAsia="Arial" w:hAnsi="Arial"/>
          <w:color w:val="1B2B4B"/>
        </w:rPr>
        <w:t xml:space="preserve">Backend en EC2, todo integrado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1 min · Backend en la nube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</w:rPr>
        <w:t xml:space="preserve">Izquierda: instancia en ejecución.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</w:rPr>
        <w:t xml:space="preserve">Derecha: </w:t>
      </w:r>
      <w:r>
        <w:rPr>
          <w:rFonts w:ascii="Arial" w:cs="Arial" w:eastAsia="Arial" w:hAnsi="Arial"/>
          <w:b/>
          <w:bCs/>
        </w:rPr>
        <w:t xml:space="preserve">200 OK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color w:val="1B2B4B"/>
          <w:sz w:val="19"/>
          <w:szCs w:val="19"/>
        </w:rPr>
        <w:t xml:space="preserve">Access-Control-Allow-Origin</w:t>
      </w:r>
      <w:r>
        <w:rPr>
          <w:rFonts w:ascii="Arial" w:cs="Arial" w:eastAsia="Arial" w:hAnsi="Arial"/>
        </w:rPr>
        <w:t xml:space="preserve"> = Amplify.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</w:rPr>
        <w:t xml:space="preserve">Demo con los 3 comandos: 200 · 401 · 200.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"El backend corre en EC2 con IP elástica. La llamada desde Amplify responde 200 y el gateway reconoce su origen: frontend, gateway y backend integrados en la nube."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  <w:color w:val="0063B1"/>
        </w:rPr>
        <w:t xml:space="preserve">13  </w:t>
      </w:r>
      <w:r>
        <w:rPr>
          <w:rFonts w:ascii="Arial" w:cs="Arial" w:eastAsia="Arial" w:hAnsi="Arial"/>
          <w:color w:val="1B2B4B"/>
        </w:rPr>
        <w:t xml:space="preserve">En resumen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30 s · —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MOSTRAR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</w:rPr>
        <w:t xml:space="preserve">Leer los tres puntos y abrir preguntas.</w:t>
      </w:r>
    </w:p>
    <w:p>
      <w:pPr>
        <w:spacing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6"/>
                <w:szCs w:val="16"/>
              </w:rPr>
              <w:t xml:space="preserve">DECIR   </w:t>
            </w:r>
            <w:r>
              <w:rPr>
                <w:rFonts w:ascii="Arial" w:cs="Arial" w:eastAsia="Arial" w:hAnsi="Arial"/>
                <w:i/>
                <w:iCs/>
              </w:rPr>
              <w:t xml:space="preserve">"La identidad está delegada en Azure, AWS API Gateway es el único punto de entrada y el token se valida en cada capa. ¿Preguntas?"</w:t>
            </w:r>
          </w:p>
        </w:tc>
      </w:tr>
    </w:tbl>
    <w:p>
      <w:pPr>
        <w:spacing w:after="120"/>
      </w:pPr>
    </w:p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B85F00"/>
          <w:spacing w:val="40"/>
          <w:sz w:val="16"/>
          <w:szCs w:val="16"/>
        </w:rPr>
        <w:t xml:space="preserve">RESPUESTAS BREVES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3. Preguntas de repaso</w:t>
      </w:r>
    </w:p>
    <w:p>
      <w:pPr>
        <w:spacing w:after="100" w:line="290"/>
      </w:pPr>
      <w:r>
        <w:rPr>
          <w:rFonts w:ascii="Arial" w:cs="Arial" w:eastAsia="Arial" w:hAnsi="Arial"/>
        </w:rPr>
        <w:t xml:space="preserve">Lee la pregunta, respóndela en voz alta con tus palabras y recién después mira la respuesta.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Identidad (Azure)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5785"/>
      </w:tblGrid>
      <w:tr>
        <w:trPr>
          <w:tblHeader/>
        </w:trPr>
        <w:tc>
          <w:tcPr>
            <w:tcW w:type="dxa" w:w="57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327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Pregunta</w:t>
            </w:r>
          </w:p>
        </w:tc>
        <w:tc>
          <w:tcPr>
            <w:tcW w:type="dxa" w:w="578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es un IDaaS y por qué usarlo?</w:t>
            </w:r>
          </w:p>
        </w:tc>
        <w:tc>
          <w:tcPr>
            <w:tcW w:type="dxa" w:w="578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 como servicio: registra usuarios, autentica y emite tokens. La app nunca maneja contraseñas.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un tenant externo?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el que permite autorregistro con flujos de usuario; está pensado para clientes finales.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dos aplicaciones registradas?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API expone scopes y define roles; el SPA los pide. Así el token tiene como audiencia la API.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¿Scope o rol?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scp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): lo que el usuario autorizó a la app.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roles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): lo que el usuario tiene permitido; lo asigna el administrador.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¿Dónde están los roles?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el IDaaS. Viajan en el claim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roles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token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no del ID token.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Login (OAuth 2.0 / OIDC)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5785"/>
      </w:tblGrid>
      <w:tr>
        <w:trPr>
          <w:tblHeader/>
        </w:trPr>
        <w:tc>
          <w:tcPr>
            <w:tcW w:type="dxa" w:w="57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327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Pregunta</w:t>
            </w:r>
          </w:p>
        </w:tc>
        <w:tc>
          <w:tcPr>
            <w:tcW w:type="dxa" w:w="578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flujo usas y por qué?</w:t>
            </w:r>
          </w:p>
        </w:tc>
        <w:tc>
          <w:tcPr>
            <w:tcW w:type="dxa" w:w="578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 con PKCE: el recomendado para SPA. El implícito expone el token en la URL.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funciona PKCE?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envía el hash del code verifier (S256); al canjear el código se entrega el verifier. Un código robado no sirve sin él.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no un client secret?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SPA es un cliente público: el secreto quedaría visible. PKCE lo reemplaza por un valor distinto en cada login.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¿Para qué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state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nonce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state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evita CSRF en la redirección.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nonce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evita reutilizar un ID token.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contiene el token?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iss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(emisor),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aud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(API),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exp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(vencimiento),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roles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scp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firmado con RS256.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¿Y si el token vence?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MSAL lo renueva en silencio; si no puede, pide iniciar sesión de nuevo.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B85F00"/>
        </w:rPr>
        <w:t xml:space="preserve">API Manager (AWS)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5785"/>
      </w:tblGrid>
      <w:tr>
        <w:trPr>
          <w:tblHeader/>
        </w:trPr>
        <w:tc>
          <w:tcPr>
            <w:tcW w:type="dxa" w:w="57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327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Pregunta</w:t>
            </w:r>
          </w:p>
        </w:tc>
        <w:tc>
          <w:tcPr>
            <w:tcW w:type="dxa" w:w="578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API Gateway?</w:t>
            </w:r>
          </w:p>
        </w:tc>
        <w:tc>
          <w:tcPr>
            <w:tcW w:type="dxa" w:w="578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Único punto de entrada: enruta, valida el JWT y aplica CORS antes de llegar al servidor.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HTTP API y no REST API?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 autorizador JWT nativo, sin programar una Lambda; es más simple y económico.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rutas explícitas?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publica solo lo necesario y las rutas internas (stock) quedan ocultas.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valida el autorizador?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Firma, emisor, audiencia y vencimiento. Si falla: 401 sin llegar al EC2.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es CORS y por qué no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 del navegador sobre qué sitios pueden llamar a la API. Con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lo podría hacer cualquier sitio.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1E7A4F"/>
        </w:rPr>
        <w:t xml:space="preserve">Arquitectura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5785"/>
      </w:tblGrid>
      <w:tr>
        <w:trPr>
          <w:tblHeader/>
        </w:trPr>
        <w:tc>
          <w:tcPr>
            <w:tcW w:type="dxa" w:w="57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327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Pregunta</w:t>
            </w:r>
          </w:p>
        </w:tc>
        <w:tc>
          <w:tcPr>
            <w:tcW w:type="dxa" w:w="578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¿401 o 403?</w:t>
            </w:r>
          </w:p>
        </w:tc>
        <w:tc>
          <w:tcPr>
            <w:tcW w:type="dxa" w:w="578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del gateway: no sabemos quién eres.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del microservicio: sabemos quién eres, pero no tienes el rol.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validar dos veces?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Defensa en profundidad: los puertos del EC2 son alcanzables; quien llegue directo igual necesita un token válido.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¿Para qué el BFF?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gateway enruta y valida; el BFF compone. El tablero serían tres llamadas y es una.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se hablan los microservicios?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Reenvían el token del usuario y el receptor lo revalida. Ninguna llamada interna es anónima.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B85F00"/>
        </w:rPr>
        <w:t xml:space="preserve">Despliegue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5785"/>
      </w:tblGrid>
      <w:tr>
        <w:trPr>
          <w:tblHeader/>
        </w:trPr>
        <w:tc>
          <w:tcPr>
            <w:tcW w:type="dxa" w:w="57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327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Pregunta</w:t>
            </w:r>
          </w:p>
        </w:tc>
        <w:tc>
          <w:tcPr>
            <w:tcW w:type="dxa" w:w="578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¿Dónde está cada componente?</w:t>
            </w:r>
          </w:p>
        </w:tc>
        <w:tc>
          <w:tcPr>
            <w:tcW w:type="dxa" w:w="578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 Amplify (HTTPS) · API Gateway en AWS · backend en EC2 · identidad en Entra External ID.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Amplify y no CloudFront?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laboratorio no permite CloudFront; Amplify es de AWS y entrega el HTTPS que exige Entra.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¿Para qué la IP elástica?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que la dirección no cambie al apagarse la instancia y el gateway no se reconfigure.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demostraste que funciona?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contra AWS: 22 rutas, 31/31 verificaciones con y sin token.</w:t>
            </w:r>
          </w:p>
        </w:tc>
      </w:tr>
      <w:tr>
        <w:trPr>
          <w:cantSplit/>
        </w:trPr>
        <w:tc>
          <w:tcPr>
            <w:tcW w:type="dxa" w:w="57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327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¿Algún problema real?</w:t>
            </w:r>
          </w:p>
        </w:tc>
        <w:tc>
          <w:tcPr>
            <w:tcW w:type="dxa" w:w="578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emitió el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aud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como el client ID de la API y no como </w:t>
            </w:r>
            <w:r>
              <w:rPr>
                <w:rFonts w:ascii="Consolas" w:cs="Consolas" w:eastAsia="Consolas" w:hAnsi="Consolas"/>
                <w:color w:val="1B2B4B"/>
                <w:sz w:val="19"/>
                <w:szCs w:val="19"/>
              </w:rPr>
              <w:t xml:space="preserve">api://pedidos360-api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aceptamos ambos identificadores de la misma API.</w:t>
            </w:r>
          </w:p>
        </w:tc>
      </w:tr>
    </w:tbl>
    <w:p>
      <w:pPr>
        <w:spacing w:after="120"/>
      </w:pP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Pedidos360 · Guía de presentación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B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60"/>
    </w:pPr>
    <w:rPr>
      <w:rFonts w:ascii="Arial" w:cs="Arial" w:eastAsia="Arial" w:hAnsi="Arial"/>
      <w:b/>
      <w:bCs/>
      <w:color w:val="1B2B4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</w:pPr>
    <w:rPr>
      <w:rFonts w:ascii="Arial" w:cs="Arial" w:eastAsia="Arial" w:hAnsi="Arial"/>
      <w:b/>
      <w:bCs/>
      <w:color w:val="0063B1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Pedidos360 — Guía de presentación</dc:title>
  <dc:creator>Joshua Mardones, Sofía Troncoso</dc:creator>
  <cp:lastModifiedBy>Un-named</cp:lastModifiedBy>
  <cp:revision>1</cp:revision>
  <dcterms:created xsi:type="dcterms:W3CDTF">2026-09-21T08:22:11.285Z</dcterms:created>
  <dcterms:modified xsi:type="dcterms:W3CDTF">2026-09-21T08:22:11.286Z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