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before="200" w:line="360" w:lineRule="auto"/>
        <w:ind w:left="-360" w:right="-360" w:firstLine="0"/>
        <w:rPr>
          <w:rFonts w:ascii="Google Sans" w:cs="Google Sans" w:eastAsia="Google Sans" w:hAnsi="Google Sans"/>
          <w:b w:val="1"/>
          <w:color w:val="3c4043"/>
          <w:sz w:val="40"/>
          <w:szCs w:val="40"/>
        </w:rPr>
      </w:pPr>
      <w:r w:rsidDel="00000000" w:rsidR="00000000" w:rsidRPr="00000000">
        <w:rPr>
          <w:rFonts w:ascii="Google Sans" w:cs="Google Sans" w:eastAsia="Google Sans" w:hAnsi="Google Sans"/>
          <w:b w:val="1"/>
          <w:color w:val="3c4043"/>
          <w:sz w:val="40"/>
          <w:szCs w:val="40"/>
          <w:rtl w:val="0"/>
        </w:rPr>
        <w:t xml:space="preserve">Incident</w:t>
      </w:r>
      <w:r w:rsidDel="00000000" w:rsidR="00000000" w:rsidRPr="00000000">
        <w:rPr>
          <w:rFonts w:ascii="Google Sans" w:cs="Google Sans" w:eastAsia="Google Sans" w:hAnsi="Google Sans"/>
          <w:b w:val="1"/>
          <w:color w:val="3c4043"/>
          <w:sz w:val="40"/>
          <w:szCs w:val="40"/>
          <w:rtl w:val="0"/>
        </w:rPr>
        <w:t xml:space="preserve"> report analysis</w:t>
      </w:r>
    </w:p>
    <w:p w:rsidR="00000000" w:rsidDel="00000000" w:rsidP="00000000" w:rsidRDefault="00000000" w:rsidRPr="00000000" w14:paraId="00000002">
      <w:pPr>
        <w:spacing w:after="200" w:line="360" w:lineRule="auto"/>
        <w:ind w:left="-360" w:right="-360" w:firstLine="0"/>
        <w:rPr>
          <w:rFonts w:ascii="Google Sans" w:cs="Google Sans" w:eastAsia="Google Sans" w:hAnsi="Google Sans"/>
          <w:sz w:val="24"/>
          <w:szCs w:val="24"/>
        </w:rPr>
      </w:pPr>
      <w:r w:rsidDel="00000000" w:rsidR="00000000" w:rsidRPr="00000000">
        <w:rPr>
          <w:rFonts w:ascii="Google Sans" w:cs="Google Sans" w:eastAsia="Google Sans" w:hAnsi="Google Sans"/>
          <w:b w:val="1"/>
          <w:color w:val="34a853"/>
          <w:sz w:val="24"/>
          <w:szCs w:val="24"/>
          <w:rtl w:val="0"/>
        </w:rPr>
        <w:t xml:space="preserve">Instructions</w:t>
      </w:r>
      <w:r w:rsidDel="00000000" w:rsidR="00000000" w:rsidRPr="00000000">
        <w:rPr>
          <w:rtl w:val="0"/>
        </w:rPr>
      </w:r>
    </w:p>
    <w:p w:rsidR="00000000" w:rsidDel="00000000" w:rsidP="00000000" w:rsidRDefault="00000000" w:rsidRPr="00000000" w14:paraId="00000003">
      <w:pPr>
        <w:spacing w:after="200" w:line="360" w:lineRule="auto"/>
        <w:ind w:left="-360" w:right="-360" w:firstLine="0"/>
        <w:rPr>
          <w:rFonts w:ascii="Google Sans" w:cs="Google Sans" w:eastAsia="Google Sans" w:hAnsi="Google Sans"/>
          <w:sz w:val="24"/>
          <w:szCs w:val="24"/>
        </w:rPr>
      </w:pPr>
      <w:r w:rsidDel="00000000" w:rsidR="00000000" w:rsidRPr="00000000">
        <w:rPr>
          <w:rFonts w:ascii="Google Sans" w:cs="Google Sans" w:eastAsia="Google Sans" w:hAnsi="Google Sans"/>
          <w:sz w:val="24"/>
          <w:szCs w:val="24"/>
          <w:rtl w:val="0"/>
        </w:rPr>
        <w:t xml:space="preserve">As you continue through this course, you may use this template to record your findings after completing an activity or to take notes on what you've learned about a specific tool or concept. </w:t>
      </w:r>
      <w:r w:rsidDel="00000000" w:rsidR="00000000" w:rsidRPr="00000000">
        <w:rPr>
          <w:rFonts w:ascii="Google Sans" w:cs="Google Sans" w:eastAsia="Google Sans" w:hAnsi="Google Sans"/>
          <w:sz w:val="24"/>
          <w:szCs w:val="24"/>
          <w:rtl w:val="0"/>
        </w:rPr>
        <w:t xml:space="preserve">You can also use this chart as a way to practice applying the NIST framework to different situations you encounter.</w:t>
      </w:r>
      <w:r w:rsidDel="00000000" w:rsidR="00000000" w:rsidRPr="00000000">
        <w:rPr>
          <w:rtl w:val="0"/>
        </w:rPr>
      </w:r>
    </w:p>
    <w:tbl>
      <w:tblPr>
        <w:tblStyle w:val="Table1"/>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55"/>
        <w:gridCol w:w="2055"/>
        <w:gridCol w:w="2985"/>
        <w:gridCol w:w="2985"/>
        <w:tblGridChange w:id="0">
          <w:tblGrid>
            <w:gridCol w:w="2055"/>
            <w:gridCol w:w="2055"/>
            <w:gridCol w:w="2985"/>
            <w:gridCol w:w="2985"/>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4">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b w:val="1"/>
                <w:rtl w:val="0"/>
              </w:rPr>
              <w:t xml:space="preserve">Summary</w:t>
            </w:r>
            <w:r w:rsidDel="00000000" w:rsidR="00000000" w:rsidRPr="00000000">
              <w:rPr>
                <w:rtl w:val="0"/>
              </w:rPr>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5">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In the morning, the employees couldn’t access the internal network which contains all the designs and confidential client information. The security team noticed that the company’s network services stopped responding suddenly due to an incoming flood of ICMP packets. Normal internal network traffic couldn’t access any network resources. The incident management team responded by blocking the incoming ICMP packets and stopped all non-critical network services and tried to restore critical network services. They found that a malicious actor has committed a DDoS attack ( ICMP flood attack) through an unconfigured firewall in the company’s network. We were able to restore the internal network server within 2 hours with no data leaks or data compromises.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Identify</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9">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company’s cybersecurity team investigated the security incident and found that a malicious actor had sent a flood of ICMP pings into the company’s network through an unconfigured firewall. This vulnerability allowed the malicious attacker to overwhelm the company’s network through a DDoS attack ( ICMP flood attack). This resulted in the compromise of the internal network for two hours until the security incident was resolved.</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Protect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0D">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To address this security event, the network security team implemented :</w:t>
            </w:r>
          </w:p>
          <w:p w:rsidR="00000000" w:rsidDel="00000000" w:rsidP="00000000" w:rsidRDefault="00000000" w:rsidRPr="00000000" w14:paraId="0000000E">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 new firewall rule to limit the rate of incoming ICMP packets.</w:t>
            </w:r>
          </w:p>
          <w:p w:rsidR="00000000" w:rsidDel="00000000" w:rsidP="00000000" w:rsidRDefault="00000000" w:rsidRPr="00000000" w14:paraId="0000000F">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Source IP address verification on the firewall to check for spoofed IP addresses on incoming ICMP packets.</w:t>
            </w:r>
          </w:p>
          <w:p w:rsidR="00000000" w:rsidDel="00000000" w:rsidP="00000000" w:rsidRDefault="00000000" w:rsidRPr="00000000" w14:paraId="00000010">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Network monitoring software to detect abnormal traffic patterns.</w:t>
            </w:r>
          </w:p>
          <w:p w:rsidR="00000000" w:rsidDel="00000000" w:rsidP="00000000" w:rsidRDefault="00000000" w:rsidRPr="00000000" w14:paraId="00000011">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An Intrusion Detection System(IDS)/(IPS) to filter out suspicious traffic.</w:t>
            </w:r>
          </w:p>
        </w:tc>
      </w:tr>
      <w:tr>
        <w:trPr>
          <w:cantSplit w:val="0"/>
          <w:trHeight w:val="63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4">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Detect</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5">
            <w:pPr>
              <w:widowControl w:val="0"/>
              <w:spacing w:line="360" w:lineRule="auto"/>
              <w:ind w:left="0" w:firstLine="0"/>
              <w:rPr>
                <w:rFonts w:ascii="Google Sans" w:cs="Google Sans" w:eastAsia="Google Sans" w:hAnsi="Google Sans"/>
              </w:rPr>
            </w:pPr>
            <w:r w:rsidDel="00000000" w:rsidR="00000000" w:rsidRPr="00000000">
              <w:rPr>
                <w:rFonts w:ascii="Google Sans" w:cs="Google Sans" w:eastAsia="Google Sans" w:hAnsi="Google Sans"/>
                <w:rtl w:val="0"/>
              </w:rPr>
              <w:t xml:space="preserve">The network security team has introduced IDS/IPS for the monitoring of suspicious ICMP traffic .Firewall logging tool has also been implemented and new policies for firewall configurations have been incorporated for future proofing the servers.</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8">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Respond</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9">
            <w:pPr>
              <w:widowControl w:val="0"/>
              <w:spacing w:line="360" w:lineRule="auto"/>
              <w:rPr>
                <w:rFonts w:ascii="Google Sans" w:cs="Google Sans" w:eastAsia="Google Sans" w:hAnsi="Google Sans"/>
              </w:rPr>
            </w:pPr>
            <w:r w:rsidDel="00000000" w:rsidR="00000000" w:rsidRPr="00000000">
              <w:rPr>
                <w:color w:val="0f1114"/>
                <w:sz w:val="24"/>
                <w:szCs w:val="24"/>
                <w:highlight w:val="white"/>
                <w:rtl w:val="0"/>
              </w:rPr>
              <w:t xml:space="preserve">The incident management team responded to the security incident by blocking incoming ICMP packets, stopping all non-critical network services offline, and restoring critical network services. </w:t>
            </w: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Recover</w:t>
            </w:r>
          </w:p>
        </w:tc>
        <w:tc>
          <w:tcPr>
            <w:gridSpan w:val="3"/>
            <w:shd w:fill="auto" w:val="clear"/>
            <w:tcMar>
              <w:top w:w="100.0" w:type="dxa"/>
              <w:left w:w="100.0" w:type="dxa"/>
              <w:bottom w:w="100.0" w:type="dxa"/>
              <w:right w:w="100.0" w:type="dxa"/>
            </w:tcMar>
            <w:vAlign w:val="top"/>
          </w:tcPr>
          <w:p w:rsidR="00000000" w:rsidDel="00000000" w:rsidP="00000000" w:rsidRDefault="00000000" w:rsidRPr="00000000" w14:paraId="0000001D">
            <w:pPr>
              <w:widowControl w:val="0"/>
              <w:spacing w:line="36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The security incident did not result in any data leaks or data compromises.The internal network was fully restored within 2 hours. We also informed the staff about the incident and took measures like source IP address verification on the firewall to check for spoofed IP addresses.</w:t>
            </w:r>
          </w:p>
        </w:tc>
      </w:tr>
    </w:tbl>
    <w:p w:rsidR="00000000" w:rsidDel="00000000" w:rsidP="00000000" w:rsidRDefault="00000000" w:rsidRPr="00000000" w14:paraId="00000020">
      <w:pPr>
        <w:spacing w:after="200" w:line="360" w:lineRule="auto"/>
        <w:ind w:left="-360" w:right="-360" w:firstLine="0"/>
        <w:rPr>
          <w:rFonts w:ascii="Google Sans" w:cs="Google Sans" w:eastAsia="Google Sans" w:hAnsi="Google Sans"/>
        </w:rPr>
      </w:pPr>
      <w:r w:rsidDel="00000000" w:rsidR="00000000" w:rsidRPr="00000000">
        <w:rPr>
          <w:rtl w:val="0"/>
        </w:rPr>
      </w:r>
    </w:p>
    <w:p w:rsidR="00000000" w:rsidDel="00000000" w:rsidP="00000000" w:rsidRDefault="00000000" w:rsidRPr="00000000" w14:paraId="00000021">
      <w:pPr>
        <w:spacing w:after="200" w:line="360" w:lineRule="auto"/>
        <w:ind w:left="-360" w:right="-360" w:firstLine="0"/>
        <w:rPr>
          <w:rFonts w:ascii="Google Sans" w:cs="Google Sans" w:eastAsia="Google Sans" w:hAnsi="Google Sans"/>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spacing w:line="360" w:lineRule="auto"/>
        <w:ind w:left="-360" w:right="-360" w:firstLine="0"/>
        <w:rPr>
          <w:rFonts w:ascii="Google Sans" w:cs="Google Sans" w:eastAsia="Google Sans" w:hAnsi="Google Sans"/>
        </w:rPr>
      </w:pPr>
      <w:r w:rsidDel="00000000" w:rsidR="00000000" w:rsidRPr="00000000">
        <w:rPr>
          <w:rtl w:val="0"/>
        </w:rPr>
      </w:r>
    </w:p>
    <w:tbl>
      <w:tblPr>
        <w:tblStyle w:val="Table2"/>
        <w:tblW w:w="10080.0" w:type="dxa"/>
        <w:jc w:val="left"/>
        <w:tblInd w:w="-36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0080"/>
        <w:tblGridChange w:id="0">
          <w:tblGrid>
            <w:gridCol w:w="100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Google Sans" w:cs="Google Sans" w:eastAsia="Google Sans" w:hAnsi="Google Sans"/>
              </w:rPr>
            </w:pPr>
            <w:r w:rsidDel="00000000" w:rsidR="00000000" w:rsidRPr="00000000">
              <w:rPr>
                <w:rFonts w:ascii="Google Sans" w:cs="Google Sans" w:eastAsia="Google Sans" w:hAnsi="Google Sans"/>
                <w:rtl w:val="0"/>
              </w:rPr>
              <w:t xml:space="preserve">Reflections/Notes:</w:t>
            </w:r>
            <w:r w:rsidDel="00000000" w:rsidR="00000000" w:rsidRPr="00000000">
              <w:rPr>
                <w:rtl w:val="0"/>
              </w:rPr>
            </w:r>
          </w:p>
        </w:tc>
      </w:tr>
    </w:tbl>
    <w:p w:rsidR="00000000" w:rsidDel="00000000" w:rsidP="00000000" w:rsidRDefault="00000000" w:rsidRPr="00000000" w14:paraId="00000024">
      <w:pPr>
        <w:spacing w:line="360" w:lineRule="auto"/>
        <w:ind w:left="-360" w:right="-360" w:firstLine="0"/>
        <w:rPr>
          <w:rFonts w:ascii="Google Sans" w:cs="Google Sans" w:eastAsia="Google Sans" w:hAnsi="Google Sans"/>
        </w:rPr>
      </w:pPr>
      <w:r w:rsidDel="00000000" w:rsidR="00000000" w:rsidRPr="00000000">
        <w:rPr>
          <w:rtl w:val="0"/>
        </w:rPr>
      </w:r>
    </w:p>
    <w:sectPr>
      <w:headerReference r:id="rId6" w:type="default"/>
      <w:headerReference r:id="rId7" w:type="first"/>
      <w:footerReference r:id="rId8" w:type="first"/>
      <w:pgSz w:h="15840" w:w="12240"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rPr/>
    </w:pPr>
    <w:r w:rsidDel="00000000" w:rsidR="00000000" w:rsidRPr="00000000">
      <w:rPr/>
      <w:drawing>
        <wp:inline distB="114300" distT="114300" distL="114300" distR="114300">
          <wp:extent cx="1096601" cy="814388"/>
          <wp:effectExtent b="0" l="0" r="0" t="0"/>
          <wp:docPr id="1" name="image1.png"/>
          <a:graphic>
            <a:graphicData uri="http://schemas.openxmlformats.org/drawingml/2006/picture">
              <pic:pic>
                <pic:nvPicPr>
                  <pic:cNvPr id="0" name="image1.png"/>
                  <pic:cNvPicPr preferRelativeResize="0"/>
                </pic:nvPicPr>
                <pic:blipFill>
                  <a:blip r:embed="rId1"/>
                  <a:srcRect b="26277" l="13942" r="18910" t="28613"/>
                  <a:stretch>
                    <a:fillRect/>
                  </a:stretch>
                </pic:blipFill>
                <pic:spPr>
                  <a:xfrm>
                    <a:off x="0" y="0"/>
                    <a:ext cx="1096601" cy="814388"/>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