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 w:lineRule="auto" w:line="264"/>
        <w:jc w:val="center"/>
      </w:pPr>
      <w:r>
        <w:rPr>
          <w:rFonts w:ascii="Calibri" w:hAnsi="Calibri" w:eastAsia="Calibri"/>
          <w:b/>
          <w:i w:val="0"/>
          <w:color w:val="1A365D"/>
          <w:sz w:val="44"/>
        </w:rPr>
        <w:t>StacksPot Growth Acceleration Proposal</w:t>
      </w:r>
    </w:p>
    <w:p>
      <w:pPr>
        <w:spacing w:before="0" w:after="200" w:lineRule="auto" w:line="264"/>
        <w:jc w:val="center"/>
      </w:pPr>
      <w:r>
        <w:rPr>
          <w:rFonts w:ascii="Calibri" w:hAnsi="Calibri" w:eastAsia="Calibri"/>
          <w:b w:val="0"/>
          <w:i/>
          <w:color w:val="2B6CB0"/>
          <w:sz w:val="24"/>
        </w:rPr>
        <w:t>A Sponsored Yield Boosting Initiative for Ecosystem Growth</w:t>
      </w:r>
    </w:p>
    <w:p>
      <w:pPr>
        <w:spacing w:before="80" w:after="80" w:lineRule="auto" w:line="240"/>
        <w:pBdr>
          <w:bottom w:val="single" w:sz="12" w:space="1" w:color="2B6CB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Submitted By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StacksPot Team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Submitted To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Stacks Endowment Team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Program Duration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 months · 10 cycles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Cycle Length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 weeks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Pots per Cycle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23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Pots per Month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46 (2 cycles)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Total Pots (Program)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230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Requested Allocation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500,000 STX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Capital Model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Reusable — returned to sponsor after each cycle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July 2026</w:t>
            </w:r>
          </w:p>
        </w:tc>
      </w:tr>
    </w:tbl>
    <w:p>
      <w:pPr>
        <w:spacing w:before="80" w:after="80" w:lineRule="auto" w:line="276"/>
      </w:pP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1. Objective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Accelerate Stacks user adoption through sponsored pot campaigns that boost rewards, deepen STX activity, and introduce more participants to Bitcoin-secured DeFi on Stacks.</w:t>
      </w: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2. Executive Summary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StacksPot is a decentralized, yield-powered community pot protocol on Stacks. Users join transparent reward pools while preserving principal and earning Bitcoin-secured DeFi yield.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Early growth is constrained less by product readiness than by </w:t>
      </w:r>
      <w:r>
        <w:rPr>
          <w:rFonts w:ascii="Calibri" w:hAnsi="Calibri" w:eastAsia="Calibri"/>
          <w:b/>
          <w:i w:val="0"/>
          <w:color w:val="1F2937"/>
          <w:sz w:val="22"/>
        </w:rPr>
        <w:t>reward perception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—users weigh expected upside against commitment size and wait time. To close that gap, StacksPot requests a </w:t>
      </w:r>
      <w:r>
        <w:rPr>
          <w:rFonts w:ascii="Calibri" w:hAnsi="Calibri" w:eastAsia="Calibri"/>
          <w:b/>
          <w:i w:val="0"/>
          <w:color w:val="1F2937"/>
          <w:sz w:val="22"/>
        </w:rPr>
        <w:t>500,000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Endowment sponsorship allocation for a </w:t>
      </w:r>
      <w:r>
        <w:rPr>
          <w:rFonts w:ascii="Calibri" w:hAnsi="Calibri" w:eastAsia="Calibri"/>
          <w:b/>
          <w:i w:val="0"/>
          <w:color w:val="1F2937"/>
          <w:sz w:val="22"/>
        </w:rPr>
        <w:t>5-month Growth Accelerator</w:t>
      </w:r>
      <w:r>
        <w:rPr>
          <w:rFonts w:ascii="Calibri" w:hAnsi="Calibri" w:eastAsia="Calibri"/>
          <w:b w:val="0"/>
          <w:i w:val="0"/>
          <w:color w:val="1F2937"/>
          <w:sz w:val="22"/>
        </w:rPr>
        <w:t>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Sponsorship capital is </w:t>
      </w:r>
      <w:r>
        <w:rPr>
          <w:rFonts w:ascii="Calibri" w:hAnsi="Calibri" w:eastAsia="Calibri"/>
          <w:b/>
          <w:i w:val="0"/>
          <w:color w:val="1F2937"/>
          <w:sz w:val="22"/>
        </w:rPr>
        <w:t>delegated into pots each 2-week cycle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, then </w:t>
      </w:r>
      <w:r>
        <w:rPr>
          <w:rFonts w:ascii="Calibri" w:hAnsi="Calibri" w:eastAsia="Calibri"/>
          <w:b/>
          <w:i w:val="0"/>
          <w:color w:val="1F2937"/>
          <w:sz w:val="22"/>
        </w:rPr>
        <w:t>returned to the sponsor address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when the cycle closes. The </w:t>
      </w:r>
      <w:r>
        <w:rPr>
          <w:rFonts w:ascii="Calibri" w:hAnsi="Calibri" w:eastAsia="Calibri"/>
          <w:b/>
          <w:i w:val="0"/>
          <w:color w:val="1F2937"/>
          <w:sz w:val="22"/>
        </w:rPr>
        <w:t>same 500,000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is redeployed across all </w:t>
      </w:r>
      <w:r>
        <w:rPr>
          <w:rFonts w:ascii="Calibri" w:hAnsi="Calibri" w:eastAsia="Calibri"/>
          <w:b/>
          <w:i w:val="0"/>
          <w:color w:val="1F2937"/>
          <w:sz w:val="22"/>
        </w:rPr>
        <w:t>10 cycles</w:t>
      </w:r>
      <w:r>
        <w:rPr>
          <w:rFonts w:ascii="Calibri" w:hAnsi="Calibri" w:eastAsia="Calibri"/>
          <w:b w:val="0"/>
          <w:i w:val="0"/>
          <w:color w:val="1F2937"/>
          <w:sz w:val="22"/>
        </w:rPr>
        <w:t>. The Endowment’s capital ask does not multiply with cycle count.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59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Scope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Cycles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Pots</w:t>
            </w:r>
          </w:p>
        </w:tc>
        <w:tc>
          <w:tcPr>
            <w:tcW w:type="dxa" w:w="403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Capital Required</w:t>
            </w:r>
          </w:p>
        </w:tc>
      </w:tr>
      <w:tr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Per cycle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</w:t>
            </w:r>
          </w:p>
        </w:tc>
        <w:tc>
          <w:tcPr>
            <w:tcW w:type="dxa" w:w="403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500,000 STX (delegated)</w:t>
            </w:r>
          </w:p>
        </w:tc>
      </w:tr>
      <w:tr>
        <w:tc>
          <w:tcPr>
            <w:tcW w:type="dxa" w:w="259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Per month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46</w:t>
            </w:r>
          </w:p>
        </w:tc>
        <w:tc>
          <w:tcPr>
            <w:tcW w:type="dxa" w:w="403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500,000 STX (same capital, reused)</w:t>
            </w:r>
          </w:p>
        </w:tc>
      </w:tr>
      <w:tr>
        <w:tc>
          <w:tcPr>
            <w:tcW w:type="dxa" w:w="259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5-month program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10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230</w:t>
            </w:r>
          </w:p>
        </w:tc>
        <w:tc>
          <w:tcPr>
            <w:tcW w:type="dxa" w:w="403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500,000 STX (same capital, reused)</w:t>
            </w:r>
          </w:p>
        </w:tc>
      </w:tr>
    </w:tbl>
    <w:p>
      <w:pPr>
        <w:spacing w:before="0" w:after="120" w:lineRule="auto" w:line="240"/>
      </w:pP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3. How Sponsorship Capital Works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Endowment allocates 500,000 STX to the sponsor address.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That STX is delegated across the 23 pots in the active cycle.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When the cycle ends, delegated amounts are returned to the sponsor address.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The same STX is redeployed for the next cycle.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This repeats for 10 cycles over 5 months.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One allocation powers the full campaign without requiring new capital each cycle.</w:t>
      </w: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4. Boosting Campaign Structure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This table is the full breakdown of the sponsored campaign. All figures use the reusable 500,000 STX allocation across 10 cycles (5 months).</w:t>
      </w:r>
    </w:p>
    <w:p>
      <w:pPr>
        <w:spacing w:before="0" w:after="120" w:lineRule="auto" w:line="276"/>
      </w:pPr>
      <w:r>
        <w:rPr>
          <w:rFonts w:ascii="Calibri" w:hAnsi="Calibri" w:eastAsia="Calibri"/>
          <w:b w:val="0"/>
          <w:i/>
          <w:color w:val="4A5568"/>
          <w:sz w:val="20"/>
        </w:rPr>
        <w:t xml:space="preserve">(*) Pot type: </w:t>
      </w:r>
      <w:r>
        <w:rPr>
          <w:rFonts w:ascii="Calibri" w:hAnsi="Calibri" w:eastAsia="Calibri"/>
          <w:b w:val="0"/>
          <w:i/>
          <w:color w:val="4A5568"/>
          <w:sz w:val="20"/>
        </w:rPr>
        <w:t>JackPot or Sequential, as noted in Qty.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6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Qty of Pots / Cycle (*)</w:t>
            </w:r>
          </w:p>
        </w:tc>
        <w:tc>
          <w:tcPr>
            <w:tcW w:type="dxa" w:w="100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Entry Min.</w:t>
            </w:r>
          </w:p>
        </w:tc>
        <w:tc>
          <w:tcPr>
            <w:tcW w:type="dxa" w:w="13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Min. Participants</w:t>
            </w:r>
          </w:p>
        </w:tc>
        <w:tc>
          <w:tcPr>
            <w:tcW w:type="dxa" w:w="108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Pot Target</w:t>
            </w:r>
          </w:p>
        </w:tc>
        <w:tc>
          <w:tcPr>
            <w:tcW w:type="dxa" w:w="86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Tx</w:t>
            </w:r>
          </w:p>
        </w:tc>
        <w:tc>
          <w:tcPr>
            <w:tcW w:type="dxa" w:w="129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Stacked</w:t>
            </w:r>
          </w:p>
        </w:tc>
        <w:tc>
          <w:tcPr>
            <w:tcW w:type="dxa" w:w="129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Participants</w:t>
            </w:r>
          </w:p>
        </w:tc>
        <w:tc>
          <w:tcPr>
            <w:tcW w:type="dxa" w:w="158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Awarded Boost</w:t>
            </w:r>
          </w:p>
        </w:tc>
      </w:tr>
      <w:tr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 (JackPot)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25 STX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25</w:t>
            </w:r>
          </w:p>
        </w:tc>
        <w:tc>
          <w:tcPr>
            <w:tcW w:type="dxa" w:w="10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625 STX</w:t>
            </w:r>
          </w:p>
        </w:tc>
        <w:tc>
          <w:tcPr>
            <w:tcW w:type="dxa" w:w="86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2,900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62,500 STX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2,500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10,000 STX / pot</w:t>
            </w:r>
          </w:p>
        </w:tc>
      </w:tr>
      <w:tr>
        <w:tc>
          <w:tcPr>
            <w:tcW w:type="dxa" w:w="165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12 (JackPot)</w:t>
            </w:r>
          </w:p>
        </w:tc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50 STX</w:t>
            </w:r>
          </w:p>
        </w:tc>
        <w:tc>
          <w:tcPr>
            <w:tcW w:type="dxa" w:w="13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50</w:t>
            </w:r>
          </w:p>
        </w:tc>
        <w:tc>
          <w:tcPr>
            <w:tcW w:type="dxa" w:w="108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2,500 STX</w:t>
            </w:r>
          </w:p>
        </w:tc>
        <w:tc>
          <w:tcPr>
            <w:tcW w:type="dxa" w:w="86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6,480</w:t>
            </w:r>
          </w:p>
        </w:tc>
        <w:tc>
          <w:tcPr>
            <w:tcW w:type="dxa" w:w="129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300,000 STX</w:t>
            </w:r>
          </w:p>
        </w:tc>
        <w:tc>
          <w:tcPr>
            <w:tcW w:type="dxa" w:w="129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6,000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25,000 STX / pot</w:t>
            </w:r>
          </w:p>
        </w:tc>
      </w:tr>
      <w:tr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 (Sequential)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350 STX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</w:t>
            </w:r>
          </w:p>
        </w:tc>
        <w:tc>
          <w:tcPr>
            <w:tcW w:type="dxa" w:w="10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3,500 STX</w:t>
            </w:r>
          </w:p>
        </w:tc>
        <w:tc>
          <w:tcPr>
            <w:tcW w:type="dxa" w:w="86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140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35,000 STX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100,000 STX / pot</w:t>
            </w:r>
          </w:p>
        </w:tc>
      </w:tr>
      <w:tr>
        <w:tc>
          <w:tcPr>
            <w:tcW w:type="dxa" w:w="165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23 total</w:t>
            </w:r>
          </w:p>
        </w:tc>
        <w:tc>
          <w:tcPr>
            <w:tcW w:type="dxa" w:w="100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36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08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86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9,520</w:t>
            </w:r>
          </w:p>
        </w:tc>
        <w:tc>
          <w:tcPr>
            <w:tcW w:type="dxa" w:w="129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397,500 STX</w:t>
            </w:r>
          </w:p>
        </w:tc>
        <w:tc>
          <w:tcPr>
            <w:tcW w:type="dxa" w:w="129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8,600</w:t>
            </w:r>
          </w:p>
        </w:tc>
        <w:tc>
          <w:tcPr>
            <w:tcW w:type="dxa" w:w="158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500,000 STX / cycle</w:t>
            </w:r>
          </w:p>
        </w:tc>
      </w:tr>
    </w:tbl>
    <w:p>
      <w:pPr>
        <w:spacing w:before="0" w:after="120" w:lineRule="auto" w:line="240"/>
      </w:pPr>
    </w:p>
    <w:p>
      <w:pPr>
        <w:spacing w:before="200" w:after="120" w:lineRule="auto" w:line="276"/>
      </w:pPr>
      <w:r>
        <w:rPr>
          <w:rFonts w:ascii="Calibri" w:hAnsi="Calibri" w:eastAsia="Calibri"/>
          <w:b/>
          <w:i w:val="0"/>
          <w:color w:val="2B6CB0"/>
          <w:sz w:val="24"/>
        </w:rPr>
        <w:t>Tier Notes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79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Tier</w:t>
            </w:r>
          </w:p>
        </w:tc>
        <w:tc>
          <w:tcPr>
            <w:tcW w:type="dxa" w:w="129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Pot Type</w:t>
            </w:r>
          </w:p>
        </w:tc>
        <w:tc>
          <w:tcPr>
            <w:tcW w:type="dxa" w:w="122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Pots / Cycle</w:t>
            </w:r>
          </w:p>
        </w:tc>
        <w:tc>
          <w:tcPr>
            <w:tcW w:type="dxa" w:w="108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Entry Min.</w:t>
            </w:r>
          </w:p>
        </w:tc>
        <w:tc>
          <w:tcPr>
            <w:tcW w:type="dxa" w:w="13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Min. Part. / Pot</w:t>
            </w:r>
          </w:p>
        </w:tc>
        <w:tc>
          <w:tcPr>
            <w:tcW w:type="dxa" w:w="122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Pot Target</w:t>
            </w:r>
          </w:p>
        </w:tc>
        <w:tc>
          <w:tcPr>
            <w:tcW w:type="dxa" w:w="13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Boost / Pot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Tier Capital</w:t>
            </w:r>
          </w:p>
        </w:tc>
      </w:tr>
      <w:tr>
        <w:tc>
          <w:tcPr>
            <w:tcW w:type="dxa" w:w="7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A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JackPot</w:t>
            </w:r>
          </w:p>
        </w:tc>
        <w:tc>
          <w:tcPr>
            <w:tcW w:type="dxa" w:w="12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</w:t>
            </w:r>
          </w:p>
        </w:tc>
        <w:tc>
          <w:tcPr>
            <w:tcW w:type="dxa" w:w="10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25 STX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25</w:t>
            </w:r>
          </w:p>
        </w:tc>
        <w:tc>
          <w:tcPr>
            <w:tcW w:type="dxa" w:w="12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625 STX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10,000 STX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100,000 STX</w:t>
            </w:r>
          </w:p>
        </w:tc>
      </w:tr>
      <w:tr>
        <w:tc>
          <w:tcPr>
            <w:tcW w:type="dxa" w:w="79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B</w:t>
            </w:r>
          </w:p>
        </w:tc>
        <w:tc>
          <w:tcPr>
            <w:tcW w:type="dxa" w:w="129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JackPot</w:t>
            </w:r>
          </w:p>
        </w:tc>
        <w:tc>
          <w:tcPr>
            <w:tcW w:type="dxa" w:w="122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12</w:t>
            </w:r>
          </w:p>
        </w:tc>
        <w:tc>
          <w:tcPr>
            <w:tcW w:type="dxa" w:w="108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50 STX</w:t>
            </w:r>
          </w:p>
        </w:tc>
        <w:tc>
          <w:tcPr>
            <w:tcW w:type="dxa" w:w="13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50</w:t>
            </w:r>
          </w:p>
        </w:tc>
        <w:tc>
          <w:tcPr>
            <w:tcW w:type="dxa" w:w="122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2,500 STX</w:t>
            </w:r>
          </w:p>
        </w:tc>
        <w:tc>
          <w:tcPr>
            <w:tcW w:type="dxa" w:w="13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25,000 STX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300,000 STX</w:t>
            </w:r>
          </w:p>
        </w:tc>
      </w:tr>
      <w:tr>
        <w:tc>
          <w:tcPr>
            <w:tcW w:type="dxa" w:w="7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C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Sequential</w:t>
            </w:r>
          </w:p>
        </w:tc>
        <w:tc>
          <w:tcPr>
            <w:tcW w:type="dxa" w:w="12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</w:t>
            </w:r>
          </w:p>
        </w:tc>
        <w:tc>
          <w:tcPr>
            <w:tcW w:type="dxa" w:w="10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350 STX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</w:t>
            </w:r>
          </w:p>
        </w:tc>
        <w:tc>
          <w:tcPr>
            <w:tcW w:type="dxa" w:w="12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3,500 STX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100,000 STX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100,000 STX</w:t>
            </w:r>
          </w:p>
        </w:tc>
      </w:tr>
      <w:tr>
        <w:tc>
          <w:tcPr>
            <w:tcW w:type="dxa" w:w="79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Total</w:t>
            </w:r>
          </w:p>
        </w:tc>
        <w:tc>
          <w:tcPr>
            <w:tcW w:type="dxa" w:w="129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22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23</w:t>
            </w:r>
          </w:p>
        </w:tc>
        <w:tc>
          <w:tcPr>
            <w:tcW w:type="dxa" w:w="108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36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22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36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500,000 STX</w:t>
            </w:r>
          </w:p>
        </w:tc>
      </w:tr>
    </w:tbl>
    <w:p>
      <w:pPr>
        <w:spacing w:before="0" w:after="120" w:lineRule="auto" w:line="240"/>
      </w:pPr>
    </w:p>
    <w:p>
      <w:pPr>
        <w:spacing w:before="0" w:after="80" w:lineRule="auto" w:line="264"/>
      </w:pPr>
      <w:r>
        <w:rPr>
          <w:rFonts w:ascii="Calibri" w:hAnsi="Calibri" w:eastAsia="Calibri"/>
          <w:b/>
          <w:i/>
          <w:color w:val="4A5568"/>
          <w:sz w:val="18"/>
        </w:rPr>
        <w:t xml:space="preserve">Tier B: </w:t>
      </w:r>
      <w:r>
        <w:rPr>
          <w:rFonts w:ascii="Calibri" w:hAnsi="Calibri" w:eastAsia="Calibri"/>
          <w:b w:val="0"/>
          <w:i/>
          <w:color w:val="4A5568"/>
          <w:sz w:val="18"/>
        </w:rPr>
        <w:t xml:space="preserve">12 JackPot pots share 300,000 STX boost capital per cycle → 25,000 STX / pot. </w:t>
      </w:r>
      <w:r>
        <w:rPr>
          <w:rFonts w:ascii="Calibri" w:hAnsi="Calibri" w:eastAsia="Calibri"/>
          <w:b/>
          <w:i/>
          <w:color w:val="4A5568"/>
          <w:sz w:val="18"/>
        </w:rPr>
        <w:t xml:space="preserve">Pot Target: </w:t>
      </w:r>
      <w:r>
        <w:rPr>
          <w:rFonts w:ascii="Calibri" w:hAnsi="Calibri" w:eastAsia="Calibri"/>
          <w:b w:val="0"/>
          <w:i/>
          <w:color w:val="4A5568"/>
          <w:sz w:val="18"/>
        </w:rPr>
        <w:t xml:space="preserve">Entry Min. × Min. Participants. </w:t>
      </w:r>
      <w:r>
        <w:rPr>
          <w:rFonts w:ascii="Calibri" w:hAnsi="Calibri" w:eastAsia="Calibri"/>
          <w:b/>
          <w:i/>
          <w:color w:val="4A5568"/>
          <w:sz w:val="18"/>
        </w:rPr>
        <w:t xml:space="preserve">Total Stacked: </w:t>
      </w:r>
      <w:r>
        <w:rPr>
          <w:rFonts w:ascii="Calibri" w:hAnsi="Calibri" w:eastAsia="Calibri"/>
          <w:b w:val="0"/>
          <w:i/>
          <w:color w:val="4A5568"/>
          <w:sz w:val="18"/>
        </w:rPr>
        <w:t xml:space="preserve">Pot Target × Qty × 10 cycles (participant STX at min fill). </w:t>
      </w:r>
      <w:r>
        <w:rPr>
          <w:rFonts w:ascii="Calibri" w:hAnsi="Calibri" w:eastAsia="Calibri"/>
          <w:b/>
          <w:i/>
          <w:color w:val="4A5568"/>
          <w:sz w:val="18"/>
        </w:rPr>
        <w:t xml:space="preserve">Total Participants: </w:t>
      </w:r>
      <w:r>
        <w:rPr>
          <w:rFonts w:ascii="Calibri" w:hAnsi="Calibri" w:eastAsia="Calibri"/>
          <w:b w:val="0"/>
          <w:i/>
          <w:color w:val="4A5568"/>
          <w:sz w:val="18"/>
        </w:rPr>
        <w:t xml:space="preserve">Min. Participants × Qty × 10 cycles. </w:t>
      </w:r>
      <w:r>
        <w:rPr>
          <w:rFonts w:ascii="Calibri" w:hAnsi="Calibri" w:eastAsia="Calibri"/>
          <w:b/>
          <w:i/>
          <w:color w:val="4A5568"/>
          <w:sz w:val="18"/>
        </w:rPr>
        <w:t xml:space="preserve">Total Tx: </w:t>
      </w:r>
      <w:r>
        <w:rPr>
          <w:rFonts w:ascii="Calibri" w:hAnsi="Calibri" w:eastAsia="Calibri"/>
          <w:b w:val="0"/>
          <w:i/>
          <w:color w:val="4A5568"/>
          <w:sz w:val="18"/>
        </w:rPr>
        <w:t>lifecycle (4 × pots × 10) + joins. Awarded Boost / Tier Capital = reusable sponsor STX (not in Total Stacked).</w:t>
      </w:r>
    </w:p>
    <w:p>
      <w:pPr>
        <w:spacing w:before="200" w:after="120" w:lineRule="auto" w:line="276"/>
      </w:pPr>
      <w:r>
        <w:rPr>
          <w:rFonts w:ascii="Calibri" w:hAnsi="Calibri" w:eastAsia="Calibri"/>
          <w:b/>
          <w:i w:val="0"/>
          <w:color w:val="2B6CB0"/>
          <w:sz w:val="24"/>
        </w:rPr>
        <w:t>How the Totals Are Calculated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259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Tier</w:t>
            </w:r>
          </w:p>
        </w:tc>
        <w:tc>
          <w:tcPr>
            <w:tcW w:type="dxa" w:w="115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Pot Target</w:t>
            </w:r>
          </w:p>
        </w:tc>
        <w:tc>
          <w:tcPr>
            <w:tcW w:type="dxa" w:w="201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Stacked (10 cycles)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Lifecycle Txs</w:t>
            </w:r>
          </w:p>
        </w:tc>
        <w:tc>
          <w:tcPr>
            <w:tcW w:type="dxa" w:w="122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Join Txs</w:t>
            </w:r>
          </w:p>
        </w:tc>
        <w:tc>
          <w:tcPr>
            <w:tcW w:type="dxa" w:w="115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Tx</w:t>
            </w:r>
          </w:p>
        </w:tc>
        <w:tc>
          <w:tcPr>
            <w:tcW w:type="dxa" w:w="172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Participants</w:t>
            </w:r>
          </w:p>
        </w:tc>
      </w:tr>
      <w:tr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A — 10 × 25 STX × 25 min</w:t>
            </w:r>
          </w:p>
        </w:tc>
        <w:tc>
          <w:tcPr>
            <w:tcW w:type="dxa" w:w="115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625</w:t>
            </w:r>
          </w:p>
        </w:tc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62,500 STX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400</w:t>
            </w:r>
          </w:p>
        </w:tc>
        <w:tc>
          <w:tcPr>
            <w:tcW w:type="dxa" w:w="12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2,500</w:t>
            </w:r>
          </w:p>
        </w:tc>
        <w:tc>
          <w:tcPr>
            <w:tcW w:type="dxa" w:w="115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2,900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2,500</w:t>
            </w:r>
          </w:p>
        </w:tc>
      </w:tr>
      <w:tr>
        <w:tc>
          <w:tcPr>
            <w:tcW w:type="dxa" w:w="259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B — 12 × 50 STX × 50 min</w:t>
            </w:r>
          </w:p>
        </w:tc>
        <w:tc>
          <w:tcPr>
            <w:tcW w:type="dxa" w:w="115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2,500</w:t>
            </w:r>
          </w:p>
        </w:tc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300,000 STX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480</w:t>
            </w:r>
          </w:p>
        </w:tc>
        <w:tc>
          <w:tcPr>
            <w:tcW w:type="dxa" w:w="122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6,000</w:t>
            </w:r>
          </w:p>
        </w:tc>
        <w:tc>
          <w:tcPr>
            <w:tcW w:type="dxa" w:w="115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6,480</w:t>
            </w:r>
          </w:p>
        </w:tc>
        <w:tc>
          <w:tcPr>
            <w:tcW w:type="dxa" w:w="172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6,000</w:t>
            </w:r>
          </w:p>
        </w:tc>
      </w:tr>
      <w:tr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C — 1 × 350 STX × 10 min</w:t>
            </w:r>
          </w:p>
        </w:tc>
        <w:tc>
          <w:tcPr>
            <w:tcW w:type="dxa" w:w="115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3,500</w:t>
            </w:r>
          </w:p>
        </w:tc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35,000 STX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40</w:t>
            </w:r>
          </w:p>
        </w:tc>
        <w:tc>
          <w:tcPr>
            <w:tcW w:type="dxa" w:w="12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</w:t>
            </w:r>
          </w:p>
        </w:tc>
        <w:tc>
          <w:tcPr>
            <w:tcW w:type="dxa" w:w="115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140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</w:t>
            </w:r>
          </w:p>
        </w:tc>
      </w:tr>
      <w:tr>
        <w:tc>
          <w:tcPr>
            <w:tcW w:type="dxa" w:w="259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Program</w:t>
            </w:r>
          </w:p>
        </w:tc>
        <w:tc>
          <w:tcPr>
            <w:tcW w:type="dxa" w:w="115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201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397,500 STX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920</w:t>
            </w:r>
          </w:p>
        </w:tc>
        <w:tc>
          <w:tcPr>
            <w:tcW w:type="dxa" w:w="122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8,600</w:t>
            </w:r>
          </w:p>
        </w:tc>
        <w:tc>
          <w:tcPr>
            <w:tcW w:type="dxa" w:w="115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9,520</w:t>
            </w:r>
          </w:p>
        </w:tc>
        <w:tc>
          <w:tcPr>
            <w:tcW w:type="dxa" w:w="172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8,600</w:t>
            </w:r>
          </w:p>
        </w:tc>
      </w:tr>
    </w:tbl>
    <w:p>
      <w:pPr>
        <w:spacing w:before="0" w:after="120" w:lineRule="auto" w:line="240"/>
      </w:pPr>
    </w:p>
    <w:p>
      <w:pPr>
        <w:spacing w:before="200" w:after="120" w:lineRule="auto" w:line="276"/>
      </w:pPr>
      <w:r>
        <w:rPr>
          <w:rFonts w:ascii="Calibri" w:hAnsi="Calibri" w:eastAsia="Calibri"/>
          <w:b/>
          <w:i w:val="0"/>
          <w:color w:val="2B6CB0"/>
          <w:sz w:val="24"/>
        </w:rPr>
        <w:t>Transaction Accounting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201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Transaction</w:t>
            </w:r>
          </w:p>
        </w:tc>
        <w:tc>
          <w:tcPr>
            <w:tcW w:type="dxa" w:w="187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Per Pot / Per Join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Tier A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Tier B</w:t>
            </w:r>
          </w:p>
        </w:tc>
        <w:tc>
          <w:tcPr>
            <w:tcW w:type="dxa" w:w="129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Tier C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Program</w:t>
            </w:r>
          </w:p>
        </w:tc>
      </w:tr>
      <w:tr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Pot deploy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 / pot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120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</w:t>
            </w:r>
          </w:p>
        </w:tc>
      </w:tr>
      <w:tr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Pot activate</w:t>
            </w:r>
          </w:p>
        </w:tc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 / pot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120</w:t>
            </w:r>
          </w:p>
        </w:tc>
        <w:tc>
          <w:tcPr>
            <w:tcW w:type="dxa" w:w="129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</w:t>
            </w:r>
          </w:p>
        </w:tc>
      </w:tr>
      <w:tr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Pot start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 / pot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120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</w:t>
            </w:r>
          </w:p>
        </w:tc>
      </w:tr>
      <w:tr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Pot close</w:t>
            </w:r>
          </w:p>
        </w:tc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 / pot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120</w:t>
            </w:r>
          </w:p>
        </w:tc>
        <w:tc>
          <w:tcPr>
            <w:tcW w:type="dxa" w:w="129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</w:t>
            </w:r>
          </w:p>
        </w:tc>
      </w:tr>
      <w:tr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Participant join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 / participant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2,500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6,000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8,600</w:t>
            </w:r>
          </w:p>
        </w:tc>
      </w:tr>
      <w:tr>
        <w:tc>
          <w:tcPr>
            <w:tcW w:type="dxa" w:w="201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Total txs</w:t>
            </w:r>
          </w:p>
        </w:tc>
        <w:tc>
          <w:tcPr>
            <w:tcW w:type="dxa" w:w="187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—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2,900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6,480</w:t>
            </w:r>
          </w:p>
        </w:tc>
        <w:tc>
          <w:tcPr>
            <w:tcW w:type="dxa" w:w="129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140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9,520</w:t>
            </w:r>
          </w:p>
        </w:tc>
      </w:tr>
    </w:tbl>
    <w:p>
      <w:pPr>
        <w:spacing w:before="0" w:after="120" w:lineRule="auto" w:line="240"/>
      </w:pP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5. Expected Outcomes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Outcome</w:t>
            </w:r>
          </w:p>
        </w:tc>
        <w:tc>
          <w:tcPr>
            <w:tcW w:type="dxa" w:w="590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Sponsored pots delivered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 (23 / cycle × 10 cycles)</w:t>
            </w:r>
          </w:p>
        </w:tc>
      </w:tr>
      <w:tr>
        <w:tc>
          <w:tcPr>
            <w:tcW w:type="dxa" w:w="345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Minimum participants (program)</w:t>
            </w:r>
          </w:p>
        </w:tc>
        <w:tc>
          <w:tcPr>
            <w:tcW w:type="dxa" w:w="590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8,600 (2,500 + 6,000 + 100)</w:t>
            </w:r>
          </w:p>
        </w:tc>
      </w:tr>
      <w:tr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Participant STX stacked (minimum)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397,500 STX (62,500 + 300,000 + 35,000)</w:t>
            </w:r>
          </w:p>
        </w:tc>
      </w:tr>
      <w:tr>
        <w:tc>
          <w:tcPr>
            <w:tcW w:type="dxa" w:w="345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On-chain transactions (minimum)</w:t>
            </w:r>
          </w:p>
        </w:tc>
        <w:tc>
          <w:tcPr>
            <w:tcW w:type="dxa" w:w="590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9,520 (920 lifecycle + 8,600 joins)</w:t>
            </w:r>
          </w:p>
        </w:tc>
      </w:tr>
      <w:tr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Monthly throughput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46 pots / month · 1,720 min. participants · 2 cycles</w:t>
            </w:r>
          </w:p>
        </w:tc>
      </w:tr>
      <w:tr>
        <w:tc>
          <w:tcPr>
            <w:tcW w:type="dxa" w:w="345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Capital efficiency</w:t>
            </w:r>
          </w:p>
        </w:tc>
        <w:tc>
          <w:tcPr>
            <w:tcW w:type="dxa" w:w="590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500,000 STX committed once; returned and reused every cycle</w:t>
            </w:r>
          </w:p>
        </w:tc>
      </w:tr>
      <w:tr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Ecosystem impact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Higher STX deposits, wallet activity, and Bitcoin DeFi awareness on Stacks</w:t>
            </w:r>
          </w:p>
        </w:tc>
      </w:tr>
    </w:tbl>
    <w:p>
      <w:pPr>
        <w:spacing w:before="0" w:after="120" w:lineRule="auto" w:line="240"/>
      </w:pP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6. Reporting</w:t>
      </w:r>
    </w:p>
    <w:p>
      <w:pPr>
        <w:spacing w:before="0" w:after="160" w:lineRule="auto" w:line="276"/>
      </w:pPr>
      <w:r>
        <w:rPr>
          <w:rFonts w:ascii="Calibri" w:hAnsi="Calibri" w:eastAsia="Calibri"/>
          <w:b/>
          <w:i w:val="0"/>
          <w:color w:val="1F2937"/>
          <w:sz w:val="22"/>
        </w:rPr>
        <w:t xml:space="preserve">Monthly: </w:t>
      </w:r>
      <w:r>
        <w:rPr>
          <w:rFonts w:ascii="Calibri" w:hAnsi="Calibri" w:eastAsia="Calibri"/>
          <w:b w:val="0"/>
          <w:i w:val="0"/>
          <w:color w:val="1F2937"/>
          <w:sz w:val="22"/>
        </w:rPr>
        <w:t>participants, STX deposited, pots created (target 46/month), capital deployed and returned each cycle, and transaction counts (deploy / activate / start / close / joins).</w:t>
      </w:r>
    </w:p>
    <w:p>
      <w:pPr>
        <w:spacing w:before="0" w:after="160" w:lineRule="auto" w:line="276"/>
      </w:pPr>
      <w:r>
        <w:rPr>
          <w:rFonts w:ascii="Calibri" w:hAnsi="Calibri" w:eastAsia="Calibri"/>
          <w:b/>
          <w:i w:val="0"/>
          <w:color w:val="1F2937"/>
          <w:sz w:val="22"/>
        </w:rPr>
        <w:t xml:space="preserve">Final (Month 5): </w:t>
      </w:r>
      <w:r>
        <w:rPr>
          <w:rFonts w:ascii="Calibri" w:hAnsi="Calibri" w:eastAsia="Calibri"/>
          <w:b w:val="0"/>
          <w:i w:val="0"/>
          <w:color w:val="1F2937"/>
          <w:sz w:val="22"/>
        </w:rPr>
        <w:t>full 10-cycle performance, retention, cumulative STX activity, capital custody summary, and recommendations.</w:t>
      </w: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7. Conclusion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StacksPot requests a </w:t>
      </w:r>
      <w:r>
        <w:rPr>
          <w:rFonts w:ascii="Calibri" w:hAnsi="Calibri" w:eastAsia="Calibri"/>
          <w:b/>
          <w:i w:val="0"/>
          <w:color w:val="1F2937"/>
          <w:sz w:val="22"/>
        </w:rPr>
        <w:t>500,000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reusable sponsorship allocation to run </w:t>
      </w:r>
      <w:r>
        <w:rPr>
          <w:rFonts w:ascii="Calibri" w:hAnsi="Calibri" w:eastAsia="Calibri"/>
          <w:b/>
          <w:i w:val="0"/>
          <w:color w:val="1F2937"/>
          <w:sz w:val="22"/>
        </w:rPr>
        <w:t>23 boosted pots every 2-week cycle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for </w:t>
      </w:r>
      <w:r>
        <w:rPr>
          <w:rFonts w:ascii="Calibri" w:hAnsi="Calibri" w:eastAsia="Calibri"/>
          <w:b/>
          <w:i w:val="0"/>
          <w:color w:val="1F2937"/>
          <w:sz w:val="22"/>
        </w:rPr>
        <w:t>5 months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(</w:t>
      </w:r>
      <w:r>
        <w:rPr>
          <w:rFonts w:ascii="Calibri" w:hAnsi="Calibri" w:eastAsia="Calibri"/>
          <w:b/>
          <w:i w:val="0"/>
          <w:color w:val="1F2937"/>
          <w:sz w:val="22"/>
        </w:rPr>
        <w:t>230 pots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program-wide). Because delegated capital returns to the sponsor after each cycle, one allocation funds the entire campaign—attracting users, supporting communities, and expanding Bitcoin-secured DeFi activity on Stacks.</w:t>
      </w:r>
    </w:p>
    <w:p>
      <w:pPr>
        <w:spacing w:before="80" w:after="80" w:lineRule="auto" w:line="240"/>
        <w:pBdr>
          <w:bottom w:val="single" w:sz="12" w:space="1" w:color="2B6CB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Prepared by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StacksPot Team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July 2026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Requested allocation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500,000 STX (reusable — returned after each cycle)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Campaign mix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 JackPot × 10k · 12 JackPot × 25k · 1 Sequential × 100k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/>
        <w:color w:val="4A5568"/>
        <w:sz w:val="16"/>
      </w:rPr>
      <w:t>StacksPot Growth Acceleration Proposal  |  Confidential — For Stacks Endowment Review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