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52"/>
        </w:rPr>
        <w:t>StacksPot Growth Acceleration Proposal</w:t>
      </w:r>
    </w:p>
    <w:p>
      <w:pPr>
        <w:spacing w:before="0" w:after="28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6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By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To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 Endowment Team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Duration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~300,000 STX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</w:tbl>
    <w:p>
      <w:pPr>
        <w:spacing w:before="120" w:after="120" w:lineRule="auto" w:line="276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Proposal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Accelerate user adoption through sponsored sBTC reward campaigns, boosted community pots, and ecosystem participation incentives over a structured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Growth Accelerator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1.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built on Stacks. It enables users to participate in transparent, sBTC-based reward pools while benefiting from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Since launching, StacksPot has demonstrated the potential for community-driven reward mechanisms within the Stacks ecosystem. The primary challenge limiting broader adoption is the perceived attractiveness of current pot rewards.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While StacksPot offers a unique model—yield-generating pools with principal preservation—many users evaluate participation based on expected reward versus waiting period. At current yield levels, some users do not find the opportunity compelling enough to join.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address this, StacksPot proposes a strategic partnership with the Stacks Endowment through a </w:t>
      </w:r>
      <w:r>
        <w:rPr>
          <w:rFonts w:ascii="Calibri" w:hAnsi="Calibri" w:eastAsia="Calibri"/>
          <w:b/>
          <w:i w:val="0"/>
          <w:color w:val="1F2937"/>
          <w:sz w:val="22"/>
        </w:rPr>
        <w:t>Sponsored Pot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—a focused,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campaign cycle designed to boost community pots with additional sBTC rewards, strengthen participation incentives, encourage more pot deployments, and increase overall ecosystem activity.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We are seeking consideration for an ecosystem growth allocation of approximately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to fund sponsored pot campaigns across this 5-month period, with the goal of accelerating adoption and building sustainable user growth.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2. Current Challenge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The User Adoption Barrier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StacksPot’s growth constraint is not technology or product experience—it is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among potential participants.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Users naturally weigh: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amount of STX committed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duration of participation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expected reward outcome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Alternative opportunities available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Although StacksPot provides a transparent and innovative yield model, early-stage adoption requires stronger incentives so users can experience the platform and understand its long-term value.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establish network effects, StacksPot needs an initial growth catalyst that increases reward attractiveness while introducing more users to the protocol. A </w:t>
      </w:r>
      <w:r>
        <w:rPr>
          <w:rFonts w:ascii="Calibri" w:hAnsi="Calibri" w:eastAsia="Calibri"/>
          <w:b/>
          <w:i w:val="0"/>
          <w:color w:val="1F2937"/>
          <w:sz w:val="22"/>
        </w:rPr>
        <w:t>time-bound, 5-month sponsored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provides that catalyst with clear milestones, measurable outcomes, and a defined end state for evaluation.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3. Proposed Solution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StacksPot Growth Accelerator Program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With StacksPot’s updated smart contracts, </w:t>
      </w:r>
      <w:r>
        <w:rPr>
          <w:rFonts w:ascii="Calibri" w:hAnsi="Calibri" w:eastAsia="Calibri"/>
          <w:b/>
          <w:i w:val="0"/>
          <w:color w:val="1F2937"/>
          <w:sz w:val="22"/>
        </w:rPr>
        <w:t>pot sponsorship is now enabled</w:t>
      </w:r>
      <w:r>
        <w:rPr>
          <w:rFonts w:ascii="Calibri" w:hAnsi="Calibri" w:eastAsia="Calibri"/>
          <w:b w:val="0"/>
          <w:i w:val="0"/>
          <w:color w:val="1F2937"/>
          <w:sz w:val="22"/>
        </w:rPr>
        <w:t>. Ecosystem partners, communities, projects, and organizations can contribute additional STX directly to active pots.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Through Stacks Endowment sponsorship, selected pots can receive reward boosts—making campaigns more attractive and transforming StacksPot from a passive yield product into an active ecosystem engagement tool.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Illustrative Example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28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Organic community pooling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 STX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sponsorship boost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+5,000 STX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Final reward pool (delegated)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5,500 STX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4. Program Duration &amp; Operating Context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5-Month Campaign Window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This proposal requests funding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>, structured to: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Ramp adoption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with smaller, accessible pots early in the program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Sustain momentum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with mid-tier campaigns through the middle months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Concentrate demand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with larger flagship pots toward the end of the cycle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Measure retention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across a long enough window to distinguish campaign spikes from lasting engagement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5-month runway is long enough to: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Run multiple campaign tiers without overcrowding the market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Allow communities and builders to plan and deploy their own pots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Collect meaningful retention and repeat-participation data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Provide the Endowment with clear monthly visibility into impact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At the end of Month 5, StacksPot will deliver a full program retrospective covering participation, STX utilization, pot creation, sponsored reward distribution, and retention—supporting a data-driven decision on any future continuation.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5. Proposed Campaign Structure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Campaign Name</w:t>
      </w:r>
    </w:p>
    <w:p>
      <w:pPr>
        <w:spacing w:before="0" w:after="8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>StacksPot Growth Accelerator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funded, 5-month initiative to increase participation, reward users, and encourage individual and community-driven pot creation.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Proposed Allocation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The </w:t>
      </w:r>
      <w:r>
        <w:rPr>
          <w:rFonts w:ascii="Calibri" w:hAnsi="Calibri" w:eastAsia="Calibri"/>
          <w:b/>
          <w:i w:val="0"/>
          <w:color w:val="1F2937"/>
          <w:sz w:val="22"/>
        </w:rPr>
        <w:t>~300,000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sponsorship budget will be distributed across StacksPot campaigns of varying entry sizes to maximize participation, accelerate pot growth, and generate sustainable sBTC rewards.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Qty (×)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Entry Min.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Min. Participants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 Target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Awarded Boost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Est. Rewards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~$4.92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~$7.41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700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~$9.93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~$12.50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1,350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~$15.00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2,500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~$25.20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~$52.80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300,000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200" w:lineRule="auto" w:line="264"/>
      </w:pPr>
      <w:r>
        <w:rPr>
          <w:rFonts w:ascii="Calibri" w:hAnsi="Calibri" w:eastAsia="Calibri"/>
          <w:b/>
          <w:i/>
          <w:color w:val="4A5568"/>
          <w:sz w:val="20"/>
        </w:rPr>
        <w:t xml:space="preserve">Note: </w:t>
      </w:r>
      <w:r>
        <w:rPr>
          <w:rFonts w:ascii="Calibri" w:hAnsi="Calibri" w:eastAsia="Calibri"/>
          <w:b w:val="0"/>
          <w:i/>
          <w:color w:val="4A5568"/>
          <w:sz w:val="20"/>
        </w:rPr>
        <w:t>Estimated sBTC reward figures are approximate and subject to market conditions and yield performance at campaign time.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Pot Cycle Length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Each sponsored pot runs on a </w:t>
      </w:r>
      <w:r>
        <w:rPr>
          <w:rFonts w:ascii="Calibri" w:hAnsi="Calibri" w:eastAsia="Calibri"/>
          <w:b/>
          <w:i w:val="0"/>
          <w:color w:val="1F2937"/>
          <w:sz w:val="22"/>
        </w:rPr>
        <w:t>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Over a 5-month program (~20 weeks), that provides capacity for about </w:t>
      </w:r>
      <w:r>
        <w:rPr>
          <w:rFonts w:ascii="Calibri" w:hAnsi="Calibri" w:eastAsia="Calibri"/>
          <w:b/>
          <w:i w:val="0"/>
          <w:color w:val="1F2937"/>
          <w:sz w:val="22"/>
        </w:rPr>
        <w:t>10 bi-weekly cycles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The </w:t>
      </w:r>
      <w:r>
        <w:rPr>
          <w:rFonts w:ascii="Calibri" w:hAnsi="Calibri" w:eastAsia="Calibri"/>
          <w:b/>
          <w:i w:val="0"/>
          <w:color w:val="1F2937"/>
          <w:sz w:val="22"/>
        </w:rPr>
        <w:t>8 sponsored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therefore occupy </w:t>
      </w:r>
      <w:r>
        <w:rPr>
          <w:rFonts w:ascii="Calibri" w:hAnsi="Calibri" w:eastAsia="Calibri"/>
          <w:b/>
          <w:i w:val="0"/>
          <w:color w:val="1F2937"/>
          <w:sz w:val="22"/>
        </w:rPr>
        <w:t>16 weeks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of active campaigns, with remaining weeks used for pacing, community-led pots, and program wrap-up.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Indicative 5-Month Rollout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Campaigns are sequenced one pot per 2-week cycle—about two pots per month—to build familiarity, then scale commitment: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374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Focus</w:t>
            </w:r>
          </w:p>
        </w:tc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Campaign Tiers (Entry Min.)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Cycles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Indicative Boost</w:t>
            </w:r>
          </w:p>
        </w:tc>
      </w:tr>
      <w:tr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374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Launch &amp; discovery — lower barriers, introduce sponsorship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 STX → 30 STX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25,000 STX</w:t>
            </w:r>
          </w:p>
        </w:tc>
      </w:tr>
      <w:tr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374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Expand mid-tier participation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35 STX → 40 STX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45,000 STX</w:t>
            </w:r>
          </w:p>
        </w:tc>
      </w:tr>
      <w:tr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</w:t>
            </w:r>
          </w:p>
        </w:tc>
        <w:tc>
          <w:tcPr>
            <w:tcW w:type="dxa" w:w="374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Scale community pots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 STX → 50 STX (1 of 2)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80,000 STX</w:t>
            </w:r>
          </w:p>
        </w:tc>
      </w:tr>
      <w:tr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</w:t>
            </w:r>
          </w:p>
        </w:tc>
        <w:tc>
          <w:tcPr>
            <w:tcW w:type="dxa" w:w="374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Sustain engagement &amp; retention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 STX (2 of 2)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50,000 STX</w:t>
            </w:r>
          </w:p>
        </w:tc>
      </w:tr>
      <w:tr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</w:t>
            </w:r>
          </w:p>
        </w:tc>
        <w:tc>
          <w:tcPr>
            <w:tcW w:type="dxa" w:w="374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Flagship campaign &amp; program close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 STX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100,000 STX</w:t>
            </w:r>
          </w:p>
        </w:tc>
      </w:tr>
      <w:tr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</w:r>
          </w:p>
        </w:tc>
        <w:tc>
          <w:tcPr>
            <w:tcW w:type="dxa" w:w="374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Program total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 sponsored pots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300,000 STX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64"/>
      </w:pPr>
      <w:r>
        <w:rPr>
          <w:rFonts w:ascii="Calibri" w:hAnsi="Calibri" w:eastAsia="Calibri"/>
          <w:b w:val="0"/>
          <w:i/>
          <w:color w:val="4A5568"/>
          <w:sz w:val="20"/>
        </w:rPr>
        <w:t xml:space="preserve">Month 1 boost: </w:t>
      </w:r>
      <w:r>
        <w:rPr>
          <w:rFonts w:ascii="Calibri" w:hAnsi="Calibri" w:eastAsia="Calibri"/>
          <w:b/>
          <w:i/>
          <w:color w:val="4A5568"/>
          <w:sz w:val="20"/>
        </w:rPr>
        <w:t>10,000 + 15,000 = 25,000 STX</w:t>
      </w:r>
      <w:r>
        <w:rPr>
          <w:rFonts w:ascii="Calibri" w:hAnsi="Calibri" w:eastAsia="Calibri"/>
          <w:b w:val="0"/>
          <w:i/>
          <w:color w:val="4A5568"/>
          <w:sz w:val="20"/>
        </w:rPr>
        <w:t xml:space="preserve">  ·  Month 2: </w:t>
      </w:r>
      <w:r>
        <w:rPr>
          <w:rFonts w:ascii="Calibri" w:hAnsi="Calibri" w:eastAsia="Calibri"/>
          <w:b/>
          <w:i/>
          <w:color w:val="4A5568"/>
          <w:sz w:val="20"/>
        </w:rPr>
        <w:t>20,000 + 25,000 = 45,000 STX</w:t>
      </w:r>
      <w:r>
        <w:rPr>
          <w:rFonts w:ascii="Calibri" w:hAnsi="Calibri" w:eastAsia="Calibri"/>
          <w:b w:val="0"/>
          <w:i/>
          <w:color w:val="4A5568"/>
          <w:sz w:val="20"/>
        </w:rPr>
        <w:t xml:space="preserve">  ·  Month 3: </w:t>
      </w:r>
      <w:r>
        <w:rPr>
          <w:rFonts w:ascii="Calibri" w:hAnsi="Calibri" w:eastAsia="Calibri"/>
          <w:b/>
          <w:i/>
          <w:color w:val="4A5568"/>
          <w:sz w:val="20"/>
        </w:rPr>
        <w:t>30,000 + 50,000 = 80,000 STX</w:t>
      </w:r>
      <w:r>
        <w:rPr>
          <w:rFonts w:ascii="Calibri" w:hAnsi="Calibri" w:eastAsia="Calibri"/>
          <w:b w:val="0"/>
          <w:i/>
          <w:color w:val="4A5568"/>
          <w:sz w:val="20"/>
        </w:rPr>
        <w:t>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Timing may be adjusted slightly based on fill rates, community readiness, and observed demand, while remaining within the 5-month window, 2-week cycle length, and total allocation.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6. Why This Benefits the Stacks Ecosystem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Increasing User Adoption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rewards lower the initial barrier for users and encourage more participants to interact with Stacks DeFi.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Growing STX Activity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participants means: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Increased STX deposits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Greater ecosystem engagement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Supporting Builders and Communities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becomes infrastructure that lets communities create their own incentive campaigns—not only during the Endowment-sponsored window, but as an ongoing pattern afterward.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Expanding Bitcoin DeFi Awareness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Each sponsored pot introduces new users to Bitcoin-secured yield opportunities available through Stacks.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7. Expected Outcomes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With Stacks Endowment support over the 5-month program, StacksPot expects to achieve: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Outcome</w:t>
            </w:r>
          </w:p>
        </w:tc>
        <w:tc>
          <w:tcPr>
            <w:tcW w:type="dxa" w:w="61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User growth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active participants through attractive reward campaigns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More pot deployments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Encourage community members and projects to create their own reward pools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Higher ecosystem engagement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STX utilization and wallet interactions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Long-term adoption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Convert campaign participants into recurring StacksPot users, measurable across the full 5-month window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8. Transparency &amp;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All sponsored campaigns will include transparent reporting. Given the 5-month structure, reporting will operate on two cadences: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Monthly Progress Reports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Delivered at the end of each program month, covering: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participants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Total STX deposited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pots created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reward distribution for that month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Early retention / repeat participation signals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Final Program Report (End of Month 5)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comprehensive retrospective including: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Full campaign performance analysis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User retention statistics across the 5-month period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Cumulative STX utilization and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Lessons learned and recommendations for any future ecosystem incentive programs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 Endowment will have clear visibility into the impact generated by the sponsorship throughout and at the close of the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9.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has established the foundation for community-driven yield campaigns on Stacks. The next phase is accelerating adoption by creating stronger participation incentives.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Through collaboration with the Stacks Endowment, a </w:t>
      </w:r>
      <w:r>
        <w:rPr>
          <w:rFonts w:ascii="Calibri" w:hAnsi="Calibri" w:eastAsia="Calibri"/>
          <w:b/>
          <w:i w:val="0"/>
          <w:color w:val="1F2937"/>
          <w:sz w:val="22"/>
        </w:rPr>
        <w:t>5-month Sponsored Pot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can become a powerful ecosystem growth mechanism—attracting users, supporting builders, increasing STX activity, and introducing more participants to Bitcoin DeFi.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partnership is an opportunity to create a scalable incentive layer that benefits not only StacksPot, but the wider Stacks ecosystem.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Together, we can transform every sponsored pot into a gateway for new users to experience Bitcoin-powered DeFi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Prepared by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length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~300,000 STX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