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80" w:lineRule="auto" w:line="264"/>
        <w:jc w:val="center"/>
      </w:pPr>
      <w:r>
        <w:rPr>
          <w:rFonts w:ascii="Calibri" w:hAnsi="Calibri" w:eastAsia="Calibri"/>
          <w:b/>
          <w:i w:val="0"/>
          <w:color w:val="1A365D"/>
          <w:sz w:val="52"/>
        </w:rPr>
        <w:t>StacksPot Growth Acceleration Proposal</w:t>
      </w:r>
    </w:p>
    <w:p>
      <w:pPr>
        <w:spacing w:before="0" w:after="280" w:lineRule="auto" w:line="264"/>
        <w:jc w:val="center"/>
      </w:pPr>
      <w:r>
        <w:rPr>
          <w:rFonts w:ascii="Calibri" w:hAnsi="Calibri" w:eastAsia="Calibri"/>
          <w:b w:val="0"/>
          <w:i/>
          <w:color w:val="2B6CB0"/>
          <w:sz w:val="26"/>
        </w:rPr>
        <w:t>A Sponsored Yield Boosting Initiative for Ecosystem Growth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By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Submitted To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 Endowment Team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Duration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~300,000 STX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</w:tbl>
    <w:p>
      <w:pPr>
        <w:spacing w:before="120" w:after="120" w:lineRule="auto" w:line="276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Proposal Objective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Accelerate user adoption through sponsored sBTC reward campaigns, boosted community pots, and ecosystem participation incentives over a structured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Growth Accelerator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1. Executive Summary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is a decentralized, yield-powered community pot protocol built on Stacks. It enables users to participate in transparent, sBTC-based reward pools while benefiting from Bitcoin-secured DeFi yield.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Since launching, StacksPot has demonstrated the potential for community-driven reward mechanisms within the Stacks ecosystem. The primary challenge limiting broader adoption is the perceived attractiveness of current pot rewards.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While StacksPot offers a unique model—yield-generating pools with principal preservation—many users evaluate participation based on expected reward versus waiting period. At current yield levels, some users do not find the opportunity compelling enough to join.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address this, StacksPot proposes a strategic partnership with the Stacks Endowment through a </w:t>
      </w:r>
      <w:r>
        <w:rPr>
          <w:rFonts w:ascii="Calibri" w:hAnsi="Calibri" w:eastAsia="Calibri"/>
          <w:b/>
          <w:i w:val="0"/>
          <w:color w:val="1F2937"/>
          <w:sz w:val="22"/>
        </w:rPr>
        <w:t>Sponsored Pot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—a focused, </w:t>
      </w:r>
      <w:r>
        <w:rPr>
          <w:rFonts w:ascii="Calibri" w:hAnsi="Calibri" w:eastAsia="Calibri"/>
          <w:b/>
          <w:i w:val="0"/>
          <w:color w:val="1F2937"/>
          <w:sz w:val="22"/>
        </w:rPr>
        <w:t>5-month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campaign cycle designed to boost community pots with additional sBTC rewards, strengthen participation incentives, encourage more pot deployments, and increase overall ecosystem activity.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We are seeking consideration for an ecosystem growth allocation of approximately </w:t>
      </w:r>
      <w:r>
        <w:rPr>
          <w:rFonts w:ascii="Calibri" w:hAnsi="Calibri" w:eastAsia="Calibri"/>
          <w:b/>
          <w:i w:val="0"/>
          <w:color w:val="1F2937"/>
          <w:sz w:val="22"/>
        </w:rPr>
        <w:t>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to fund sponsored pot campaigns across this 5-month period, with the goal of accelerating adoption and building sustainable user growth.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2. Current Challenge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The User Adoption Barrier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StacksPot’s growth constraint is not technology or product experience—it is </w:t>
      </w:r>
      <w:r>
        <w:rPr>
          <w:rFonts w:ascii="Calibri" w:hAnsi="Calibri" w:eastAsia="Calibri"/>
          <w:b/>
          <w:i w:val="0"/>
          <w:color w:val="1F2937"/>
          <w:sz w:val="22"/>
        </w:rPr>
        <w:t>reward perception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among potential participants.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Users naturally weigh: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amount of STX committed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duration of participation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The expected reward outcome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Alternative opportunities available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Although StacksPot provides a transparent and innovative yield model, early-stage adoption requires stronger incentives so users can experience the platform and understand its long-term value.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To establish network effects, StacksPot needs an initial growth catalyst that increases reward attractiveness while introducing more users to the protocol. A </w:t>
      </w:r>
      <w:r>
        <w:rPr>
          <w:rFonts w:ascii="Calibri" w:hAnsi="Calibri" w:eastAsia="Calibri"/>
          <w:b/>
          <w:i w:val="0"/>
          <w:color w:val="1F2937"/>
          <w:sz w:val="22"/>
        </w:rPr>
        <w:t>time-bound, 5-month sponsored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provides that catalyst with clear milestones, measurable outcomes, and a defined end state for evaluation.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3. Proposed Solution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StacksPot Growth Accelerator Program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With StacksPot’s updated smart contracts, </w:t>
      </w:r>
      <w:r>
        <w:rPr>
          <w:rFonts w:ascii="Calibri" w:hAnsi="Calibri" w:eastAsia="Calibri"/>
          <w:b/>
          <w:i w:val="0"/>
          <w:color w:val="1F2937"/>
          <w:sz w:val="22"/>
        </w:rPr>
        <w:t>pot sponsorship is now enabled</w:t>
      </w:r>
      <w:r>
        <w:rPr>
          <w:rFonts w:ascii="Calibri" w:hAnsi="Calibri" w:eastAsia="Calibri"/>
          <w:b w:val="0"/>
          <w:i w:val="0"/>
          <w:color w:val="1F2937"/>
          <w:sz w:val="22"/>
        </w:rPr>
        <w:t>. Ecosystem partners, communities, projects, and organizations can contribute additional STX directly to active pots.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Through Stacks Endowment sponsorship, selected pots can receive reward boosts—making campaigns more attractive and transforming StacksPot from a passive yield product into an active ecosystem engagement tool.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Illustrative Example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Component</w:t>
            </w:r>
          </w:p>
        </w:tc>
        <w:tc>
          <w:tcPr>
            <w:tcW w:type="dxa" w:w="288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Amount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Organic community pooling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500 STX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Stacks Endowment sponsorship boost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+5,000 STX</w:t>
            </w:r>
          </w:p>
        </w:tc>
      </w:tr>
      <w:tr>
        <w:tc>
          <w:tcPr>
            <w:tcW w:type="dxa" w:w="64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Final reward pool (delegated)</w:t>
            </w:r>
          </w:p>
        </w:tc>
        <w:tc>
          <w:tcPr>
            <w:tcW w:type="dxa" w:w="288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5,500 STX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4. Program Duration &amp; Operating Context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5-Month Campaign Window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This proposal requests funding for a </w:t>
      </w:r>
      <w:r>
        <w:rPr>
          <w:rFonts w:ascii="Calibri" w:hAnsi="Calibri" w:eastAsia="Calibri"/>
          <w:b/>
          <w:i w:val="0"/>
          <w:color w:val="1F2937"/>
          <w:sz w:val="22"/>
        </w:rPr>
        <w:t>5-month Growth Accelerator Program</w:t>
      </w:r>
      <w:r>
        <w:rPr>
          <w:rFonts w:ascii="Calibri" w:hAnsi="Calibri" w:eastAsia="Calibri"/>
          <w:b w:val="0"/>
          <w:i w:val="0"/>
          <w:color w:val="1F2937"/>
          <w:sz w:val="22"/>
        </w:rPr>
        <w:t>, structured to: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Ramp adoption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with smaller, accessible pots early in the program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Sustain momentum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with mid-tier campaigns through the middle months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Concentrate demand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with larger flagship pots toward the end of the cycle</w:t>
      </w:r>
    </w:p>
    <w:p>
      <w:pPr>
        <w:pStyle w:val="ListNumber"/>
        <w:spacing w:before="0" w:after="60" w:lineRule="auto" w:line="264"/>
      </w:pPr>
      <w:r>
        <w:rPr>
          <w:rFonts w:ascii="Calibri" w:hAnsi="Calibri" w:eastAsia="Calibri"/>
          <w:b/>
          <w:i w:val="0"/>
          <w:color w:val="1F2937"/>
          <w:sz w:val="22"/>
        </w:rPr>
        <w:t>Measure retention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across a long enough window to distinguish campaign spikes from lasting engagement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5-month runway is long enough to: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Run multiple campaign tiers without overcrowding the market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Allow communities and builders to plan and deploy their own pots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Collect meaningful retention and repeat-participation data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Provide the Endowment with clear monthly visibility into impact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At the end of Month 5, StacksPot will deliver a full program retrospective covering participation, STX utilization, pot creation, sponsored reward distribution, and retention—supporting a data-driven decision on any future continuation.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5. Proposed Campaign Structure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Campaign Name</w:t>
      </w:r>
    </w:p>
    <w:p>
      <w:pPr>
        <w:spacing w:before="0" w:after="80" w:lineRule="auto" w:line="276"/>
      </w:pPr>
      <w:r>
        <w:rPr>
          <w:rFonts w:ascii="Calibri" w:hAnsi="Calibri" w:eastAsia="Calibri"/>
          <w:b/>
          <w:i w:val="0"/>
          <w:color w:val="1F2937"/>
          <w:sz w:val="22"/>
        </w:rPr>
        <w:t>StacksPot Growth Accelerator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funded, 5-month initiative to increase participation, reward users, and encourage individual and community-driven pot creation.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Proposed Allocation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The </w:t>
      </w:r>
      <w:r>
        <w:rPr>
          <w:rFonts w:ascii="Calibri" w:hAnsi="Calibri" w:eastAsia="Calibri"/>
          <w:b/>
          <w:i w:val="0"/>
          <w:color w:val="1F2937"/>
          <w:sz w:val="22"/>
        </w:rPr>
        <w:t>~300,000 STX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sponsorship budget will be distributed across StacksPot campaigns of varying entry sizes to maximize participation, accelerate pot growth, and generate sustainable sBTC rewards.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Qty (×)</w:t>
            </w:r>
          </w:p>
        </w:tc>
        <w:tc>
          <w:tcPr>
            <w:tcW w:type="dxa" w:w="144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Entry Min.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Min. Participants</w:t>
            </w:r>
          </w:p>
        </w:tc>
        <w:tc>
          <w:tcPr>
            <w:tcW w:type="dxa" w:w="1584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Pot Target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Awarded Boost</w:t>
            </w:r>
          </w:p>
        </w:tc>
        <w:tc>
          <w:tcPr>
            <w:tcW w:type="dxa" w:w="172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Est. Rewards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~$4.92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15,000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~$7.41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700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~$9.93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~$12.50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1,350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~$15.00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2,500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~$25.20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~$52.80 sBTC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</w:t>
            </w:r>
          </w:p>
        </w:tc>
        <w:tc>
          <w:tcPr>
            <w:tcW w:type="dxa" w:w="144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584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300,000 STX</w:t>
            </w:r>
          </w:p>
        </w:tc>
        <w:tc>
          <w:tcPr>
            <w:tcW w:type="dxa" w:w="172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—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200" w:lineRule="auto" w:line="264"/>
      </w:pPr>
      <w:r>
        <w:rPr>
          <w:rFonts w:ascii="Calibri" w:hAnsi="Calibri" w:eastAsia="Calibri"/>
          <w:b/>
          <w:i/>
          <w:color w:val="4A5568"/>
          <w:sz w:val="20"/>
        </w:rPr>
        <w:t xml:space="preserve">Note: </w:t>
      </w:r>
      <w:r>
        <w:rPr>
          <w:rFonts w:ascii="Calibri" w:hAnsi="Calibri" w:eastAsia="Calibri"/>
          <w:b w:val="0"/>
          <w:i/>
          <w:color w:val="4A5568"/>
          <w:sz w:val="20"/>
        </w:rPr>
        <w:t>Estimated sBTC reward figures are approximate and subject to market conditions and yield performance at campaign time.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Indicative 5-Month Rollout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Campaigns will be sequenced to build familiarity, then scale commitment: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4320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Focus</w:t>
            </w:r>
          </w:p>
        </w:tc>
        <w:tc>
          <w:tcPr>
            <w:tcW w:type="dxa" w:w="25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Campaign Tiers (Entry Min.)</w:t>
            </w:r>
          </w:p>
        </w:tc>
        <w:tc>
          <w:tcPr>
            <w:tcW w:type="dxa" w:w="187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Indicative Boost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Launch &amp; discovery — lower barriers, introduce sponsorship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25 / 30 / 35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45,000 STX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2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Expand mid-tier participation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40 / 45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55,000 STX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3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Deepen community pots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 STX (1 of 2)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50,000 STX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4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Sustain engagement &amp; retention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 STX (2 of 2)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50,000 STX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5</w:t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Flagship campaign &amp; program close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 STX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100,000 STX</w:t>
            </w:r>
          </w:p>
        </w:tc>
      </w:tr>
      <w:tr>
        <w:tc>
          <w:tcPr>
            <w:tcW w:type="dxa" w:w="100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</w:r>
          </w:p>
        </w:tc>
        <w:tc>
          <w:tcPr>
            <w:tcW w:type="dxa" w:w="4320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Program total</w:t>
            </w:r>
          </w:p>
        </w:tc>
        <w:tc>
          <w:tcPr>
            <w:tcW w:type="dxa" w:w="25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8 sponsored pots</w:t>
            </w:r>
          </w:p>
        </w:tc>
        <w:tc>
          <w:tcPr>
            <w:tcW w:type="dxa" w:w="187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  <w:shd w:fill="EEF2F7" w:val="clear"/>
          </w:tcPr>
          <w:p>
            <w:pPr>
              <w:spacing w:before="40" w:after="40" w:lineRule="auto" w:line="240"/>
              <w:jc w:val="right"/>
            </w:pPr>
            <w:r/>
            <w:r>
              <w:rPr>
                <w:rFonts w:ascii="Calibri" w:hAnsi="Calibri" w:eastAsia="Calibri"/>
                <w:b/>
                <w:i w:val="0"/>
                <w:color w:val="1A365D"/>
                <w:sz w:val="20"/>
              </w:rPr>
              <w:t>300,000 STX</w:t>
            </w:r>
          </w:p>
        </w:tc>
      </w:tr>
    </w:tbl>
    <w:p>
      <w:pPr>
        <w:spacing w:before="0" w:after="120" w:lineRule="auto" w:line="240"/>
      </w:pP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Timing may be adjusted slightly based on fill rates, community readiness, and observed demand, while remaining within the 5-month window and total allocation.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6. Why This Benefits the Stacks Ecosystem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Increasing User Adoption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rewards lower the initial barrier for users and encourage more participants to interact with Stacks DeFi.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Growing STX Activity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participants means: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Increased STX deposits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More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Greater ecosystem engagement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Supporting Builders and Communities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becomes infrastructure that lets communities create their own incentive campaigns—not only during the Endowment-sponsored window, but as an ongoing pattern afterward.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Expanding Bitcoin DeFi Awareness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Each sponsored pot introduces new users to Bitcoin-secured yield opportunities available through Stacks.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7. Expected Outcomes</w:t>
      </w:r>
    </w:p>
    <w:p>
      <w:pPr>
        <w:spacing w:before="0" w:after="12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With Stacks Endowment support over the 5-month program, StacksPot expects to achieve: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Outcome</w:t>
            </w:r>
          </w:p>
        </w:tc>
        <w:tc>
          <w:tcPr>
            <w:tcW w:type="dxa" w:w="6192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center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User growth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active participants through attractive reward campaigns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More pot deployments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Encourage community members and projects to create their own reward pools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Higher ecosystem engagement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Increase STX utilization and wallet interactions</w:t>
            </w:r>
          </w:p>
        </w:tc>
      </w:tr>
      <w:tr>
        <w:tc>
          <w:tcPr>
            <w:tcW w:type="dxa" w:w="316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Long-term adoption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0"/>
              </w:rPr>
              <w:t>Convert campaign participants into recurring StacksPot users, measurable across the full 5-month window</w:t>
            </w:r>
          </w:p>
        </w:tc>
      </w:tr>
    </w:tbl>
    <w:p>
      <w:pPr>
        <w:spacing w:before="0" w:after="120" w:lineRule="auto" w:line="240"/>
      </w:pP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8. Transparency &amp; Reporting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All sponsored campaigns will include transparent reporting. Given the 5-month structure, reporting will operate on two cadences: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Monthly Progress Reports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Delivered at the end of each program month, covering: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participants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Total STX deposited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Number of pots created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Sponsored reward distribution for that month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Early retention / repeat participation signals</w:t>
      </w:r>
    </w:p>
    <w:p>
      <w:pPr>
        <w:spacing w:before="240" w:after="120" w:lineRule="auto" w:line="276"/>
      </w:pPr>
      <w:r>
        <w:rPr>
          <w:rFonts w:ascii="Calibri" w:hAnsi="Calibri" w:eastAsia="Calibri"/>
          <w:b/>
          <w:i w:val="0"/>
          <w:color w:val="2B6CB0"/>
          <w:sz w:val="26"/>
        </w:rPr>
        <w:t>Final Program Report (End of Month 5)</w:t>
      </w:r>
    </w:p>
    <w:p>
      <w:pPr>
        <w:spacing w:before="0" w:after="8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A comprehensive retrospective including: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Full campaign performance analysis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User retention statistics across the 5-month period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Cumulative STX utilization and wallet activity</w:t>
      </w:r>
    </w:p>
    <w:p>
      <w:pPr>
        <w:pStyle w:val="ListBullet"/>
        <w:spacing w:before="0" w:after="60" w:lineRule="auto" w:line="264"/>
      </w:pPr>
      <w:r>
        <w:rPr>
          <w:rFonts w:ascii="Calibri" w:hAnsi="Calibri" w:eastAsia="Calibri"/>
          <w:b w:val="0"/>
          <w:i w:val="0"/>
          <w:color w:val="1F2937"/>
          <w:sz w:val="22"/>
        </w:rPr>
        <w:t>Lessons learned and recommendations for any future ecosystem incentive programs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 Endowment will have clear visibility into the impact generated by the sponsorship throughout and at the close of the program.</w:t>
      </w:r>
    </w:p>
    <w:p>
      <w:pPr>
        <w:spacing w:before="360" w:after="120" w:lineRule="auto" w:line="276"/>
      </w:pPr>
      <w:r>
        <w:rPr>
          <w:rFonts w:ascii="Calibri" w:hAnsi="Calibri" w:eastAsia="Calibri"/>
          <w:b/>
          <w:i w:val="0"/>
          <w:color w:val="1A365D"/>
          <w:sz w:val="32"/>
        </w:rPr>
        <w:t>9. Conclusion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StacksPot has established the foundation for community-driven yield campaigns on Stacks. The next phase is accelerating adoption by creating stronger participation incentives.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Through collaboration with the Stacks Endowment, a </w:t>
      </w:r>
      <w:r>
        <w:rPr>
          <w:rFonts w:ascii="Calibri" w:hAnsi="Calibri" w:eastAsia="Calibri"/>
          <w:b/>
          <w:i w:val="0"/>
          <w:color w:val="1F2937"/>
          <w:sz w:val="22"/>
        </w:rPr>
        <w:t>5-month Sponsored Pot Growth Accelerator</w:t>
      </w:r>
      <w:r>
        <w:rPr>
          <w:rFonts w:ascii="Calibri" w:hAnsi="Calibri" w:eastAsia="Calibri"/>
          <w:b w:val="0"/>
          <w:i w:val="0"/>
          <w:color w:val="1F2937"/>
          <w:sz w:val="22"/>
        </w:rPr>
        <w:t xml:space="preserve"> can become a powerful ecosystem growth mechanism—attracting users, supporting builders, increasing STX activity, and introducing more participants to Bitcoin DeFi.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This partnership is an opportunity to create a scalable incentive layer that benefits not only StacksPot, but the wider Stacks ecosystem.</w:t>
      </w:r>
    </w:p>
    <w:p>
      <w:pPr>
        <w:spacing w:before="0" w:after="160" w:lineRule="auto" w:line="276"/>
      </w:pPr>
      <w:r>
        <w:rPr>
          <w:rFonts w:ascii="Calibri" w:hAnsi="Calibri" w:eastAsia="Calibri"/>
          <w:b w:val="0"/>
          <w:i w:val="0"/>
          <w:color w:val="1F2937"/>
          <w:sz w:val="22"/>
        </w:rPr>
        <w:t>Together, we can transform every sponsored pot into a gateway for new users to experience Bitcoin-powered DeFi on Stacks.</w:t>
      </w:r>
    </w:p>
    <w:p>
      <w:pPr>
        <w:spacing w:before="80" w:after="80" w:lineRule="auto" w:line="240"/>
        <w:pBdr>
          <w:bottom w:val="single" w:sz="12" w:space="1" w:color="2B6CB0"/>
        </w:pBdr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Prepared by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StacksPot Team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Date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July 2026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Program length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FFFFF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5 months</w:t>
            </w:r>
          </w:p>
        </w:tc>
      </w:tr>
      <w:tr>
        <w:tc>
          <w:tcPr>
            <w:tcW w:type="dxa" w:w="3168"/>
            <w:shd w:fill="1A365D" w:val="clear"/>
            <w:tcBorders>
              <w:top w:val="single" w:sz="4" w:space="0" w:color="1A365D"/>
              <w:left w:val="single" w:sz="4" w:space="0" w:color="1A365D"/>
              <w:bottom w:val="single" w:sz="4" w:space="0" w:color="1A365D"/>
              <w:right w:val="single" w:sz="4" w:space="0" w:color="1A365D"/>
            </w:tcBorders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/>
                <w:i w:val="0"/>
                <w:color w:val="FFFFFF"/>
                <w:sz w:val="22"/>
              </w:rPr>
              <w:t>Requested allocation</w:t>
            </w:r>
          </w:p>
        </w:tc>
        <w:tc>
          <w:tcPr>
            <w:tcW w:type="dxa" w:w="6192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shd w:fill="F7FAFC" w:val="clear"/>
          </w:tcPr>
          <w:p>
            <w:pPr>
              <w:spacing w:before="40" w:after="40" w:lineRule="auto" w:line="240"/>
              <w:jc w:val="left"/>
            </w:pPr>
            <w:r/>
            <w:r>
              <w:rPr>
                <w:rFonts w:ascii="Calibri" w:hAnsi="Calibri" w:eastAsia="Calibri"/>
                <w:b w:val="0"/>
                <w:i w:val="0"/>
                <w:color w:val="1F2937"/>
                <w:sz w:val="22"/>
              </w:rPr>
              <w:t>~300,000 STX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/>
        <w:color w:val="4A5568"/>
        <w:sz w:val="16"/>
      </w:rPr>
      <w:t>StacksPot Growth Acceleration Proposal  |  Confidential — For Stacks Endowment Review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