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StacksPot Growth Acceleration Proposal</w:t>
      </w:r>
    </w:p>
    <w:p>
      <w:pPr>
        <w:spacing w:before="0" w:after="20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4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· 10 cycles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Total Pots (Program)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230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Model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Reusable — returned to sponsor after each cycle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</w:tbl>
    <w:p>
      <w:pPr>
        <w:spacing w:before="80" w:after="80" w:lineRule="auto" w:line="276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1.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Accelerate Stacks user adoption through sponsored pot campaigns that boost rewards, deepen STX activity, and introduce more participants to Bitcoin-secured DeFi on Stacks.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2.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on Stacks. Users join transparent reward pools while preserving principal and earning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Early growth is constrained less by product readiness than by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—users weigh expected upside against commitment size and wait time. To close that gap, 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sponsorship allocation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Sponsorship capital is </w:t>
      </w:r>
      <w:r>
        <w:rPr>
          <w:rFonts w:ascii="Calibri" w:hAnsi="Calibri" w:eastAsia="Calibri"/>
          <w:b/>
          <w:i w:val="0"/>
          <w:color w:val="1F2937"/>
          <w:sz w:val="22"/>
        </w:rPr>
        <w:t>delegated into pots each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then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closes. The </w:t>
      </w:r>
      <w:r>
        <w:rPr>
          <w:rFonts w:ascii="Calibri" w:hAnsi="Calibri" w:eastAsia="Calibri"/>
          <w:b/>
          <w:i w:val="0"/>
          <w:color w:val="1F2937"/>
          <w:sz w:val="22"/>
        </w:rPr>
        <w:t>same 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redeployed across all </w:t>
      </w:r>
      <w:r>
        <w:rPr>
          <w:rFonts w:ascii="Calibri" w:hAnsi="Calibri" w:eastAsia="Calibri"/>
          <w:b/>
          <w:i w:val="0"/>
          <w:color w:val="1F2937"/>
          <w:sz w:val="22"/>
        </w:rPr>
        <w:t>10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>. The Endowment’s capital ask does not multiply with cycle 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3. How Sponsorship Capital Works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Endowment allocates 500,000 STX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That STX is delegated across the 23 pots in the active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When the cycle ends, delegated amounts are returned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same STX is redeployed for the next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repeats for 10 cycles over 5 months.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One allocation powers the full campaign without requiring new capital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4. Boosting Campaign Structure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table is the full breakdown of the sponsored campaign. All figures use the reusable 500,000 STX allocation across 10 cycles (5 months).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(*) Pot type: </w:t>
      </w:r>
      <w:r>
        <w:rPr>
          <w:rFonts w:ascii="Calibri" w:hAnsi="Calibri" w:eastAsia="Calibri"/>
          <w:b w:val="0"/>
          <w:i/>
          <w:color w:val="4A5568"/>
          <w:sz w:val="20"/>
        </w:rPr>
        <w:t>JackPot or Sequential, as noted in Qty.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Qty of Pots / Cycle (*)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Participants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86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Awarded Boost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 (JackPot)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1,062,500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 / pot</w:t>
            </w:r>
          </w:p>
        </w:tc>
      </w:tr>
      <w:tr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 (JackPot)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86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3,300,000 STX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 / pot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 (Sequential)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1,035,000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 / pot</w:t>
            </w:r>
          </w:p>
        </w:tc>
      </w:tr>
      <w:tr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 total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86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5,397,500 STX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 / cycle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Tier Notes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7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Type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Pots / Cycle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Part. / Pot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Boost / Pot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 Capital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Sequential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Total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80" w:lineRule="auto" w:line="264"/>
      </w:pPr>
      <w:r>
        <w:rPr>
          <w:rFonts w:ascii="Calibri" w:hAnsi="Calibri" w:eastAsia="Calibri"/>
          <w:b/>
          <w:i/>
          <w:color w:val="4A5568"/>
          <w:sz w:val="18"/>
        </w:rPr>
        <w:t xml:space="preserve">Tier B: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12 JackPot pots share 300,000 STX boost capital per cycle → 25,000 STX / pot. </w:t>
      </w:r>
      <w:r>
        <w:rPr>
          <w:rFonts w:ascii="Calibri" w:hAnsi="Calibri" w:eastAsia="Calibri"/>
          <w:b/>
          <w:i/>
          <w:color w:val="4A5568"/>
          <w:sz w:val="18"/>
        </w:rPr>
        <w:t xml:space="preserve">Pot Target: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Entry Min. × Min. Participants.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Stacked: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(Pot Target + Awarded Boost)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Participants: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Min. Participants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Tx: </w:t>
      </w:r>
      <w:r>
        <w:rPr>
          <w:rFonts w:ascii="Calibri" w:hAnsi="Calibri" w:eastAsia="Calibri"/>
          <w:b w:val="0"/>
          <w:i/>
          <w:color w:val="4A5568"/>
          <w:sz w:val="18"/>
        </w:rPr>
        <w:t>lifecycle (4 × pots × 10) + joins. Boost is counted in Total Stacked as deployed volume; capital committed remains 500,000 STX.</w:t>
      </w: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How the Totals Are Calculated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Per-Pot Stacked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 (10 cycles)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Lifecycle Txs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Join Txs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 — 10 × 25 STX × 25 min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10,625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1,062,500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 — 12 × 50 STX × 50 min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27,500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3,300,000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480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 — 1 × 350 STX × 10 min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103,500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1,035,000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5,397,500 STX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920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Transaction Accounting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Transaction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 Pot / Per Join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A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B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deploy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activate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start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close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join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participant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8,600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 txs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2,900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6,480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140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9,520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5. Expected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Outcome</w:t>
            </w:r>
          </w:p>
        </w:tc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Program Target</w:t>
            </w:r>
          </w:p>
        </w:tc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Average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Sponsored pots delivered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230 (23 / cycle × 10 cycles)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23 / cycle · 46 / month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Minimum participants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8,600 (2,500 + 6,000 + 100)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860 / cycle · 1,720 / month</w:t>
            </w:r>
          </w:p>
        </w:tc>
      </w:tr>
      <w:tr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Total STX stacked (pot target + boost)</w:t>
            </w:r>
          </w:p>
        </w:tc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5,397,500 STX</w:t>
            </w:r>
          </w:p>
        </w:tc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539,750 STX / cycle · 1,079,500 STX / month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On-chain transactions (minimum)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9,520 (920 lifecycle + 8,600 joins)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952 / cycle · 1,904 / month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Avg. participants per pot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~37 (8,600 ÷ 230)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Avg. STX stacked per pot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~23,467 STX (5,397,500 ÷ 230)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Avg. transactions per pot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~41 (9,520 ÷ 230)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Capital efficiency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500,000 STX committed once; reused every cycle</w:t>
            </w:r>
          </w:p>
        </w:tc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500,000 STX constant (reusable)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Ecosystem impact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Higher STX deposits, wallet activity, and Bitcoin DeFi awareness on Stacks</w:t>
            </w:r>
          </w:p>
        </w:tc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6.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Monthly: </w:t>
      </w:r>
      <w:r>
        <w:rPr>
          <w:rFonts w:ascii="Calibri" w:hAnsi="Calibri" w:eastAsia="Calibri"/>
          <w:b w:val="0"/>
          <w:i w:val="0"/>
          <w:color w:val="1F2937"/>
          <w:sz w:val="22"/>
        </w:rPr>
        <w:t>participants, STX deposited, pots created (target 46/month), capital deployed and returned each cycle, and transaction counts (deploy / activate / start / close / joins).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Final (Month 5): </w:t>
      </w:r>
      <w:r>
        <w:rPr>
          <w:rFonts w:ascii="Calibri" w:hAnsi="Calibri" w:eastAsia="Calibri"/>
          <w:b w:val="0"/>
          <w:i w:val="0"/>
          <w:color w:val="1F2937"/>
          <w:sz w:val="22"/>
        </w:rPr>
        <w:t>full 10-cycle performance, retention, cumulative STX activity, capital custody summary, and recommendations.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7.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reusable sponsorship allocation to run </w:t>
      </w:r>
      <w:r>
        <w:rPr>
          <w:rFonts w:ascii="Calibri" w:hAnsi="Calibri" w:eastAsia="Calibri"/>
          <w:b/>
          <w:i w:val="0"/>
          <w:color w:val="1F2937"/>
          <w:sz w:val="22"/>
        </w:rPr>
        <w:t>23 boosted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1F2937"/>
          <w:sz w:val="22"/>
        </w:rPr>
        <w:t>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230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program-wide). Because delegated capital returns to the sponsor after each cycle, one allocation funds the entire campaign—attracting users, supporting communities, and expanding Bitcoin-secured DeFi activity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 (reusable — returned after each cycle)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mix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 JackPot × 10k · 12 JackPot × 25k · 1 Sequential × 100k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