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64"/>
        <w:jc w:val="center"/>
      </w:pPr>
      <w:r>
        <w:rPr>
          <w:rFonts w:ascii="Calibri" w:hAnsi="Calibri" w:eastAsia="Calibri"/>
          <w:b/>
          <w:i w:val="0"/>
          <w:color w:val="1A365D"/>
          <w:sz w:val="44"/>
        </w:rPr>
        <w:t>StacksPot Growth Acceleration Proposal</w:t>
      </w:r>
    </w:p>
    <w:p>
      <w:pPr>
        <w:spacing w:before="0" w:after="200" w:lineRule="auto" w:line="264"/>
        <w:jc w:val="center"/>
      </w:pPr>
      <w:r>
        <w:rPr>
          <w:rFonts w:ascii="Calibri" w:hAnsi="Calibri" w:eastAsia="Calibri"/>
          <w:b w:val="0"/>
          <w:i/>
          <w:color w:val="2B6CB0"/>
          <w:sz w:val="24"/>
        </w:rPr>
        <w:t>A Sponsored Yield Boosting Initiative for Ecosystem Growth</w:t>
      </w:r>
    </w:p>
    <w:p>
      <w:pPr>
        <w:spacing w:before="80" w:after="80" w:lineRule="auto" w:line="240"/>
        <w:pBdr>
          <w:bottom w:val="single" w:sz="12" w:space="1" w:color="2B6CB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Submitted By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StacksPot Team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Submitted To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Stacks Endowment Team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Program Duration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5 months · 10 cycles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Cycle Length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 weeks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Pots per Cycle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23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Pots per Month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46 (2 cycles)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Total Pots (Program)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230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Requested Allocation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500,000 STX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Capital Model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Reusable — returned to sponsor after each cycle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July 2026</w:t>
            </w:r>
          </w:p>
        </w:tc>
      </w:tr>
    </w:tbl>
    <w:p>
      <w:pPr>
        <w:spacing w:before="80" w:after="80" w:lineRule="auto" w:line="276"/>
      </w:pP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1. Aims</w:t>
      </w:r>
    </w:p>
    <w:p>
      <w:pPr>
        <w:spacing w:before="0" w:after="8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Growth Accelerator is designed to: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/>
          <w:i w:val="0"/>
          <w:color w:val="1F2937"/>
          <w:sz w:val="22"/>
        </w:rPr>
        <w:t>Catalyze adoption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bring new and returning users into Stacks DeFi through attractive, time-bound sponsored pots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/>
          <w:i w:val="0"/>
          <w:color w:val="1F2937"/>
          <w:sz w:val="22"/>
        </w:rPr>
        <w:t>Prove capital-efficient incentives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show that a single reusable 500,000 STX allocation can power 10 cycles of high-frequency campaigns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/>
          <w:i w:val="0"/>
          <w:color w:val="1F2937"/>
          <w:sz w:val="22"/>
        </w:rPr>
        <w:t>Scale on-chain activity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drive measurable growth in pot deployments, participant joins, STX stacking, and wallet interactions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/>
          <w:i w:val="0"/>
          <w:color w:val="1F2937"/>
          <w:sz w:val="22"/>
        </w:rPr>
        <w:t>Strengthen community infrastructure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position StacksPot as a repeatable incentive layer communities and builders can use beyond this program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/>
          <w:i w:val="0"/>
          <w:color w:val="1F2937"/>
          <w:sz w:val="22"/>
        </w:rPr>
        <w:t>Expand Bitcoin DeFi awareness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introduce more participants to Bitcoin-secured yield opportunities available through Stacks</w:t>
      </w: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2. Objective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>Accelerate Stacks user adoption through sponsored pot campaigns that boost rewards, deepen STX activity, and introduce more participants to Bitcoin-secured DeFi on Stacks.</w:t>
      </w: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3. Executive Summary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>StacksPot is a decentralized, yield-powered community pot protocol on Stacks. Users join transparent reward pools while preserving principal and earning Bitcoin-secured DeFi yield.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Early growth is constrained less by product readiness than by </w:t>
      </w:r>
      <w:r>
        <w:rPr>
          <w:rFonts w:ascii="Calibri" w:hAnsi="Calibri" w:eastAsia="Calibri"/>
          <w:b/>
          <w:i w:val="0"/>
          <w:color w:val="1F2937"/>
          <w:sz w:val="22"/>
        </w:rPr>
        <w:t>reward perception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—users weigh expected upside against commitment size and wait time. To close that gap, StacksPot requests a </w:t>
      </w:r>
      <w:r>
        <w:rPr>
          <w:rFonts w:ascii="Calibri" w:hAnsi="Calibri" w:eastAsia="Calibri"/>
          <w:b/>
          <w:i w:val="0"/>
          <w:color w:val="1F2937"/>
          <w:sz w:val="22"/>
        </w:rPr>
        <w:t>500,000 STX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Endowment sponsorship allocation for a </w:t>
      </w:r>
      <w:r>
        <w:rPr>
          <w:rFonts w:ascii="Calibri" w:hAnsi="Calibri" w:eastAsia="Calibri"/>
          <w:b/>
          <w:i w:val="0"/>
          <w:color w:val="1F2937"/>
          <w:sz w:val="22"/>
        </w:rPr>
        <w:t>5-month Growth Accelerator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Sponsorship capital is </w:t>
      </w:r>
      <w:r>
        <w:rPr>
          <w:rFonts w:ascii="Calibri" w:hAnsi="Calibri" w:eastAsia="Calibri"/>
          <w:b/>
          <w:i w:val="0"/>
          <w:color w:val="1F2937"/>
          <w:sz w:val="22"/>
        </w:rPr>
        <w:t>delegated into pots each 2-week cycle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1F2937"/>
          <w:sz w:val="22"/>
        </w:rPr>
        <w:t>returned to the sponsor address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when the cycle closes. The </w:t>
      </w:r>
      <w:r>
        <w:rPr>
          <w:rFonts w:ascii="Calibri" w:hAnsi="Calibri" w:eastAsia="Calibri"/>
          <w:b/>
          <w:i w:val="0"/>
          <w:color w:val="1F2937"/>
          <w:sz w:val="22"/>
        </w:rPr>
        <w:t>same 500,000 STX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is redeployed across all </w:t>
      </w:r>
      <w:r>
        <w:rPr>
          <w:rFonts w:ascii="Calibri" w:hAnsi="Calibri" w:eastAsia="Calibri"/>
          <w:b/>
          <w:i w:val="0"/>
          <w:color w:val="1F2937"/>
          <w:sz w:val="22"/>
        </w:rPr>
        <w:t>10 cycles</w:t>
      </w:r>
      <w:r>
        <w:rPr>
          <w:rFonts w:ascii="Calibri" w:hAnsi="Calibri" w:eastAsia="Calibri"/>
          <w:b w:val="0"/>
          <w:i w:val="0"/>
          <w:color w:val="1F2937"/>
          <w:sz w:val="22"/>
        </w:rPr>
        <w:t>. The Endowment’s capital ask does not multiply with cycle count.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Cycles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Pots</w:t>
            </w:r>
          </w:p>
        </w:tc>
        <w:tc>
          <w:tcPr>
            <w:tcW w:type="dxa" w:w="403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Capital Required</w:t>
            </w:r>
          </w:p>
        </w:tc>
      </w:tr>
      <w:tr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Per cycle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23</w:t>
            </w:r>
          </w:p>
        </w:tc>
        <w:tc>
          <w:tcPr>
            <w:tcW w:type="dxa" w:w="40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500,000 STX (delegated)</w:t>
            </w:r>
          </w:p>
        </w:tc>
      </w:tr>
      <w:tr>
        <w:tc>
          <w:tcPr>
            <w:tcW w:type="dxa" w:w="259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Per month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46</w:t>
            </w:r>
          </w:p>
        </w:tc>
        <w:tc>
          <w:tcPr>
            <w:tcW w:type="dxa" w:w="403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500,000 STX (same capital, reused)</w:t>
            </w:r>
          </w:p>
        </w:tc>
      </w:tr>
      <w:tr>
        <w:tc>
          <w:tcPr>
            <w:tcW w:type="dxa" w:w="259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5-month program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10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230</w:t>
            </w:r>
          </w:p>
        </w:tc>
        <w:tc>
          <w:tcPr>
            <w:tcW w:type="dxa" w:w="403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500,000 STX (same capital, reused)</w:t>
            </w:r>
          </w:p>
        </w:tc>
      </w:tr>
    </w:tbl>
    <w:p>
      <w:pPr>
        <w:spacing w:before="0" w:after="120" w:lineRule="auto" w:line="240"/>
      </w:pP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4. How Sponsorship Capital Works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 w:val="0"/>
          <w:i w:val="0"/>
          <w:color w:val="1F2937"/>
          <w:sz w:val="22"/>
        </w:rPr>
        <w:t>Endowment allocates 500,000 STX to the sponsor address.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 w:val="0"/>
          <w:i w:val="0"/>
          <w:color w:val="1F2937"/>
          <w:sz w:val="22"/>
        </w:rPr>
        <w:t>That STX is delegated across the 23 pots in the active cycle.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 w:val="0"/>
          <w:i w:val="0"/>
          <w:color w:val="1F2937"/>
          <w:sz w:val="22"/>
        </w:rPr>
        <w:t>When the cycle ends, delegated amounts are returned to the sponsor address.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 w:val="0"/>
          <w:i w:val="0"/>
          <w:color w:val="1F2937"/>
          <w:sz w:val="22"/>
        </w:rPr>
        <w:t>The same STX is redeployed for the next cycle.</w:t>
      </w:r>
    </w:p>
    <w:p>
      <w:pPr>
        <w:pStyle w:val="ListNumber"/>
        <w:spacing w:before="0" w:after="60" w:lineRule="auto" w:line="264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repeats for 10 cycles over 5 months.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>One allocation powers the full campaign without requiring new capital each cycle.</w:t>
      </w: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5. Boosting Campaign Structure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table is the full breakdown of the sponsored campaign. All figures use the reusable 500,000 STX allocation across 10 cycles (5 months).</w:t>
      </w:r>
    </w:p>
    <w:p>
      <w:pPr>
        <w:spacing w:before="0" w:after="120" w:lineRule="auto" w:line="276"/>
      </w:pPr>
      <w:r>
        <w:rPr>
          <w:rFonts w:ascii="Calibri" w:hAnsi="Calibri" w:eastAsia="Calibri"/>
          <w:b w:val="0"/>
          <w:i/>
          <w:color w:val="4A5568"/>
          <w:sz w:val="20"/>
        </w:rPr>
        <w:t xml:space="preserve">(*) Pot type: </w:t>
      </w:r>
      <w:r>
        <w:rPr>
          <w:rFonts w:ascii="Calibri" w:hAnsi="Calibri" w:eastAsia="Calibri"/>
          <w:b w:val="0"/>
          <w:i/>
          <w:color w:val="4A5568"/>
          <w:sz w:val="20"/>
        </w:rPr>
        <w:t>JackPot or Sequential, as noted in Qty.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6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Qty of Pots / Cycle (*)</w:t>
            </w:r>
          </w:p>
        </w:tc>
        <w:tc>
          <w:tcPr>
            <w:tcW w:type="dxa" w:w="1008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Entry Min.</w:t>
            </w:r>
          </w:p>
        </w:tc>
        <w:tc>
          <w:tcPr>
            <w:tcW w:type="dxa" w:w="1368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Min. Participants</w:t>
            </w:r>
          </w:p>
        </w:tc>
        <w:tc>
          <w:tcPr>
            <w:tcW w:type="dxa" w:w="108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Pot Target</w:t>
            </w:r>
          </w:p>
        </w:tc>
        <w:tc>
          <w:tcPr>
            <w:tcW w:type="dxa" w:w="86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 Tx</w:t>
            </w:r>
          </w:p>
        </w:tc>
        <w:tc>
          <w:tcPr>
            <w:tcW w:type="dxa" w:w="129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 Stacked</w:t>
            </w:r>
          </w:p>
        </w:tc>
        <w:tc>
          <w:tcPr>
            <w:tcW w:type="dxa" w:w="129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 Participants</w:t>
            </w:r>
          </w:p>
        </w:tc>
        <w:tc>
          <w:tcPr>
            <w:tcW w:type="dxa" w:w="158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Awarded Boost</w:t>
            </w:r>
          </w:p>
        </w:tc>
      </w:tr>
      <w:tr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 (JackPot)</w:t>
            </w:r>
          </w:p>
        </w:tc>
        <w:tc>
          <w:tcPr>
            <w:tcW w:type="dxa" w:w="100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25 STX</w:t>
            </w:r>
          </w:p>
        </w:tc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25</w:t>
            </w:r>
          </w:p>
        </w:tc>
        <w:tc>
          <w:tcPr>
            <w:tcW w:type="dxa" w:w="10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625 STX</w:t>
            </w:r>
          </w:p>
        </w:tc>
        <w:tc>
          <w:tcPr>
            <w:tcW w:type="dxa" w:w="8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2,900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1,062,500 STX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2,500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10,000 STX / pot</w:t>
            </w:r>
          </w:p>
        </w:tc>
      </w:tr>
      <w:tr>
        <w:tc>
          <w:tcPr>
            <w:tcW w:type="dxa" w:w="165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12 (JackPot)</w:t>
            </w:r>
          </w:p>
        </w:tc>
        <w:tc>
          <w:tcPr>
            <w:tcW w:type="dxa" w:w="1008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50 STX</w:t>
            </w:r>
          </w:p>
        </w:tc>
        <w:tc>
          <w:tcPr>
            <w:tcW w:type="dxa" w:w="1368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50</w:t>
            </w:r>
          </w:p>
        </w:tc>
        <w:tc>
          <w:tcPr>
            <w:tcW w:type="dxa" w:w="108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2,500 STX</w:t>
            </w:r>
          </w:p>
        </w:tc>
        <w:tc>
          <w:tcPr>
            <w:tcW w:type="dxa" w:w="86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6,480</w:t>
            </w:r>
          </w:p>
        </w:tc>
        <w:tc>
          <w:tcPr>
            <w:tcW w:type="dxa" w:w="129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3,300,000 STX</w:t>
            </w:r>
          </w:p>
        </w:tc>
        <w:tc>
          <w:tcPr>
            <w:tcW w:type="dxa" w:w="129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6,000</w:t>
            </w:r>
          </w:p>
        </w:tc>
        <w:tc>
          <w:tcPr>
            <w:tcW w:type="dxa" w:w="158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25,000 STX / pot</w:t>
            </w:r>
          </w:p>
        </w:tc>
      </w:tr>
      <w:tr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 (Sequential)</w:t>
            </w:r>
          </w:p>
        </w:tc>
        <w:tc>
          <w:tcPr>
            <w:tcW w:type="dxa" w:w="100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350 STX</w:t>
            </w:r>
          </w:p>
        </w:tc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0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3,500 STX</w:t>
            </w:r>
          </w:p>
        </w:tc>
        <w:tc>
          <w:tcPr>
            <w:tcW w:type="dxa" w:w="8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140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1,035,000 STX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100,000 STX / pot</w:t>
            </w:r>
          </w:p>
        </w:tc>
      </w:tr>
      <w:tr>
        <w:tc>
          <w:tcPr>
            <w:tcW w:type="dxa" w:w="165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23 total</w:t>
            </w:r>
          </w:p>
        </w:tc>
        <w:tc>
          <w:tcPr>
            <w:tcW w:type="dxa" w:w="1008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368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08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86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9,520</w:t>
            </w:r>
          </w:p>
        </w:tc>
        <w:tc>
          <w:tcPr>
            <w:tcW w:type="dxa" w:w="129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5,397,500 STX</w:t>
            </w:r>
          </w:p>
        </w:tc>
        <w:tc>
          <w:tcPr>
            <w:tcW w:type="dxa" w:w="129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8,600</w:t>
            </w:r>
          </w:p>
        </w:tc>
        <w:tc>
          <w:tcPr>
            <w:tcW w:type="dxa" w:w="158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500,000 STX / cycle</w:t>
            </w:r>
          </w:p>
        </w:tc>
      </w:tr>
    </w:tbl>
    <w:p>
      <w:pPr>
        <w:spacing w:before="0" w:after="120" w:lineRule="auto" w:line="240"/>
      </w:pPr>
    </w:p>
    <w:p>
      <w:pPr>
        <w:spacing w:before="200" w:after="120" w:lineRule="auto" w:line="276"/>
      </w:pPr>
      <w:r>
        <w:rPr>
          <w:rFonts w:ascii="Calibri" w:hAnsi="Calibri" w:eastAsia="Calibri"/>
          <w:b/>
          <w:i w:val="0"/>
          <w:color w:val="2B6CB0"/>
          <w:sz w:val="24"/>
        </w:rPr>
        <w:t>Tier Notes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79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Tier</w:t>
            </w:r>
          </w:p>
        </w:tc>
        <w:tc>
          <w:tcPr>
            <w:tcW w:type="dxa" w:w="129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Pot Type</w:t>
            </w:r>
          </w:p>
        </w:tc>
        <w:tc>
          <w:tcPr>
            <w:tcW w:type="dxa" w:w="122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Pots / Cycle</w:t>
            </w:r>
          </w:p>
        </w:tc>
        <w:tc>
          <w:tcPr>
            <w:tcW w:type="dxa" w:w="108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Entry Min.</w:t>
            </w:r>
          </w:p>
        </w:tc>
        <w:tc>
          <w:tcPr>
            <w:tcW w:type="dxa" w:w="1368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Min. Part. / Pot</w:t>
            </w:r>
          </w:p>
        </w:tc>
        <w:tc>
          <w:tcPr>
            <w:tcW w:type="dxa" w:w="122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Pot Target</w:t>
            </w:r>
          </w:p>
        </w:tc>
        <w:tc>
          <w:tcPr>
            <w:tcW w:type="dxa" w:w="1368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Boost / Pot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Tier Capital</w:t>
            </w:r>
          </w:p>
        </w:tc>
      </w:tr>
      <w:tr>
        <w:tc>
          <w:tcPr>
            <w:tcW w:type="dxa" w:w="7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A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JackPot</w:t>
            </w:r>
          </w:p>
        </w:tc>
        <w:tc>
          <w:tcPr>
            <w:tcW w:type="dxa" w:w="12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0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25 STX</w:t>
            </w:r>
          </w:p>
        </w:tc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25</w:t>
            </w:r>
          </w:p>
        </w:tc>
        <w:tc>
          <w:tcPr>
            <w:tcW w:type="dxa" w:w="12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625 STX</w:t>
            </w:r>
          </w:p>
        </w:tc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10,000 STX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100,000 STX</w:t>
            </w:r>
          </w:p>
        </w:tc>
      </w:tr>
      <w:tr>
        <w:tc>
          <w:tcPr>
            <w:tcW w:type="dxa" w:w="79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B</w:t>
            </w:r>
          </w:p>
        </w:tc>
        <w:tc>
          <w:tcPr>
            <w:tcW w:type="dxa" w:w="129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JackPot</w:t>
            </w:r>
          </w:p>
        </w:tc>
        <w:tc>
          <w:tcPr>
            <w:tcW w:type="dxa" w:w="122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12</w:t>
            </w:r>
          </w:p>
        </w:tc>
        <w:tc>
          <w:tcPr>
            <w:tcW w:type="dxa" w:w="108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50 STX</w:t>
            </w:r>
          </w:p>
        </w:tc>
        <w:tc>
          <w:tcPr>
            <w:tcW w:type="dxa" w:w="1368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50</w:t>
            </w:r>
          </w:p>
        </w:tc>
        <w:tc>
          <w:tcPr>
            <w:tcW w:type="dxa" w:w="122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2,500 STX</w:t>
            </w:r>
          </w:p>
        </w:tc>
        <w:tc>
          <w:tcPr>
            <w:tcW w:type="dxa" w:w="1368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25,000 STX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300,000 STX</w:t>
            </w:r>
          </w:p>
        </w:tc>
      </w:tr>
      <w:tr>
        <w:tc>
          <w:tcPr>
            <w:tcW w:type="dxa" w:w="7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C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Sequential</w:t>
            </w:r>
          </w:p>
        </w:tc>
        <w:tc>
          <w:tcPr>
            <w:tcW w:type="dxa" w:w="12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0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350 STX</w:t>
            </w:r>
          </w:p>
        </w:tc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2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3,500 STX</w:t>
            </w:r>
          </w:p>
        </w:tc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100,000 STX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100,000 STX</w:t>
            </w:r>
          </w:p>
        </w:tc>
      </w:tr>
      <w:tr>
        <w:tc>
          <w:tcPr>
            <w:tcW w:type="dxa" w:w="79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Total</w:t>
            </w:r>
          </w:p>
        </w:tc>
        <w:tc>
          <w:tcPr>
            <w:tcW w:type="dxa" w:w="129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22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23</w:t>
            </w:r>
          </w:p>
        </w:tc>
        <w:tc>
          <w:tcPr>
            <w:tcW w:type="dxa" w:w="108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368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22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368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500,000 STX</w:t>
            </w:r>
          </w:p>
        </w:tc>
      </w:tr>
    </w:tbl>
    <w:p>
      <w:pPr>
        <w:spacing w:before="0" w:after="120" w:lineRule="auto" w:line="240"/>
      </w:pPr>
    </w:p>
    <w:p>
      <w:pPr>
        <w:spacing w:before="0" w:after="80" w:lineRule="auto" w:line="264"/>
      </w:pPr>
      <w:r>
        <w:rPr>
          <w:rFonts w:ascii="Calibri" w:hAnsi="Calibri" w:eastAsia="Calibri"/>
          <w:b/>
          <w:i/>
          <w:color w:val="4A5568"/>
          <w:sz w:val="18"/>
        </w:rPr>
        <w:t xml:space="preserve">Tier B: </w:t>
      </w:r>
      <w:r>
        <w:rPr>
          <w:rFonts w:ascii="Calibri" w:hAnsi="Calibri" w:eastAsia="Calibri"/>
          <w:b w:val="0"/>
          <w:i/>
          <w:color w:val="4A5568"/>
          <w:sz w:val="18"/>
        </w:rPr>
        <w:t xml:space="preserve">12 JackPot pots share 300,000 STX boost capital per cycle → 25,000 STX / pot. </w:t>
      </w:r>
      <w:r>
        <w:rPr>
          <w:rFonts w:ascii="Calibri" w:hAnsi="Calibri" w:eastAsia="Calibri"/>
          <w:b/>
          <w:i/>
          <w:color w:val="4A5568"/>
          <w:sz w:val="18"/>
        </w:rPr>
        <w:t xml:space="preserve">Pot Target: </w:t>
      </w:r>
      <w:r>
        <w:rPr>
          <w:rFonts w:ascii="Calibri" w:hAnsi="Calibri" w:eastAsia="Calibri"/>
          <w:b w:val="0"/>
          <w:i/>
          <w:color w:val="4A5568"/>
          <w:sz w:val="18"/>
        </w:rPr>
        <w:t xml:space="preserve">Entry Min. × Min. Participants. </w:t>
      </w:r>
      <w:r>
        <w:rPr>
          <w:rFonts w:ascii="Calibri" w:hAnsi="Calibri" w:eastAsia="Calibri"/>
          <w:b/>
          <w:i/>
          <w:color w:val="4A5568"/>
          <w:sz w:val="18"/>
        </w:rPr>
        <w:t xml:space="preserve">Total Stacked: </w:t>
      </w:r>
      <w:r>
        <w:rPr>
          <w:rFonts w:ascii="Calibri" w:hAnsi="Calibri" w:eastAsia="Calibri"/>
          <w:b w:val="0"/>
          <w:i/>
          <w:color w:val="4A5568"/>
          <w:sz w:val="18"/>
        </w:rPr>
        <w:t xml:space="preserve">(Pot Target + Awarded Boost) × Qty × 10 cycles. </w:t>
      </w:r>
      <w:r>
        <w:rPr>
          <w:rFonts w:ascii="Calibri" w:hAnsi="Calibri" w:eastAsia="Calibri"/>
          <w:b/>
          <w:i/>
          <w:color w:val="4A5568"/>
          <w:sz w:val="18"/>
        </w:rPr>
        <w:t xml:space="preserve">Total Participants: </w:t>
      </w:r>
      <w:r>
        <w:rPr>
          <w:rFonts w:ascii="Calibri" w:hAnsi="Calibri" w:eastAsia="Calibri"/>
          <w:b w:val="0"/>
          <w:i/>
          <w:color w:val="4A5568"/>
          <w:sz w:val="18"/>
        </w:rPr>
        <w:t xml:space="preserve">Min. Participants × Qty × 10 cycles. </w:t>
      </w:r>
      <w:r>
        <w:rPr>
          <w:rFonts w:ascii="Calibri" w:hAnsi="Calibri" w:eastAsia="Calibri"/>
          <w:b/>
          <w:i/>
          <w:color w:val="4A5568"/>
          <w:sz w:val="18"/>
        </w:rPr>
        <w:t xml:space="preserve">Total Tx: </w:t>
      </w:r>
      <w:r>
        <w:rPr>
          <w:rFonts w:ascii="Calibri" w:hAnsi="Calibri" w:eastAsia="Calibri"/>
          <w:b w:val="0"/>
          <w:i/>
          <w:color w:val="4A5568"/>
          <w:sz w:val="18"/>
        </w:rPr>
        <w:t>lifecycle (4 × pots × 10) + joins. Boost is counted in Total Stacked as deployed volume; capital committed remains 500,000 STX.</w:t>
      </w:r>
    </w:p>
    <w:p>
      <w:pPr>
        <w:spacing w:before="200" w:after="120" w:lineRule="auto" w:line="276"/>
      </w:pPr>
      <w:r>
        <w:rPr>
          <w:rFonts w:ascii="Calibri" w:hAnsi="Calibri" w:eastAsia="Calibri"/>
          <w:b/>
          <w:i w:val="0"/>
          <w:color w:val="2B6CB0"/>
          <w:sz w:val="24"/>
        </w:rPr>
        <w:t>How the Totals Are Calculated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59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Tier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Per-Pot Stacked</w:t>
            </w:r>
          </w:p>
        </w:tc>
        <w:tc>
          <w:tcPr>
            <w:tcW w:type="dxa" w:w="201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 Stacked (10 cycles)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Lifecycle Txs</w:t>
            </w:r>
          </w:p>
        </w:tc>
        <w:tc>
          <w:tcPr>
            <w:tcW w:type="dxa" w:w="122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Join Txs</w:t>
            </w:r>
          </w:p>
        </w:tc>
        <w:tc>
          <w:tcPr>
            <w:tcW w:type="dxa" w:w="115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 Tx</w:t>
            </w:r>
          </w:p>
        </w:tc>
        <w:tc>
          <w:tcPr>
            <w:tcW w:type="dxa" w:w="158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 Participants</w:t>
            </w:r>
          </w:p>
        </w:tc>
      </w:tr>
      <w:tr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A — 10 × 25 STX × 25 min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10,625</w:t>
            </w:r>
          </w:p>
        </w:tc>
        <w:tc>
          <w:tcPr>
            <w:tcW w:type="dxa" w:w="20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1,062,500 STX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400</w:t>
            </w:r>
          </w:p>
        </w:tc>
        <w:tc>
          <w:tcPr>
            <w:tcW w:type="dxa" w:w="12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2,500</w:t>
            </w:r>
          </w:p>
        </w:tc>
        <w:tc>
          <w:tcPr>
            <w:tcW w:type="dxa" w:w="11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2,900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2,500</w:t>
            </w:r>
          </w:p>
        </w:tc>
      </w:tr>
      <w:tr>
        <w:tc>
          <w:tcPr>
            <w:tcW w:type="dxa" w:w="259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B — 12 × 50 STX × 50 min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27,500</w:t>
            </w:r>
          </w:p>
        </w:tc>
        <w:tc>
          <w:tcPr>
            <w:tcW w:type="dxa" w:w="201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3,300,000 STX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480</w:t>
            </w:r>
          </w:p>
        </w:tc>
        <w:tc>
          <w:tcPr>
            <w:tcW w:type="dxa" w:w="122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6,000</w:t>
            </w:r>
          </w:p>
        </w:tc>
        <w:tc>
          <w:tcPr>
            <w:tcW w:type="dxa" w:w="115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6,480</w:t>
            </w:r>
          </w:p>
        </w:tc>
        <w:tc>
          <w:tcPr>
            <w:tcW w:type="dxa" w:w="158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6,000</w:t>
            </w:r>
          </w:p>
        </w:tc>
      </w:tr>
      <w:tr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C — 1 × 350 STX × 10 min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103,500</w:t>
            </w:r>
          </w:p>
        </w:tc>
        <w:tc>
          <w:tcPr>
            <w:tcW w:type="dxa" w:w="20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1,035,000 STX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40</w:t>
            </w:r>
          </w:p>
        </w:tc>
        <w:tc>
          <w:tcPr>
            <w:tcW w:type="dxa" w:w="12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</w:t>
            </w:r>
          </w:p>
        </w:tc>
        <w:tc>
          <w:tcPr>
            <w:tcW w:type="dxa" w:w="11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140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6"/>
              </w:rPr>
              <w:t>100</w:t>
            </w:r>
          </w:p>
        </w:tc>
      </w:tr>
      <w:tr>
        <w:tc>
          <w:tcPr>
            <w:tcW w:type="dxa" w:w="259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Program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—</w:t>
            </w:r>
          </w:p>
        </w:tc>
        <w:tc>
          <w:tcPr>
            <w:tcW w:type="dxa" w:w="201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5,397,500 STX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920</w:t>
            </w:r>
          </w:p>
        </w:tc>
        <w:tc>
          <w:tcPr>
            <w:tcW w:type="dxa" w:w="122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8,600</w:t>
            </w:r>
          </w:p>
        </w:tc>
        <w:tc>
          <w:tcPr>
            <w:tcW w:type="dxa" w:w="115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9,520</w:t>
            </w:r>
          </w:p>
        </w:tc>
        <w:tc>
          <w:tcPr>
            <w:tcW w:type="dxa" w:w="158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6"/>
              </w:rPr>
              <w:t>8,600</w:t>
            </w:r>
          </w:p>
        </w:tc>
      </w:tr>
    </w:tbl>
    <w:p>
      <w:pPr>
        <w:spacing w:before="0" w:after="120" w:lineRule="auto" w:line="240"/>
      </w:pPr>
    </w:p>
    <w:p>
      <w:pPr>
        <w:spacing w:before="200" w:after="120" w:lineRule="auto" w:line="276"/>
      </w:pPr>
      <w:r>
        <w:rPr>
          <w:rFonts w:ascii="Calibri" w:hAnsi="Calibri" w:eastAsia="Calibri"/>
          <w:b/>
          <w:i w:val="0"/>
          <w:color w:val="2B6CB0"/>
          <w:sz w:val="24"/>
        </w:rPr>
        <w:t>Transaction Accounting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01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Transaction</w:t>
            </w:r>
          </w:p>
        </w:tc>
        <w:tc>
          <w:tcPr>
            <w:tcW w:type="dxa" w:w="187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 Pot / Per Join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Tier A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Tier B</w:t>
            </w:r>
          </w:p>
        </w:tc>
        <w:tc>
          <w:tcPr>
            <w:tcW w:type="dxa" w:w="129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Tier C</w:t>
            </w:r>
          </w:p>
        </w:tc>
        <w:tc>
          <w:tcPr>
            <w:tcW w:type="dxa" w:w="1440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Program</w:t>
            </w:r>
          </w:p>
        </w:tc>
      </w:tr>
      <w:tr>
        <w:tc>
          <w:tcPr>
            <w:tcW w:type="dxa" w:w="20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Pot deploy</w:t>
            </w:r>
          </w:p>
        </w:tc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 / pot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120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230</w:t>
            </w:r>
          </w:p>
        </w:tc>
      </w:tr>
      <w:tr>
        <w:tc>
          <w:tcPr>
            <w:tcW w:type="dxa" w:w="201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Pot activate</w:t>
            </w:r>
          </w:p>
        </w:tc>
        <w:tc>
          <w:tcPr>
            <w:tcW w:type="dxa" w:w="187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 / pot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120</w:t>
            </w:r>
          </w:p>
        </w:tc>
        <w:tc>
          <w:tcPr>
            <w:tcW w:type="dxa" w:w="129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230</w:t>
            </w:r>
          </w:p>
        </w:tc>
      </w:tr>
      <w:tr>
        <w:tc>
          <w:tcPr>
            <w:tcW w:type="dxa" w:w="20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Pot start</w:t>
            </w:r>
          </w:p>
        </w:tc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 / pot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120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230</w:t>
            </w:r>
          </w:p>
        </w:tc>
      </w:tr>
      <w:tr>
        <w:tc>
          <w:tcPr>
            <w:tcW w:type="dxa" w:w="201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Pot close</w:t>
            </w:r>
          </w:p>
        </w:tc>
        <w:tc>
          <w:tcPr>
            <w:tcW w:type="dxa" w:w="187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 / pot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120</w:t>
            </w:r>
          </w:p>
        </w:tc>
        <w:tc>
          <w:tcPr>
            <w:tcW w:type="dxa" w:w="129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1440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230</w:t>
            </w:r>
          </w:p>
        </w:tc>
      </w:tr>
      <w:tr>
        <w:tc>
          <w:tcPr>
            <w:tcW w:type="dxa" w:w="20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Participant join</w:t>
            </w:r>
          </w:p>
        </w:tc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 / participant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2,500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6,000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8,600</w:t>
            </w:r>
          </w:p>
        </w:tc>
      </w:tr>
      <w:tr>
        <w:tc>
          <w:tcPr>
            <w:tcW w:type="dxa" w:w="201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Total txs</w:t>
            </w:r>
          </w:p>
        </w:tc>
        <w:tc>
          <w:tcPr>
            <w:tcW w:type="dxa" w:w="187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—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2,900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6,480</w:t>
            </w:r>
          </w:p>
        </w:tc>
        <w:tc>
          <w:tcPr>
            <w:tcW w:type="dxa" w:w="129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140</w:t>
            </w:r>
          </w:p>
        </w:tc>
        <w:tc>
          <w:tcPr>
            <w:tcW w:type="dxa" w:w="1440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9,520</w:t>
            </w:r>
          </w:p>
        </w:tc>
      </w:tr>
    </w:tbl>
    <w:p>
      <w:pPr>
        <w:spacing w:before="0" w:after="120" w:lineRule="auto" w:line="240"/>
      </w:pP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6. Expected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5904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Sponsored pots delivered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230 (23 / cycle × 10 cycles)</w:t>
            </w:r>
          </w:p>
        </w:tc>
      </w:tr>
      <w:tr>
        <w:tc>
          <w:tcPr>
            <w:tcW w:type="dxa" w:w="345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Minimum participants (program)</w:t>
            </w:r>
          </w:p>
        </w:tc>
        <w:tc>
          <w:tcPr>
            <w:tcW w:type="dxa" w:w="590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8,600 (2,500 + 6,000 + 100)</w:t>
            </w:r>
          </w:p>
        </w:tc>
      </w:tr>
      <w:tr>
        <w:tc>
          <w:tcPr>
            <w:tcW w:type="dxa" w:w="3456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Total STX stacked (min. pot target + boost)</w:t>
            </w:r>
          </w:p>
        </w:tc>
        <w:tc>
          <w:tcPr>
            <w:tcW w:type="dxa" w:w="5904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5,397,500 STX (1,062,500 + 3,300,000 + 1,035,000)</w:t>
            </w:r>
          </w:p>
        </w:tc>
      </w:tr>
      <w:tr>
        <w:tc>
          <w:tcPr>
            <w:tcW w:type="dxa" w:w="345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On-chain transactions (minimum)</w:t>
            </w:r>
          </w:p>
        </w:tc>
        <w:tc>
          <w:tcPr>
            <w:tcW w:type="dxa" w:w="590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9,520 (920 lifecycle + 8,600 joins)</w:t>
            </w:r>
          </w:p>
        </w:tc>
      </w:tr>
      <w:tr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Monthly throughput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46 pots / month · 1,720 min. participants · 2 cycles</w:t>
            </w:r>
          </w:p>
        </w:tc>
      </w:tr>
      <w:tr>
        <w:tc>
          <w:tcPr>
            <w:tcW w:type="dxa" w:w="3456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Capital efficiency</w:t>
            </w:r>
          </w:p>
        </w:tc>
        <w:tc>
          <w:tcPr>
            <w:tcW w:type="dxa" w:w="5904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500,000 STX committed once; returned and reused every cycle</w:t>
            </w:r>
          </w:p>
        </w:tc>
      </w:tr>
      <w:tr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Ecosystem impact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Higher STX deposits, wallet activity, and Bitcoin DeFi awareness on Stacks</w:t>
            </w:r>
          </w:p>
        </w:tc>
      </w:tr>
    </w:tbl>
    <w:p>
      <w:pPr>
        <w:spacing w:before="0" w:after="120" w:lineRule="auto" w:line="240"/>
      </w:pP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7. Benefits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75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Benefits of the StacksPot Platform</w:t>
            </w:r>
          </w:p>
        </w:tc>
        <w:tc>
          <w:tcPr>
            <w:tcW w:type="dxa" w:w="4752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Benefits of the Stacks Ecosystem</w:t>
            </w:r>
          </w:p>
        </w:tc>
      </w:tr>
      <w:tr>
        <w:tc>
          <w:tcPr>
            <w:tcW w:type="dxa" w:w="47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Stronger reward perception through sponsored boosts, increasing pot fill rates and repeat participation</w:t>
            </w:r>
          </w:p>
        </w:tc>
        <w:tc>
          <w:tcPr>
            <w:tcW w:type="dxa" w:w="47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More STX deposited and actively used across DeFi, increasing network economic activity</w:t>
            </w:r>
          </w:p>
        </w:tc>
      </w:tr>
      <w:tr>
        <w:tc>
          <w:tcPr>
            <w:tcW w:type="dxa" w:w="475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Predictable 2-week / 23-pot campaign cadence that communities can plan around</w:t>
            </w:r>
          </w:p>
        </w:tc>
        <w:tc>
          <w:tcPr>
            <w:tcW w:type="dxa" w:w="475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Higher wallet activity and on-chain transaction volume (target 9,520+ txs over 5 months)</w:t>
            </w:r>
          </w:p>
        </w:tc>
      </w:tr>
      <w:tr>
        <w:tc>
          <w:tcPr>
            <w:tcW w:type="dxa" w:w="47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Capital-efficient growth: one 500,000 STX allocation powers 230 pots via reusable sponsorship</w:t>
            </w:r>
          </w:p>
        </w:tc>
        <w:tc>
          <w:tcPr>
            <w:tcW w:type="dxa" w:w="47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Expanded surface area for Bitcoin-secured yield — new users experience Stacks as Bitcoin DeFi</w:t>
            </w:r>
          </w:p>
        </w:tc>
      </w:tr>
      <w:tr>
        <w:tc>
          <w:tcPr>
            <w:tcW w:type="dxa" w:w="475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Clear pot-type mix (JackPot + Sequential) covering small, mid, and high entry sizes</w:t>
            </w:r>
          </w:p>
        </w:tc>
        <w:tc>
          <w:tcPr>
            <w:tcW w:type="dxa" w:w="4752"/>
            <w:shd w:fill="EEF2F7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18"/>
              </w:rPr>
              <w:t>Builders and communities gain a ready-made incentive rail for their own campaigns after the program</w:t>
            </w:r>
          </w:p>
        </w:tc>
      </w:tr>
      <w:tr>
        <w:tc>
          <w:tcPr>
            <w:tcW w:type="dxa" w:w="47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Transparent metrics: pots, participants, stacked STX, and full lifecycle transaction accounting</w:t>
            </w:r>
          </w:p>
        </w:tc>
        <w:tc>
          <w:tcPr>
            <w:tcW w:type="dxa" w:w="47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Retention data across 10 cycles informs future Endowment and ecosystem incentive design</w:t>
            </w:r>
          </w:p>
        </w:tc>
      </w:tr>
      <w:tr>
        <w:tc>
          <w:tcPr>
            <w:tcW w:type="dxa" w:w="475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Converts campaign participants into recurring StacksPot users and pot creators</w:t>
            </w:r>
          </w:p>
        </w:tc>
        <w:tc>
          <w:tcPr>
            <w:tcW w:type="dxa" w:w="4752"/>
            <w:shd w:fill="F7FAFC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Strengthens Stacks’ position as the home for accessible, community-driven Bitcoin DeFi</w:t>
            </w:r>
          </w:p>
        </w:tc>
      </w:tr>
    </w:tbl>
    <w:p>
      <w:pPr>
        <w:spacing w:before="0" w:after="120" w:lineRule="auto" w:line="240"/>
      </w:pP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8. Reporting</w:t>
      </w:r>
    </w:p>
    <w:p>
      <w:pPr>
        <w:spacing w:before="0" w:after="160" w:lineRule="auto" w:line="276"/>
      </w:pPr>
      <w:r>
        <w:rPr>
          <w:rFonts w:ascii="Calibri" w:hAnsi="Calibri" w:eastAsia="Calibri"/>
          <w:b/>
          <w:i w:val="0"/>
          <w:color w:val="1F2937"/>
          <w:sz w:val="22"/>
        </w:rPr>
        <w:t xml:space="preserve">Monthly: </w:t>
      </w:r>
      <w:r>
        <w:rPr>
          <w:rFonts w:ascii="Calibri" w:hAnsi="Calibri" w:eastAsia="Calibri"/>
          <w:b w:val="0"/>
          <w:i w:val="0"/>
          <w:color w:val="1F2937"/>
          <w:sz w:val="22"/>
        </w:rPr>
        <w:t>participants, STX deposited, pots created (target 46/month), capital deployed and returned each cycle, and transaction counts (deploy / activate / start / close / joins).</w:t>
      </w:r>
    </w:p>
    <w:p>
      <w:pPr>
        <w:spacing w:before="0" w:after="160" w:lineRule="auto" w:line="276"/>
      </w:pPr>
      <w:r>
        <w:rPr>
          <w:rFonts w:ascii="Calibri" w:hAnsi="Calibri" w:eastAsia="Calibri"/>
          <w:b/>
          <w:i w:val="0"/>
          <w:color w:val="1F2937"/>
          <w:sz w:val="22"/>
        </w:rPr>
        <w:t xml:space="preserve">Final (Month 5): </w:t>
      </w:r>
      <w:r>
        <w:rPr>
          <w:rFonts w:ascii="Calibri" w:hAnsi="Calibri" w:eastAsia="Calibri"/>
          <w:b w:val="0"/>
          <w:i w:val="0"/>
          <w:color w:val="1F2937"/>
          <w:sz w:val="22"/>
        </w:rPr>
        <w:t>full 10-cycle performance, retention, cumulative STX activity, capital custody summary, and recommendations.</w:t>
      </w:r>
    </w:p>
    <w:p>
      <w:pPr>
        <w:spacing w:before="320" w:after="120" w:lineRule="auto" w:line="276"/>
      </w:pPr>
      <w:r>
        <w:rPr>
          <w:rFonts w:ascii="Calibri" w:hAnsi="Calibri" w:eastAsia="Calibri"/>
          <w:b/>
          <w:i w:val="0"/>
          <w:color w:val="1A365D"/>
          <w:sz w:val="30"/>
        </w:rPr>
        <w:t>9. Conclusion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StacksPot requests a </w:t>
      </w:r>
      <w:r>
        <w:rPr>
          <w:rFonts w:ascii="Calibri" w:hAnsi="Calibri" w:eastAsia="Calibri"/>
          <w:b/>
          <w:i w:val="0"/>
          <w:color w:val="1F2937"/>
          <w:sz w:val="22"/>
        </w:rPr>
        <w:t>500,000 STX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reusable sponsorship allocation to run </w:t>
      </w:r>
      <w:r>
        <w:rPr>
          <w:rFonts w:ascii="Calibri" w:hAnsi="Calibri" w:eastAsia="Calibri"/>
          <w:b/>
          <w:i w:val="0"/>
          <w:color w:val="1F2937"/>
          <w:sz w:val="22"/>
        </w:rPr>
        <w:t>23 boosted pots every 2-week cycle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for </w:t>
      </w:r>
      <w:r>
        <w:rPr>
          <w:rFonts w:ascii="Calibri" w:hAnsi="Calibri" w:eastAsia="Calibri"/>
          <w:b/>
          <w:i w:val="0"/>
          <w:color w:val="1F2937"/>
          <w:sz w:val="22"/>
        </w:rPr>
        <w:t>5 months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(</w:t>
      </w:r>
      <w:r>
        <w:rPr>
          <w:rFonts w:ascii="Calibri" w:hAnsi="Calibri" w:eastAsia="Calibri"/>
          <w:b/>
          <w:i w:val="0"/>
          <w:color w:val="1F2937"/>
          <w:sz w:val="22"/>
        </w:rPr>
        <w:t>230 pots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program-wide). Because delegated capital returns to the sponsor after each cycle, one allocation funds the entire campaign—attracting users, supporting communities, and expanding Bitcoin-secured DeFi activity on Stacks.</w:t>
      </w:r>
    </w:p>
    <w:p>
      <w:pPr>
        <w:spacing w:before="80" w:after="80" w:lineRule="auto" w:line="240"/>
        <w:pBdr>
          <w:bottom w:val="single" w:sz="12" w:space="1" w:color="2B6CB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Prepared by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StacksPot Team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July 2026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Requested allocation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500,000 STX (reusable — returned after each cycle)</w:t>
            </w:r>
          </w:p>
        </w:tc>
      </w:tr>
      <w:tr>
        <w:tc>
          <w:tcPr>
            <w:tcW w:type="dxa" w:w="3456"/>
            <w:shd w:fill="1A365D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Campaign mix</w:t>
            </w:r>
          </w:p>
        </w:tc>
        <w:tc>
          <w:tcPr>
            <w:tcW w:type="dxa" w:w="59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7FAFC" w:val="clear"/>
          </w:tcPr>
          <w:p>
            <w:pPr>
              <w:spacing w:before="40" w:after="40" w:lineRule="auto" w:line="2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10 JackPot × 10k · 12 JackPot × 25k · 1 Sequential × 100k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A5568"/>
        <w:sz w:val="16"/>
      </w:rPr>
      <w:t>StacksPot Growth Acceleration Proposal  |  Confidential — For Stacks Endowment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