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Rule="auto" w:line="264"/>
        <w:jc w:val="center"/>
      </w:pPr>
      <w:r>
        <w:rPr>
          <w:rFonts w:ascii="Calibri" w:hAnsi="Calibri" w:eastAsia="Calibri"/>
          <w:b/>
          <w:i w:val="0"/>
          <w:color w:val="1A365D"/>
          <w:sz w:val="52"/>
        </w:rPr>
        <w:t>StacksPot Growth Acceleration Proposal</w:t>
      </w:r>
    </w:p>
    <w:p>
      <w:pPr>
        <w:spacing w:before="0" w:after="280" w:lineRule="auto" w:line="264"/>
        <w:jc w:val="center"/>
      </w:pPr>
      <w:r>
        <w:rPr>
          <w:rFonts w:ascii="Calibri" w:hAnsi="Calibri" w:eastAsia="Calibri"/>
          <w:b w:val="0"/>
          <w:i/>
          <w:color w:val="2B6CB0"/>
          <w:sz w:val="26"/>
        </w:rPr>
        <w:t>A Sponsored Yield Boosting Initiative for Ecosystem Growth</w:t>
      </w:r>
    </w:p>
    <w:p>
      <w:pPr>
        <w:spacing w:before="80" w:after="80" w:lineRule="auto" w:line="240"/>
        <w:pBdr>
          <w:bottom w:val="single" w:sz="12" w:space="1" w:color="2B6CB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Submitted By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StacksPot Team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Submitted To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Stacks Endowment Team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Program Duration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5 months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Cycle Length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2 weeks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Pots per Cycle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8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Pots per Month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16 (2 cycles)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Requested Allocation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~3,000,000 STX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July 2026</w:t>
            </w:r>
          </w:p>
        </w:tc>
      </w:tr>
    </w:tbl>
    <w:p>
      <w:pPr>
        <w:spacing w:before="120" w:after="120" w:lineRule="auto" w:line="276"/>
      </w:pP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Proposal Objective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Accelerate user adoption through sponsored sBTC reward campaigns, boosted community pots, and ecosystem participation incentives over a structured </w:t>
      </w:r>
      <w:r>
        <w:rPr>
          <w:rFonts w:ascii="Calibri" w:hAnsi="Calibri" w:eastAsia="Calibri"/>
          <w:b/>
          <w:i w:val="0"/>
          <w:color w:val="1F2937"/>
          <w:sz w:val="22"/>
        </w:rPr>
        <w:t>5-month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Growth Accelerator Program.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1. Executive Summary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StacksPot is a decentralized, yield-powered community pot protocol built on Stacks. It enables users to participate in transparent, sBTC-based reward pools while benefiting from Bitcoin-secured DeFi yield.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Since launching, StacksPot has demonstrated the potential for community-driven reward mechanisms within the Stacks ecosystem. The primary challenge limiting broader adoption is the perceived attractiveness of current pot rewards.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While StacksPot offers a unique model—yield-generating pools with principal preservation—many users evaluate participation based on expected reward versus waiting period. At current yield levels, some users do not find the opportunity compelling enough to join.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To address this, StacksPot proposes a strategic partnership with the Stacks Endowment through a </w:t>
      </w:r>
      <w:r>
        <w:rPr>
          <w:rFonts w:ascii="Calibri" w:hAnsi="Calibri" w:eastAsia="Calibri"/>
          <w:b/>
          <w:i w:val="0"/>
          <w:color w:val="1F2937"/>
          <w:sz w:val="22"/>
        </w:rPr>
        <w:t>Sponsored Pot Growth Accelerator Program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—a focused, </w:t>
      </w:r>
      <w:r>
        <w:rPr>
          <w:rFonts w:ascii="Calibri" w:hAnsi="Calibri" w:eastAsia="Calibri"/>
          <w:b/>
          <w:i w:val="0"/>
          <w:color w:val="1F2937"/>
          <w:sz w:val="22"/>
        </w:rPr>
        <w:t>5-month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initiative designed to boost community pots with additional sBTC rewards, strengthen participation incentives, encourage more pot deployments, and increase overall ecosystem activity.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Operating Model at a Glance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Unit</w:t>
            </w:r>
          </w:p>
        </w:tc>
        <w:tc>
          <w:tcPr>
            <w:tcW w:type="dxa" w:w="460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Duration / Count</w:t>
            </w:r>
          </w:p>
        </w:tc>
        <w:tc>
          <w:tcPr>
            <w:tcW w:type="dxa" w:w="259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Sponsored Boost</w:t>
            </w:r>
          </w:p>
        </w:tc>
      </w:tr>
      <w:tr>
        <w:tc>
          <w:tcPr>
            <w:tcW w:type="dxa" w:w="216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 cycle</w:t>
            </w:r>
          </w:p>
        </w:tc>
        <w:tc>
          <w:tcPr>
            <w:tcW w:type="dxa" w:w="46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 weeks · 8 pots</w:t>
            </w:r>
          </w:p>
        </w:tc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300,000 STX</w:t>
            </w:r>
          </w:p>
        </w:tc>
      </w:tr>
      <w:tr>
        <w:tc>
          <w:tcPr>
            <w:tcW w:type="dxa" w:w="216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 month</w:t>
            </w:r>
          </w:p>
        </w:tc>
        <w:tc>
          <w:tcPr>
            <w:tcW w:type="dxa" w:w="46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 cycles · 16 pots</w:t>
            </w:r>
          </w:p>
        </w:tc>
        <w:tc>
          <w:tcPr>
            <w:tcW w:type="dxa" w:w="259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600,000 STX</w:t>
            </w:r>
          </w:p>
        </w:tc>
      </w:tr>
      <w:tr>
        <w:tc>
          <w:tcPr>
            <w:tcW w:type="dxa" w:w="216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Full program</w:t>
            </w:r>
          </w:p>
        </w:tc>
        <w:tc>
          <w:tcPr>
            <w:tcW w:type="dxa" w:w="460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5 months · 10 cycles · 80 pots</w:t>
            </w:r>
          </w:p>
        </w:tc>
        <w:tc>
          <w:tcPr>
            <w:tcW w:type="dxa" w:w="259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~3,000,000 STX</w:t>
            </w:r>
          </w:p>
        </w:tc>
      </w:tr>
    </w:tbl>
    <w:p>
      <w:pPr>
        <w:spacing w:before="0" w:after="120" w:lineRule="auto" w:line="240"/>
      </w:pP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We are seeking consideration for an ecosystem growth allocation of approximately </w:t>
      </w:r>
      <w:r>
        <w:rPr>
          <w:rFonts w:ascii="Calibri" w:hAnsi="Calibri" w:eastAsia="Calibri"/>
          <w:b/>
          <w:i w:val="0"/>
          <w:color w:val="1F2937"/>
          <w:sz w:val="22"/>
        </w:rPr>
        <w:t>3,000,000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to fund these sponsored pot campaigns across the 5-month period, with the goal of accelerating adoption and building sustainable user growth.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2. Current Challenge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The User Adoption Barrier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StacksPot’s growth constraint is not technology or product experience—it is </w:t>
      </w:r>
      <w:r>
        <w:rPr>
          <w:rFonts w:ascii="Calibri" w:hAnsi="Calibri" w:eastAsia="Calibri"/>
          <w:b/>
          <w:i w:val="0"/>
          <w:color w:val="1F2937"/>
          <w:sz w:val="22"/>
        </w:rPr>
        <w:t>reward perception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among potential participants.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Users naturally weigh: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The amount of STX committed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The duration of participation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The expected reward outcome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Alternative opportunities available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Although StacksPot provides a transparent and innovative yield model, early-stage adoption requires stronger incentives so users can experience the platform and understand its long-term value.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To establish network effects, StacksPot needs an initial growth catalyst that increases reward attractiveness while introducing more users to the protocol. A </w:t>
      </w:r>
      <w:r>
        <w:rPr>
          <w:rFonts w:ascii="Calibri" w:hAnsi="Calibri" w:eastAsia="Calibri"/>
          <w:b/>
          <w:i w:val="0"/>
          <w:color w:val="1F2937"/>
          <w:sz w:val="22"/>
        </w:rPr>
        <w:t>time-bound, 5-month sponsored program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—running </w:t>
      </w:r>
      <w:r>
        <w:rPr>
          <w:rFonts w:ascii="Calibri" w:hAnsi="Calibri" w:eastAsia="Calibri"/>
          <w:b/>
          <w:i w:val="0"/>
          <w:color w:val="1F2937"/>
          <w:sz w:val="22"/>
        </w:rPr>
        <w:t>8 pots every 2-week cycle</w:t>
      </w:r>
      <w:r>
        <w:rPr>
          <w:rFonts w:ascii="Calibri" w:hAnsi="Calibri" w:eastAsia="Calibri"/>
          <w:b w:val="0"/>
          <w:i w:val="0"/>
          <w:color w:val="1F2937"/>
          <w:sz w:val="22"/>
        </w:rPr>
        <w:t>—provides that catalyst with clear milestones, measurable outcomes, and a defined end state for evaluation.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3. Proposed Solution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StacksPot Growth Accelerator Program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With StacksPot’s updated smart contracts, </w:t>
      </w:r>
      <w:r>
        <w:rPr>
          <w:rFonts w:ascii="Calibri" w:hAnsi="Calibri" w:eastAsia="Calibri"/>
          <w:b/>
          <w:i w:val="0"/>
          <w:color w:val="1F2937"/>
          <w:sz w:val="22"/>
        </w:rPr>
        <w:t>pot sponsorship is now enabled</w:t>
      </w:r>
      <w:r>
        <w:rPr>
          <w:rFonts w:ascii="Calibri" w:hAnsi="Calibri" w:eastAsia="Calibri"/>
          <w:b w:val="0"/>
          <w:i w:val="0"/>
          <w:color w:val="1F2937"/>
          <w:sz w:val="22"/>
        </w:rPr>
        <w:t>. Ecosystem partners, communities, projects, and organizations can contribute additional STX directly to active pots.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Through Stacks Endowment sponsorship, selected pots can receive reward boosts—making campaigns more attractive and transforming StacksPot from a passive yield product into an active ecosystem engagement tool.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Illustrative Example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Component</w:t>
            </w:r>
          </w:p>
        </w:tc>
        <w:tc>
          <w:tcPr>
            <w:tcW w:type="dxa" w:w="288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Amount</w:t>
            </w:r>
          </w:p>
        </w:tc>
      </w:tr>
      <w:tr>
        <w:tc>
          <w:tcPr>
            <w:tcW w:type="dxa" w:w="64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Organic community pooling</w:t>
            </w:r>
          </w:p>
        </w:tc>
        <w:tc>
          <w:tcPr>
            <w:tcW w:type="dxa" w:w="28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500 STX</w:t>
            </w:r>
          </w:p>
        </w:tc>
      </w:tr>
      <w:tr>
        <w:tc>
          <w:tcPr>
            <w:tcW w:type="dxa" w:w="648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Stacks Endowment sponsorship boost</w:t>
            </w:r>
          </w:p>
        </w:tc>
        <w:tc>
          <w:tcPr>
            <w:tcW w:type="dxa" w:w="288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+5,000 STX</w:t>
            </w:r>
          </w:p>
        </w:tc>
      </w:tr>
      <w:tr>
        <w:tc>
          <w:tcPr>
            <w:tcW w:type="dxa" w:w="64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Final reward pool (delegated)</w:t>
            </w:r>
          </w:p>
        </w:tc>
        <w:tc>
          <w:tcPr>
            <w:tcW w:type="dxa" w:w="28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5,500 STX</w:t>
            </w:r>
          </w:p>
        </w:tc>
      </w:tr>
    </w:tbl>
    <w:p>
      <w:pPr>
        <w:spacing w:before="0" w:after="120" w:lineRule="auto" w:line="240"/>
      </w:pP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4. Program Duration &amp; Operating Context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Cycle Cadence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Parameter</w:t>
            </w:r>
          </w:p>
        </w:tc>
        <w:tc>
          <w:tcPr>
            <w:tcW w:type="dxa" w:w="50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3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Pot / cycle length</w:t>
            </w:r>
          </w:p>
        </w:tc>
        <w:tc>
          <w:tcPr>
            <w:tcW w:type="dxa" w:w="50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 weeks</w:t>
            </w:r>
          </w:p>
        </w:tc>
      </w:tr>
      <w:tr>
        <w:tc>
          <w:tcPr>
            <w:tcW w:type="dxa" w:w="432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Sponsored pots per cycle</w:t>
            </w:r>
          </w:p>
        </w:tc>
        <w:tc>
          <w:tcPr>
            <w:tcW w:type="dxa" w:w="50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 (full tier mix)</w:t>
            </w:r>
          </w:p>
        </w:tc>
      </w:tr>
      <w:tr>
        <w:tc>
          <w:tcPr>
            <w:tcW w:type="dxa" w:w="43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Cycles per month</w:t>
            </w:r>
          </w:p>
        </w:tc>
        <w:tc>
          <w:tcPr>
            <w:tcW w:type="dxa" w:w="50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</w:tr>
      <w:tr>
        <w:tc>
          <w:tcPr>
            <w:tcW w:type="dxa" w:w="432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Sponsored pots per month</w:t>
            </w:r>
          </w:p>
        </w:tc>
        <w:tc>
          <w:tcPr>
            <w:tcW w:type="dxa" w:w="50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</w:tr>
      <w:tr>
        <w:tc>
          <w:tcPr>
            <w:tcW w:type="dxa" w:w="43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Program length</w:t>
            </w:r>
          </w:p>
        </w:tc>
        <w:tc>
          <w:tcPr>
            <w:tcW w:type="dxa" w:w="50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 months (~10 cycles)</w:t>
            </w:r>
          </w:p>
        </w:tc>
      </w:tr>
      <w:tr>
        <w:tc>
          <w:tcPr>
            <w:tcW w:type="dxa" w:w="432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Total sponsored pots</w:t>
            </w:r>
          </w:p>
        </w:tc>
        <w:tc>
          <w:tcPr>
            <w:tcW w:type="dxa" w:w="50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80</w:t>
            </w:r>
          </w:p>
        </w:tc>
      </w:tr>
    </w:tbl>
    <w:p>
      <w:pPr>
        <w:spacing w:before="0" w:after="120" w:lineRule="auto" w:line="240"/>
      </w:pP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5-Month Campaign Window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This proposal requests funding for a </w:t>
      </w:r>
      <w:r>
        <w:rPr>
          <w:rFonts w:ascii="Calibri" w:hAnsi="Calibri" w:eastAsia="Calibri"/>
          <w:b/>
          <w:i w:val="0"/>
          <w:color w:val="1F2937"/>
          <w:sz w:val="22"/>
        </w:rPr>
        <w:t>5-month Growth Accelerator Program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. Every </w:t>
      </w:r>
      <w:r>
        <w:rPr>
          <w:rFonts w:ascii="Calibri" w:hAnsi="Calibri" w:eastAsia="Calibri"/>
          <w:b/>
          <w:i w:val="0"/>
          <w:color w:val="1F2937"/>
          <w:sz w:val="22"/>
        </w:rPr>
        <w:t>2-week cycle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deploys the full </w:t>
      </w:r>
      <w:r>
        <w:rPr>
          <w:rFonts w:ascii="Calibri" w:hAnsi="Calibri" w:eastAsia="Calibri"/>
          <w:b/>
          <w:i w:val="0"/>
          <w:color w:val="1F2937"/>
          <w:sz w:val="22"/>
        </w:rPr>
        <w:t>8-pot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sponsorship mix. Because a month contains two cycles, StacksPot will run </w:t>
      </w:r>
      <w:r>
        <w:rPr>
          <w:rFonts w:ascii="Calibri" w:hAnsi="Calibri" w:eastAsia="Calibri"/>
          <w:b/>
          <w:i w:val="0"/>
          <w:color w:val="1F2937"/>
          <w:sz w:val="22"/>
        </w:rPr>
        <w:t>16 sponsored pots per month</w:t>
      </w:r>
      <w:r>
        <w:rPr>
          <w:rFonts w:ascii="Calibri" w:hAnsi="Calibri" w:eastAsia="Calibri"/>
          <w:b w:val="0"/>
          <w:i w:val="0"/>
          <w:color w:val="1F2937"/>
          <w:sz w:val="22"/>
        </w:rPr>
        <w:t>.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The program is structured to: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/>
          <w:i w:val="0"/>
          <w:color w:val="1F2937"/>
          <w:sz w:val="22"/>
        </w:rPr>
        <w:t>Launch at full cadence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— establish the 8-pot / 2-week rhythm from Month 1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/>
          <w:i w:val="0"/>
          <w:color w:val="1F2937"/>
          <w:sz w:val="22"/>
        </w:rPr>
        <w:t>Sustain high participation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— keep all entry tiers live each cycle so users at every commitment level can join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/>
          <w:i w:val="0"/>
          <w:color w:val="1F2937"/>
          <w:sz w:val="22"/>
        </w:rPr>
        <w:t>Compound network effects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— 16 pots/month creates repeated touchpoints for wallets, communities, and builders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/>
          <w:i w:val="0"/>
          <w:color w:val="1F2937"/>
          <w:sz w:val="22"/>
        </w:rPr>
        <w:t>Measure retention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— a 5-month window is long enough to distinguish campaign spikes from lasting engagement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 5-month runway (~20 weeks / 10 bi-weekly cycles) is long enough to: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Run 80 sponsored pots without thinning the per-cycle incentive design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Give communities and builders a predictable bi-weekly cadence to plan around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Collect meaningful retention and repeat-participation data across 10 cycles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Provide the Endowment with clear monthly visibility into impact (16 pots / 600,000 STX per month)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At the end of Month 5, StacksPot will deliver a full program retrospective covering participation, STX utilization, pot creation, sponsored reward distribution, and retention—supporting a data-driven decision on any future continuation.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5. Proposed Campaign Structure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Campaign Name</w:t>
      </w:r>
    </w:p>
    <w:p>
      <w:pPr>
        <w:spacing w:before="0" w:after="80" w:lineRule="auto" w:line="276"/>
      </w:pPr>
      <w:r>
        <w:rPr>
          <w:rFonts w:ascii="Calibri" w:hAnsi="Calibri" w:eastAsia="Calibri"/>
          <w:b/>
          <w:i w:val="0"/>
          <w:color w:val="1F2937"/>
          <w:sz w:val="22"/>
        </w:rPr>
        <w:t>StacksPot Growth Accelerator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 funded, 5-month initiative to increase participation, reward users, and encourage individual and community-driven pot creation.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Per-Cycle Allocation (8 Pots · 300,000 STX)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Each </w:t>
      </w:r>
      <w:r>
        <w:rPr>
          <w:rFonts w:ascii="Calibri" w:hAnsi="Calibri" w:eastAsia="Calibri"/>
          <w:b/>
          <w:i w:val="0"/>
          <w:color w:val="1F2937"/>
          <w:sz w:val="22"/>
        </w:rPr>
        <w:t>2-week cycle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deploys the following </w:t>
      </w:r>
      <w:r>
        <w:rPr>
          <w:rFonts w:ascii="Calibri" w:hAnsi="Calibri" w:eastAsia="Calibri"/>
          <w:b/>
          <w:i w:val="0"/>
          <w:color w:val="1F2937"/>
          <w:sz w:val="22"/>
        </w:rPr>
        <w:t>8 sponsored pots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. The sponsorship budget for one cycle is </w:t>
      </w:r>
      <w:r>
        <w:rPr>
          <w:rFonts w:ascii="Calibri" w:hAnsi="Calibri" w:eastAsia="Calibri"/>
          <w:b/>
          <w:i w:val="0"/>
          <w:color w:val="1F2937"/>
          <w:sz w:val="22"/>
        </w:rPr>
        <w:t>300,000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>, distributed across entry sizes to maximize participation, accelerate pot growth, and generate sustainable sBTC rewards.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00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Qty (×)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Entry Min.</w:t>
            </w:r>
          </w:p>
        </w:tc>
        <w:tc>
          <w:tcPr>
            <w:tcW w:type="dxa" w:w="187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Min. Participants</w:t>
            </w:r>
          </w:p>
        </w:tc>
        <w:tc>
          <w:tcPr>
            <w:tcW w:type="dxa" w:w="158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Pot Target</w:t>
            </w:r>
          </w:p>
        </w:tc>
        <w:tc>
          <w:tcPr>
            <w:tcW w:type="dxa" w:w="201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Awarded Boost</w:t>
            </w:r>
          </w:p>
        </w:tc>
        <w:tc>
          <w:tcPr>
            <w:tcW w:type="dxa" w:w="158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Est. Rewards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250 STX</w:t>
            </w:r>
          </w:p>
        </w:tc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10,000 STX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~$4.92 sBTC</w:t>
            </w:r>
          </w:p>
        </w:tc>
      </w:tr>
      <w:tr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 STX</w:t>
            </w:r>
          </w:p>
        </w:tc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15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450 STX</w:t>
            </w:r>
          </w:p>
        </w:tc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15,000 STX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~$7.41 sBTC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35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700 STX</w:t>
            </w:r>
          </w:p>
        </w:tc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20,000 STX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~$9.93 sBTC</w:t>
            </w:r>
          </w:p>
        </w:tc>
      </w:tr>
      <w:tr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40 STX</w:t>
            </w:r>
          </w:p>
        </w:tc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1,000 STX</w:t>
            </w:r>
          </w:p>
        </w:tc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25,000 STX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~$12.50 sBTC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45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1,350 STX</w:t>
            </w:r>
          </w:p>
        </w:tc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30,000 STX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~$15.00 sBTC</w:t>
            </w:r>
          </w:p>
        </w:tc>
      </w:tr>
      <w:tr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 STX</w:t>
            </w:r>
          </w:p>
        </w:tc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2,500 STX</w:t>
            </w:r>
          </w:p>
        </w:tc>
        <w:tc>
          <w:tcPr>
            <w:tcW w:type="dxa" w:w="201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50,000 STX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~$25.20 sBTC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10,000 STX</w:t>
            </w:r>
          </w:p>
        </w:tc>
        <w:tc>
          <w:tcPr>
            <w:tcW w:type="dxa" w:w="201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100,000 STX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~$52.80 sBTC</w:t>
            </w:r>
          </w:p>
        </w:tc>
      </w:tr>
      <w:tr>
        <w:tc>
          <w:tcPr>
            <w:tcW w:type="dxa" w:w="100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8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—</w:t>
            </w:r>
          </w:p>
        </w:tc>
        <w:tc>
          <w:tcPr>
            <w:tcW w:type="dxa" w:w="187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—</w:t>
            </w:r>
          </w:p>
        </w:tc>
        <w:tc>
          <w:tcPr>
            <w:tcW w:type="dxa" w:w="158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—</w:t>
            </w:r>
          </w:p>
        </w:tc>
        <w:tc>
          <w:tcPr>
            <w:tcW w:type="dxa" w:w="201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300,000 STX / cycle</w:t>
            </w:r>
          </w:p>
        </w:tc>
        <w:tc>
          <w:tcPr>
            <w:tcW w:type="dxa" w:w="158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—</w:t>
            </w:r>
          </w:p>
        </w:tc>
      </w:tr>
    </w:tbl>
    <w:p>
      <w:pPr>
        <w:spacing w:before="0" w:after="120" w:lineRule="auto" w:line="240"/>
      </w:pPr>
    </w:p>
    <w:p>
      <w:pPr>
        <w:spacing w:before="0" w:after="200" w:lineRule="auto" w:line="264"/>
      </w:pPr>
      <w:r>
        <w:rPr>
          <w:rFonts w:ascii="Calibri" w:hAnsi="Calibri" w:eastAsia="Calibri"/>
          <w:b/>
          <w:i/>
          <w:color w:val="4A5568"/>
          <w:sz w:val="20"/>
        </w:rPr>
        <w:t xml:space="preserve">Note: </w:t>
      </w:r>
      <w:r>
        <w:rPr>
          <w:rFonts w:ascii="Calibri" w:hAnsi="Calibri" w:eastAsia="Calibri"/>
          <w:b w:val="0"/>
          <w:i/>
          <w:color w:val="4A5568"/>
          <w:sz w:val="20"/>
        </w:rPr>
        <w:t>Estimated sBTC reward figures are approximate and subject to market conditions and yield performance at campaign time. Awarded boost amounts above are per cycle; the same mix repeats each cycle.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Program Scale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88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Scope</w:t>
            </w:r>
          </w:p>
        </w:tc>
        <w:tc>
          <w:tcPr>
            <w:tcW w:type="dxa" w:w="172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Cycles</w:t>
            </w:r>
          </w:p>
        </w:tc>
        <w:tc>
          <w:tcPr>
            <w:tcW w:type="dxa" w:w="172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Pots</w:t>
            </w:r>
          </w:p>
        </w:tc>
        <w:tc>
          <w:tcPr>
            <w:tcW w:type="dxa" w:w="288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Sponsored Boost</w:t>
            </w:r>
          </w:p>
        </w:tc>
      </w:tr>
      <w:tr>
        <w:tc>
          <w:tcPr>
            <w:tcW w:type="dxa" w:w="28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Per cycle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8</w:t>
            </w:r>
          </w:p>
        </w:tc>
        <w:tc>
          <w:tcPr>
            <w:tcW w:type="dxa" w:w="28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300,000 STX</w:t>
            </w:r>
          </w:p>
        </w:tc>
      </w:tr>
      <w:tr>
        <w:tc>
          <w:tcPr>
            <w:tcW w:type="dxa" w:w="288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Per month</w:t>
            </w:r>
          </w:p>
        </w:tc>
        <w:tc>
          <w:tcPr>
            <w:tcW w:type="dxa" w:w="172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72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  <w:tc>
          <w:tcPr>
            <w:tcW w:type="dxa" w:w="288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600,000 STX</w:t>
            </w:r>
          </w:p>
        </w:tc>
      </w:tr>
      <w:tr>
        <w:tc>
          <w:tcPr>
            <w:tcW w:type="dxa" w:w="288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5-month program</w:t>
            </w:r>
          </w:p>
        </w:tc>
        <w:tc>
          <w:tcPr>
            <w:tcW w:type="dxa" w:w="172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10</w:t>
            </w:r>
          </w:p>
        </w:tc>
        <w:tc>
          <w:tcPr>
            <w:tcW w:type="dxa" w:w="172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80</w:t>
            </w:r>
          </w:p>
        </w:tc>
        <w:tc>
          <w:tcPr>
            <w:tcW w:type="dxa" w:w="288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3,000,000 STX</w:t>
            </w:r>
          </w:p>
        </w:tc>
      </w:tr>
    </w:tbl>
    <w:p>
      <w:pPr>
        <w:spacing w:before="0" w:after="120" w:lineRule="auto" w:line="240"/>
      </w:pP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Indicative 5-Month Rollout</w:t>
      </w:r>
    </w:p>
    <w:p>
      <w:pPr>
        <w:spacing w:before="0" w:after="12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Every month runs two full cycles of the 8-pot mix (16 pots). Boost volume stays consistent so the market can form habits around the bi-weekly cadence: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00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432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Focus</w:t>
            </w:r>
          </w:p>
        </w:tc>
        <w:tc>
          <w:tcPr>
            <w:tcW w:type="dxa" w:w="115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Cycles</w:t>
            </w:r>
          </w:p>
        </w:tc>
        <w:tc>
          <w:tcPr>
            <w:tcW w:type="dxa" w:w="100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Pots</w:t>
            </w:r>
          </w:p>
        </w:tc>
        <w:tc>
          <w:tcPr>
            <w:tcW w:type="dxa" w:w="187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Indicative Boost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43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Launch &amp; discovery — establish 8-pot / 2-week cadence</w:t>
            </w:r>
          </w:p>
        </w:tc>
        <w:tc>
          <w:tcPr>
            <w:tcW w:type="dxa" w:w="115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600,000 STX</w:t>
            </w:r>
          </w:p>
        </w:tc>
      </w:tr>
      <w:tr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432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Expand participation across all entry tiers</w:t>
            </w:r>
          </w:p>
        </w:tc>
        <w:tc>
          <w:tcPr>
            <w:tcW w:type="dxa" w:w="115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600,000 STX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</w:t>
            </w:r>
          </w:p>
        </w:tc>
        <w:tc>
          <w:tcPr>
            <w:tcW w:type="dxa" w:w="43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Deepen community and builder pot engagement</w:t>
            </w:r>
          </w:p>
        </w:tc>
        <w:tc>
          <w:tcPr>
            <w:tcW w:type="dxa" w:w="115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600,000 STX</w:t>
            </w:r>
          </w:p>
        </w:tc>
      </w:tr>
      <w:tr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</w:t>
            </w:r>
          </w:p>
        </w:tc>
        <w:tc>
          <w:tcPr>
            <w:tcW w:type="dxa" w:w="432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Sustain engagement &amp; measure early retention</w:t>
            </w:r>
          </w:p>
        </w:tc>
        <w:tc>
          <w:tcPr>
            <w:tcW w:type="dxa" w:w="115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600,000 STX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</w:t>
            </w:r>
          </w:p>
        </w:tc>
        <w:tc>
          <w:tcPr>
            <w:tcW w:type="dxa" w:w="43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Maintain cadence, flagship visibility &amp; program close</w:t>
            </w:r>
          </w:p>
        </w:tc>
        <w:tc>
          <w:tcPr>
            <w:tcW w:type="dxa" w:w="115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16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600,000 STX</w:t>
            </w:r>
          </w:p>
        </w:tc>
      </w:tr>
      <w:tr>
        <w:tc>
          <w:tcPr>
            <w:tcW w:type="dxa" w:w="100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</w:r>
          </w:p>
        </w:tc>
        <w:tc>
          <w:tcPr>
            <w:tcW w:type="dxa" w:w="432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Program total</w:t>
            </w:r>
          </w:p>
        </w:tc>
        <w:tc>
          <w:tcPr>
            <w:tcW w:type="dxa" w:w="115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10</w:t>
            </w:r>
          </w:p>
        </w:tc>
        <w:tc>
          <w:tcPr>
            <w:tcW w:type="dxa" w:w="100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80</w:t>
            </w:r>
          </w:p>
        </w:tc>
        <w:tc>
          <w:tcPr>
            <w:tcW w:type="dxa" w:w="187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3,000,000 STX</w:t>
            </w:r>
          </w:p>
        </w:tc>
      </w:tr>
    </w:tbl>
    <w:p>
      <w:pPr>
        <w:spacing w:before="0" w:after="120" w:lineRule="auto" w:line="240"/>
      </w:pP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Timing of individual pot fills within a cycle may vary based on demand, while remaining within the 2-week cycle length, 8-pots-per-cycle design, and total program allocation.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6. Why This Benefits the Stacks Ecosystem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Increasing User Adoption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Sponsored rewards lower the initial barrier for users and encourage more participants to interact with Stacks DeFi—</w:t>
      </w:r>
      <w:r>
        <w:rPr>
          <w:rFonts w:ascii="Calibri" w:hAnsi="Calibri" w:eastAsia="Calibri"/>
          <w:b/>
          <w:i w:val="0"/>
          <w:color w:val="1F2937"/>
          <w:sz w:val="22"/>
        </w:rPr>
        <w:t>16 sponsored pots every month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create frequent, accessible entry points.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Growing STX Activity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More participants means: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Increased STX deposits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More wallet activity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Greater ecosystem engagement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Supporting Builders and Communities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StacksPot becomes infrastructure that lets communities create their own incentive campaigns—not only during the Endowment-sponsored window, but as an ongoing pattern afterward.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Expanding Bitcoin DeFi Awareness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Each sponsored pot introduces new users to Bitcoin-secured yield opportunities available through Stacks. Across </w:t>
      </w:r>
      <w:r>
        <w:rPr>
          <w:rFonts w:ascii="Calibri" w:hAnsi="Calibri" w:eastAsia="Calibri"/>
          <w:b/>
          <w:i w:val="0"/>
          <w:color w:val="1F2937"/>
          <w:sz w:val="22"/>
        </w:rPr>
        <w:t>80 pots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in five months, that awareness compounds.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7. Expected Outcomes</w:t>
      </w:r>
    </w:p>
    <w:p>
      <w:pPr>
        <w:spacing w:before="0" w:after="12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With Stacks Endowment support over the 5-month program, StacksPot expects to achieve: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Outcome</w:t>
            </w:r>
          </w:p>
        </w:tc>
        <w:tc>
          <w:tcPr>
            <w:tcW w:type="dxa" w:w="619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User growth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Increase active participants through 10 cycles of attractive reward campaigns</w:t>
            </w:r>
          </w:p>
        </w:tc>
      </w:tr>
      <w:tr>
        <w:tc>
          <w:tcPr>
            <w:tcW w:type="dxa" w:w="31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More pot deployments</w:t>
            </w:r>
          </w:p>
        </w:tc>
        <w:tc>
          <w:tcPr>
            <w:tcW w:type="dxa" w:w="619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Deliver 80 sponsored pots while encouraging community members and projects to create their own pools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Higher ecosystem engagement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Increase STX utilization and wallet interactions via 16 pots/month</w:t>
            </w:r>
          </w:p>
        </w:tc>
      </w:tr>
      <w:tr>
        <w:tc>
          <w:tcPr>
            <w:tcW w:type="dxa" w:w="31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Long-term adoption</w:t>
            </w:r>
          </w:p>
        </w:tc>
        <w:tc>
          <w:tcPr>
            <w:tcW w:type="dxa" w:w="619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Convert campaign participants into recurring StacksPot users, measurable across the full 5-month / 10-cycle window</w:t>
            </w:r>
          </w:p>
        </w:tc>
      </w:tr>
    </w:tbl>
    <w:p>
      <w:pPr>
        <w:spacing w:before="0" w:after="120" w:lineRule="auto" w:line="240"/>
      </w:pP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8. Transparency &amp; Reporting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All sponsored campaigns will include transparent reporting. Given the 5-month structure, reporting will operate on two cadences: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Monthly Progress Reports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Delivered at the end of each program month (covering both 2-week cycles), including: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Number of participants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Total STX deposited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Number of pots created (target: 16 sponsored pots/month)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Sponsored reward distribution for that month (target: 600,000 STX)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Early retention / repeat participation signals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Final Program Report (End of Month 5)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 comprehensive retrospective including: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Full campaign performance analysis across 10 cycles / 80 pots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User retention statistics across the 5-month period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Cumulative STX utilization and wallet activity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Lessons learned and recommendations for any future ecosystem incentive programs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 Endowment will have clear visibility into the impact generated by the sponsorship throughout and at the close of the program.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9. Conclusion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StacksPot has established the foundation for community-driven yield campaigns on Stacks. The next phase is accelerating adoption by creating stronger participation incentives.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Through collaboration with the Stacks Endowment, a </w:t>
      </w:r>
      <w:r>
        <w:rPr>
          <w:rFonts w:ascii="Calibri" w:hAnsi="Calibri" w:eastAsia="Calibri"/>
          <w:b/>
          <w:i w:val="0"/>
          <w:color w:val="1F2937"/>
          <w:sz w:val="22"/>
        </w:rPr>
        <w:t>5-month Sponsored Pot Growth Accelerator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—running </w:t>
      </w:r>
      <w:r>
        <w:rPr>
          <w:rFonts w:ascii="Calibri" w:hAnsi="Calibri" w:eastAsia="Calibri"/>
          <w:b/>
          <w:i w:val="0"/>
          <w:color w:val="1F2937"/>
          <w:sz w:val="22"/>
        </w:rPr>
        <w:t>8 pots every 2-week cycle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(</w:t>
      </w:r>
      <w:r>
        <w:rPr>
          <w:rFonts w:ascii="Calibri" w:hAnsi="Calibri" w:eastAsia="Calibri"/>
          <w:b/>
          <w:i w:val="0"/>
          <w:color w:val="1F2937"/>
          <w:sz w:val="22"/>
        </w:rPr>
        <w:t>16 pots/month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, </w:t>
      </w:r>
      <w:r>
        <w:rPr>
          <w:rFonts w:ascii="Calibri" w:hAnsi="Calibri" w:eastAsia="Calibri"/>
          <w:b/>
          <w:i w:val="0"/>
          <w:color w:val="1F2937"/>
          <w:sz w:val="22"/>
        </w:rPr>
        <w:t>80 pots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program-wide)—can become a powerful ecosystem growth mechanism: attracting users, supporting builders, increasing STX activity, and introducing more participants to Bitcoin DeFi.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This partnership is an opportunity to create a scalable incentive layer that benefits not only StacksPot, but the wider Stacks ecosystem.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Together, we can transform every sponsored pot into a gateway for new users to experience Bitcoin-powered DeFi on Stacks.</w:t>
      </w:r>
    </w:p>
    <w:p>
      <w:pPr>
        <w:spacing w:before="80" w:after="80" w:lineRule="auto" w:line="240"/>
        <w:pBdr>
          <w:bottom w:val="single" w:sz="12" w:space="1" w:color="2B6CB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Prepared by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StacksPot Team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July 2026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Program length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5 months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Cycle design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8 pots / 2 weeks · 16 pots / month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Requested allocation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~3,000,000 STX (300,000 STX × 10 cycles)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/>
        <w:color w:val="4A5568"/>
        <w:sz w:val="16"/>
      </w:rPr>
      <w:t>StacksPot Growth Acceleration Proposal  |  Confidential — For Stacks Endowment Review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