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 w:lineRule="auto" w:line="264"/>
        <w:jc w:val="center"/>
      </w:pPr>
      <w:r>
        <w:rPr>
          <w:rFonts w:ascii="Calibri" w:hAnsi="Calibri" w:eastAsia="Calibri"/>
          <w:b/>
          <w:i w:val="0"/>
          <w:color w:val="1A365D"/>
          <w:sz w:val="44"/>
        </w:rPr>
        <w:t>StacksPot Growth Acceleration Proposal</w:t>
      </w:r>
    </w:p>
    <w:p>
      <w:pPr>
        <w:spacing w:before="0" w:after="200" w:lineRule="auto" w:line="264"/>
        <w:jc w:val="center"/>
      </w:pPr>
      <w:r>
        <w:rPr>
          <w:rFonts w:ascii="Calibri" w:hAnsi="Calibri" w:eastAsia="Calibri"/>
          <w:b w:val="0"/>
          <w:i/>
          <w:color w:val="2B6CB0"/>
          <w:sz w:val="24"/>
        </w:rPr>
        <w:t>A Sponsored Yield Boosting Initiative for Ecosystem Growth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Submitted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Submitted To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 Endowment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Program Duration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 months · 10 cycles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Cycle Length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 weeks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 per Cycle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23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Pots per Month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46 (2 cycles)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Total Pots (Program)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230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500,000 STX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Capital Model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Reusable — returned to sponsor after each cycle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July 2026</w:t>
            </w:r>
          </w:p>
        </w:tc>
      </w:tr>
    </w:tbl>
    <w:p>
      <w:pPr>
        <w:spacing w:before="80" w:after="80" w:lineRule="auto" w:line="276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1. Objective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Accelerate Stacks user adoption through sponsored pot campaigns that boost rewards, deepen STX activity, and introduce more participants to Bitcoin-secured DeFi on Stacks.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2. Executive Summary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is a decentralized, yield-powered community pot protocol on Stacks. Users join transparent reward pools while preserving principal and earning Bitcoin-secured DeFi yield.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Early growth is constrained less by product readiness than by </w:t>
      </w:r>
      <w:r>
        <w:rPr>
          <w:rFonts w:ascii="Calibri" w:hAnsi="Calibri" w:eastAsia="Calibri"/>
          <w:b/>
          <w:i w:val="0"/>
          <w:color w:val="1F2937"/>
          <w:sz w:val="22"/>
        </w:rPr>
        <w:t>reward perception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—users weigh expected upside against commitment size and wait time. To close that gap, StacksPot requests a </w:t>
      </w:r>
      <w:r>
        <w:rPr>
          <w:rFonts w:ascii="Calibri" w:hAnsi="Calibri" w:eastAsia="Calibri"/>
          <w:b/>
          <w:i w:val="0"/>
          <w:color w:val="1F2937"/>
          <w:sz w:val="22"/>
        </w:rPr>
        <w:t>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Endowment sponsorship allocation for a </w:t>
      </w:r>
      <w:r>
        <w:rPr>
          <w:rFonts w:ascii="Calibri" w:hAnsi="Calibri" w:eastAsia="Calibri"/>
          <w:b/>
          <w:i w:val="0"/>
          <w:color w:val="1F2937"/>
          <w:sz w:val="22"/>
        </w:rPr>
        <w:t>5-month Growth Accelerator</w:t>
      </w:r>
      <w:r>
        <w:rPr>
          <w:rFonts w:ascii="Calibri" w:hAnsi="Calibri" w:eastAsia="Calibri"/>
          <w:b w:val="0"/>
          <w:i w:val="0"/>
          <w:color w:val="1F2937"/>
          <w:sz w:val="22"/>
        </w:rPr>
        <w:t>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Sponsorship capital is </w:t>
      </w:r>
      <w:r>
        <w:rPr>
          <w:rFonts w:ascii="Calibri" w:hAnsi="Calibri" w:eastAsia="Calibri"/>
          <w:b/>
          <w:i w:val="0"/>
          <w:color w:val="1F2937"/>
          <w:sz w:val="22"/>
        </w:rPr>
        <w:t>delegated into pots each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, then </w:t>
      </w:r>
      <w:r>
        <w:rPr>
          <w:rFonts w:ascii="Calibri" w:hAnsi="Calibri" w:eastAsia="Calibri"/>
          <w:b/>
          <w:i w:val="0"/>
          <w:color w:val="1F2937"/>
          <w:sz w:val="22"/>
        </w:rPr>
        <w:t>returned to the sponsor address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when the cycle closes. The </w:t>
      </w:r>
      <w:r>
        <w:rPr>
          <w:rFonts w:ascii="Calibri" w:hAnsi="Calibri" w:eastAsia="Calibri"/>
          <w:b/>
          <w:i w:val="0"/>
          <w:color w:val="1F2937"/>
          <w:sz w:val="22"/>
        </w:rPr>
        <w:t>same 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is redeployed across all </w:t>
      </w:r>
      <w:r>
        <w:rPr>
          <w:rFonts w:ascii="Calibri" w:hAnsi="Calibri" w:eastAsia="Calibri"/>
          <w:b/>
          <w:i w:val="0"/>
          <w:color w:val="1F2937"/>
          <w:sz w:val="22"/>
        </w:rPr>
        <w:t>10 cycles</w:t>
      </w:r>
      <w:r>
        <w:rPr>
          <w:rFonts w:ascii="Calibri" w:hAnsi="Calibri" w:eastAsia="Calibri"/>
          <w:b w:val="0"/>
          <w:i w:val="0"/>
          <w:color w:val="1F2937"/>
          <w:sz w:val="22"/>
        </w:rPr>
        <w:t>. The Endowment’s capital ask does not multiply with cycle count.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Scope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Cycles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Pots</w:t>
            </w:r>
          </w:p>
        </w:tc>
        <w:tc>
          <w:tcPr>
            <w:tcW w:type="dxa" w:w="403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Capital Required</w:t>
            </w:r>
          </w:p>
        </w:tc>
      </w:tr>
      <w:tr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Per cycle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</w:t>
            </w:r>
          </w:p>
        </w:tc>
        <w:tc>
          <w:tcPr>
            <w:tcW w:type="dxa" w:w="403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(delegated)</w:t>
            </w:r>
          </w:p>
        </w:tc>
      </w:tr>
      <w:tr>
        <w:tc>
          <w:tcPr>
            <w:tcW w:type="dxa" w:w="259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Per month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46</w:t>
            </w:r>
          </w:p>
        </w:tc>
        <w:tc>
          <w:tcPr>
            <w:tcW w:type="dxa" w:w="403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(same capital, reused)</w:t>
            </w:r>
          </w:p>
        </w:tc>
      </w:tr>
      <w:tr>
        <w:tc>
          <w:tcPr>
            <w:tcW w:type="dxa" w:w="259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5-month program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10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230</w:t>
            </w:r>
          </w:p>
        </w:tc>
        <w:tc>
          <w:tcPr>
            <w:tcW w:type="dxa" w:w="403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500,000 STX (same capital, reused)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3. How Sponsorship Capital Works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Endowment allocates 500,000 STX to the sponsor address.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That STX is delegated across the 23 pots in the active cycle.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When the cycle ends, delegated amounts are returned to the sponsor address.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same STX is redeployed for the next cycle.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repeats for 10 cycles over 5 months.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One allocation powers the full campaign without requiring new capital each cycle.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4. Boosting Campaign Structure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table is the full breakdown of the sponsored campaign. All figures use the reusable 500,000 STX allocation across 10 cycles (5 months).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/>
          <w:color w:val="4A5568"/>
          <w:sz w:val="20"/>
        </w:rPr>
        <w:t xml:space="preserve">(*) Pot type: </w:t>
      </w:r>
      <w:r>
        <w:rPr>
          <w:rFonts w:ascii="Calibri" w:hAnsi="Calibri" w:eastAsia="Calibri"/>
          <w:b w:val="0"/>
          <w:i/>
          <w:color w:val="4A5568"/>
          <w:sz w:val="20"/>
        </w:rPr>
        <w:t>JackPot or Sequential, as noted in Qty.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6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Qty of Pots / Cycle (*)</w:t>
            </w:r>
          </w:p>
        </w:tc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Entry Min.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Min. Participants</w:t>
            </w:r>
          </w:p>
        </w:tc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Pot Target</w:t>
            </w:r>
          </w:p>
        </w:tc>
        <w:tc>
          <w:tcPr>
            <w:tcW w:type="dxa" w:w="93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Tx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Stacked</w:t>
            </w:r>
          </w:p>
        </w:tc>
        <w:tc>
          <w:tcPr>
            <w:tcW w:type="dxa" w:w="13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Total Participants</w:t>
            </w:r>
          </w:p>
        </w:tc>
        <w:tc>
          <w:tcPr>
            <w:tcW w:type="dxa" w:w="16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Awarded Boost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 (JackPot)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93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400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10,000 STX / pot</w:t>
            </w:r>
          </w:p>
        </w:tc>
      </w:tr>
      <w:tr>
        <w:tc>
          <w:tcPr>
            <w:tcW w:type="dxa" w:w="16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12 (JackPot)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93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480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300,000 STX</w:t>
            </w:r>
          </w:p>
        </w:tc>
        <w:tc>
          <w:tcPr>
            <w:tcW w:type="dxa" w:w="136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6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25,000 STX / pot</w:t>
            </w:r>
          </w:p>
        </w:tc>
      </w:tr>
      <w:tr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 (Sequential)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93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40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</w:t>
            </w:r>
          </w:p>
        </w:tc>
        <w:tc>
          <w:tcPr>
            <w:tcW w:type="dxa" w:w="13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—</w:t>
            </w:r>
          </w:p>
        </w:tc>
        <w:tc>
          <w:tcPr>
            <w:tcW w:type="dxa" w:w="16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6"/>
              </w:rPr>
              <w:t>100,000 STX / pot</w:t>
            </w:r>
          </w:p>
        </w:tc>
      </w:tr>
      <w:tr>
        <w:tc>
          <w:tcPr>
            <w:tcW w:type="dxa" w:w="16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23 total</w:t>
            </w:r>
          </w:p>
        </w:tc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93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920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500,000 STX</w:t>
            </w:r>
          </w:p>
        </w:tc>
        <w:tc>
          <w:tcPr>
            <w:tcW w:type="dxa" w:w="136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—</w:t>
            </w:r>
          </w:p>
        </w:tc>
        <w:tc>
          <w:tcPr>
            <w:tcW w:type="dxa" w:w="165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6"/>
              </w:rPr>
              <w:t>500,000 STX / cycle</w:t>
            </w:r>
          </w:p>
        </w:tc>
      </w:tr>
    </w:tbl>
    <w:p>
      <w:pPr>
        <w:spacing w:before="0" w:after="120" w:lineRule="auto" w:line="240"/>
      </w:pP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Tier Notes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Pot Type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Pots / Cycle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Boost / Pot</w:t>
            </w:r>
          </w:p>
        </w:tc>
        <w:tc>
          <w:tcPr>
            <w:tcW w:type="dxa" w:w="230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Capital (reusable)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Program Pots (×10)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A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JackPot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10,000 STX</w:t>
            </w:r>
          </w:p>
        </w:tc>
        <w:tc>
          <w:tcPr>
            <w:tcW w:type="dxa" w:w="2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100,000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</w:tr>
      <w:tr>
        <w:tc>
          <w:tcPr>
            <w:tcW w:type="dxa" w:w="100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B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JackPot</w:t>
            </w:r>
          </w:p>
        </w:tc>
        <w:tc>
          <w:tcPr>
            <w:tcW w:type="dxa" w:w="1440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25,000 STX</w:t>
            </w:r>
          </w:p>
        </w:tc>
        <w:tc>
          <w:tcPr>
            <w:tcW w:type="dxa" w:w="23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300,000 STX</w:t>
            </w:r>
          </w:p>
        </w:tc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C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Sequential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100,000 STX</w:t>
            </w:r>
          </w:p>
        </w:tc>
        <w:tc>
          <w:tcPr>
            <w:tcW w:type="dxa" w:w="23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100,000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</w:tr>
      <w:tr>
        <w:tc>
          <w:tcPr>
            <w:tcW w:type="dxa" w:w="100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Total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—</w:t>
            </w:r>
          </w:p>
        </w:tc>
        <w:tc>
          <w:tcPr>
            <w:tcW w:type="dxa" w:w="1440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23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—</w:t>
            </w:r>
          </w:p>
        </w:tc>
        <w:tc>
          <w:tcPr>
            <w:tcW w:type="dxa" w:w="230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500,000 STX</w:t>
            </w:r>
          </w:p>
        </w:tc>
        <w:tc>
          <w:tcPr>
            <w:tcW w:type="dxa" w:w="187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230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80" w:lineRule="auto" w:line="264"/>
      </w:pPr>
      <w:r>
        <w:rPr>
          <w:rFonts w:ascii="Calibri" w:hAnsi="Calibri" w:eastAsia="Calibri"/>
          <w:b/>
          <w:i/>
          <w:color w:val="4A5568"/>
          <w:sz w:val="18"/>
        </w:rPr>
        <w:t xml:space="preserve">Tier B: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12 JackPot pots share 300,000 STX of boost capital per cycle → 25,000 STX awarded boost per pot.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Stacked: </w:t>
      </w:r>
      <w:r>
        <w:rPr>
          <w:rFonts w:ascii="Calibri" w:hAnsi="Calibri" w:eastAsia="Calibri"/>
          <w:b w:val="0"/>
          <w:i/>
          <w:color w:val="4A5568"/>
          <w:sz w:val="18"/>
        </w:rPr>
        <w:t xml:space="preserve">sponsor capital delegated to that tier each cycle (returned and reused; not an additive spend across cycles). </w:t>
      </w:r>
      <w:r>
        <w:rPr>
          <w:rFonts w:ascii="Calibri" w:hAnsi="Calibri" w:eastAsia="Calibri"/>
          <w:b/>
          <w:i/>
          <w:color w:val="4A5568"/>
          <w:sz w:val="18"/>
        </w:rPr>
        <w:t xml:space="preserve">Total Tx: </w:t>
      </w:r>
      <w:r>
        <w:rPr>
          <w:rFonts w:ascii="Calibri" w:hAnsi="Calibri" w:eastAsia="Calibri"/>
          <w:b w:val="0"/>
          <w:i/>
          <w:color w:val="4A5568"/>
          <w:sz w:val="18"/>
        </w:rPr>
        <w:t>lifecycle only (deploy + activate + start + close = 4 txs × pots × 10 cycles). Participant-join txs are additional and scale with fill.</w:t>
      </w:r>
    </w:p>
    <w:p>
      <w:pPr>
        <w:spacing w:before="200" w:after="120" w:lineRule="auto" w:line="276"/>
      </w:pPr>
      <w:r>
        <w:rPr>
          <w:rFonts w:ascii="Calibri" w:hAnsi="Calibri" w:eastAsia="Calibri"/>
          <w:b/>
          <w:i w:val="0"/>
          <w:color w:val="2B6CB0"/>
          <w:sz w:val="24"/>
        </w:rPr>
        <w:t>Transaction Accounting (Lifecycle)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Transaction</w:t>
            </w:r>
          </w:p>
        </w:tc>
        <w:tc>
          <w:tcPr>
            <w:tcW w:type="dxa" w:w="115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Per Pot</w:t>
            </w:r>
          </w:p>
        </w:tc>
        <w:tc>
          <w:tcPr>
            <w:tcW w:type="dxa" w:w="17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A (10×10)</w:t>
            </w:r>
          </w:p>
        </w:tc>
        <w:tc>
          <w:tcPr>
            <w:tcW w:type="dxa" w:w="17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B (12×10)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Tier C (1×10)</w:t>
            </w:r>
          </w:p>
        </w:tc>
        <w:tc>
          <w:tcPr>
            <w:tcW w:type="dxa" w:w="129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Program</w:t>
            </w:r>
          </w:p>
        </w:tc>
      </w:tr>
      <w:tr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deploy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activate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72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72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start</w:t>
            </w:r>
          </w:p>
        </w:tc>
        <w:tc>
          <w:tcPr>
            <w:tcW w:type="dxa" w:w="115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29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187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Pot close</w:t>
            </w:r>
          </w:p>
        </w:tc>
        <w:tc>
          <w:tcPr>
            <w:tcW w:type="dxa" w:w="1152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</w:t>
            </w:r>
          </w:p>
        </w:tc>
        <w:tc>
          <w:tcPr>
            <w:tcW w:type="dxa" w:w="172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100</w:t>
            </w:r>
          </w:p>
        </w:tc>
        <w:tc>
          <w:tcPr>
            <w:tcW w:type="dxa" w:w="1728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120</w:t>
            </w:r>
          </w:p>
        </w:tc>
        <w:tc>
          <w:tcPr>
            <w:tcW w:type="dxa" w:w="158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10</w:t>
            </w:r>
          </w:p>
        </w:tc>
        <w:tc>
          <w:tcPr>
            <w:tcW w:type="dxa" w:w="129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</w:t>
            </w:r>
          </w:p>
        </w:tc>
      </w:tr>
      <w:tr>
        <w:tc>
          <w:tcPr>
            <w:tcW w:type="dxa" w:w="187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Lifecycle total</w:t>
            </w:r>
          </w:p>
        </w:tc>
        <w:tc>
          <w:tcPr>
            <w:tcW w:type="dxa" w:w="1152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4</w:t>
            </w:r>
          </w:p>
        </w:tc>
        <w:tc>
          <w:tcPr>
            <w:tcW w:type="dxa" w:w="172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400</w:t>
            </w:r>
          </w:p>
        </w:tc>
        <w:tc>
          <w:tcPr>
            <w:tcW w:type="dxa" w:w="1728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480</w:t>
            </w:r>
          </w:p>
        </w:tc>
        <w:tc>
          <w:tcPr>
            <w:tcW w:type="dxa" w:w="1584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40</w:t>
            </w:r>
          </w:p>
        </w:tc>
        <w:tc>
          <w:tcPr>
            <w:tcW w:type="dxa" w:w="1296"/>
            <w:shd w:fill="EEF2F7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18"/>
              </w:rPr>
              <w:t>920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Entry minimums, minimum participants, pot targets, and resulting Total Participants / join-transaction totals are set at pot deployment within each JackPot or Sequential configuration and will be reported each cycle.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5. Expected Outcomes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Outcome</w:t>
            </w:r>
          </w:p>
        </w:tc>
        <w:tc>
          <w:tcPr>
            <w:tcW w:type="dxa" w:w="590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Sponsored pots delivered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230 (23 / cycle × 10 cycles)</w:t>
            </w:r>
          </w:p>
        </w:tc>
      </w:tr>
      <w:tr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Lifecycle on-chain transactions</w:t>
            </w:r>
          </w:p>
        </w:tc>
        <w:tc>
          <w:tcPr>
            <w:tcW w:type="dxa" w:w="59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920 minimum (deploy, activate, start, close)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Participant join transactions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Reported from live fill (each join = 1 tx)</w:t>
            </w:r>
          </w:p>
        </w:tc>
      </w:tr>
      <w:tr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Monthly throughput</w:t>
            </w:r>
          </w:p>
        </w:tc>
        <w:tc>
          <w:tcPr>
            <w:tcW w:type="dxa" w:w="59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46 pots / month · 2 cycles</w:t>
            </w:r>
          </w:p>
        </w:tc>
      </w:tr>
      <w:tr>
        <w:tc>
          <w:tcPr>
            <w:tcW w:type="dxa" w:w="345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Capital efficiency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500,000 STX committed once; returned and reused every cycle</w:t>
            </w:r>
          </w:p>
        </w:tc>
      </w:tr>
      <w:tr>
        <w:tc>
          <w:tcPr>
            <w:tcW w:type="dxa" w:w="3456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Ecosystem impact</w:t>
            </w:r>
          </w:p>
        </w:tc>
        <w:tc>
          <w:tcPr>
            <w:tcW w:type="dxa" w:w="5904"/>
            <w:shd w:fill="F7FAFC" w:val="clear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18"/>
              </w:rPr>
              <w:t>Higher STX deposits, wallet activity, and Bitcoin DeFi awareness on Stacks</w:t>
            </w:r>
          </w:p>
        </w:tc>
      </w:tr>
    </w:tbl>
    <w:p>
      <w:pPr>
        <w:spacing w:before="0" w:after="120" w:lineRule="auto" w:line="240"/>
      </w:pP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6. Reporting</w:t>
      </w: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Monthly: </w:t>
      </w:r>
      <w:r>
        <w:rPr>
          <w:rFonts w:ascii="Calibri" w:hAnsi="Calibri" w:eastAsia="Calibri"/>
          <w:b w:val="0"/>
          <w:i w:val="0"/>
          <w:color w:val="1F2937"/>
          <w:sz w:val="22"/>
        </w:rPr>
        <w:t>participants, STX deposited, pots created (target 46/month), capital deployed and returned each cycle, and transaction counts (deploy / activate / start / close / joins).</w:t>
      </w:r>
    </w:p>
    <w:p>
      <w:pPr>
        <w:spacing w:before="0" w:after="16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 xml:space="preserve">Final (Month 5): </w:t>
      </w:r>
      <w:r>
        <w:rPr>
          <w:rFonts w:ascii="Calibri" w:hAnsi="Calibri" w:eastAsia="Calibri"/>
          <w:b w:val="0"/>
          <w:i w:val="0"/>
          <w:color w:val="1F2937"/>
          <w:sz w:val="22"/>
        </w:rPr>
        <w:t>full 10-cycle performance, retention, cumulative STX activity, capital custody summary, and recommendations.</w:t>
      </w:r>
    </w:p>
    <w:p>
      <w:pPr>
        <w:spacing w:before="320" w:after="120" w:lineRule="auto" w:line="276"/>
      </w:pPr>
      <w:r>
        <w:rPr>
          <w:rFonts w:ascii="Calibri" w:hAnsi="Calibri" w:eastAsia="Calibri"/>
          <w:b/>
          <w:i w:val="0"/>
          <w:color w:val="1A365D"/>
          <w:sz w:val="30"/>
        </w:rPr>
        <w:t>7. Conclusion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StacksPot requests a </w:t>
      </w:r>
      <w:r>
        <w:rPr>
          <w:rFonts w:ascii="Calibri" w:hAnsi="Calibri" w:eastAsia="Calibri"/>
          <w:b/>
          <w:i w:val="0"/>
          <w:color w:val="1F2937"/>
          <w:sz w:val="22"/>
        </w:rPr>
        <w:t>500,000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reusable sponsorship allocation to run </w:t>
      </w:r>
      <w:r>
        <w:rPr>
          <w:rFonts w:ascii="Calibri" w:hAnsi="Calibri" w:eastAsia="Calibri"/>
          <w:b/>
          <w:i w:val="0"/>
          <w:color w:val="1F2937"/>
          <w:sz w:val="22"/>
        </w:rPr>
        <w:t>23 boosted pots every 2-week cycle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for </w:t>
      </w:r>
      <w:r>
        <w:rPr>
          <w:rFonts w:ascii="Calibri" w:hAnsi="Calibri" w:eastAsia="Calibri"/>
          <w:b/>
          <w:i w:val="0"/>
          <w:color w:val="1F2937"/>
          <w:sz w:val="22"/>
        </w:rPr>
        <w:t>5 months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(</w:t>
      </w:r>
      <w:r>
        <w:rPr>
          <w:rFonts w:ascii="Calibri" w:hAnsi="Calibri" w:eastAsia="Calibri"/>
          <w:b/>
          <w:i w:val="0"/>
          <w:color w:val="1F2937"/>
          <w:sz w:val="22"/>
        </w:rPr>
        <w:t>230 pots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program-wide). Because delegated capital returns to the sponsor after each cycle, one allocation funds the entire campaign—attracting users, supporting communities, and expanding Bitcoin-secured DeFi activity on Stacks.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Prepared by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StacksPot Team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July 2026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Requested allocation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500,000 STX (reusable — returned after each cycle)</w:t>
            </w:r>
          </w:p>
        </w:tc>
      </w:tr>
      <w:tr>
        <w:tc>
          <w:tcPr>
            <w:tcW w:type="dxa" w:w="3456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Campaign mix</w:t>
            </w:r>
          </w:p>
        </w:tc>
        <w:tc>
          <w:tcPr>
            <w:tcW w:type="dxa" w:w="590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 JackPot × 10k · 12 JackPot × 25k · 1 Sequential × 100k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4A5568"/>
        <w:sz w:val="16"/>
      </w:rPr>
      <w:t>StacksPot Growth Acceleration Proposal  |  Confidential — For Stacks Endowment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