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Contract Manager — Baseline Requirements</w:t>
      </w:r>
    </w:p>
    <w:p>
      <w:pPr>
        <w:spacing w:after="120" w:line="300"/>
      </w:pPr>
      <w:r>
        <w:rPr>
          <w:b/>
          <w:bCs/>
        </w:rPr>
        <w:t xml:space="preserve">Version:</w:t>
      </w:r>
      <w:r>
        <w:t xml:space="preserve"> 1.0 (baseline)</w:t>
      </w:r>
    </w:p>
    <w:p>
      <w:pPr>
        <w:spacing w:after="120" w:line="300"/>
      </w:pPr>
      <w:r>
        <w:rPr>
          <w:b/>
          <w:bCs/>
        </w:rPr>
        <w:t xml:space="preserve">Date created:</w:t>
      </w:r>
      <w:r>
        <w:t xml:space="preserve"> 2026-06-29</w:t>
      </w:r>
    </w:p>
    <w:p>
      <w:pPr>
        <w:spacing w:after="120" w:line="300"/>
      </w:pPr>
      <w:r>
        <w:rPr>
          <w:b/>
          <w:bCs/>
        </w:rPr>
        <w:t xml:space="preserve">Owner:</w:t>
      </w:r>
      <w:r>
        <w:t xml:space="preserve"> Laura Ros (AI Solutions Analyst)</w:t>
      </w:r>
    </w:p>
    <w:p>
      <w:pPr>
        <w:spacing w:after="120" w:line="300"/>
      </w:pPr>
      <w:r>
        <w:rPr>
          <w:b/>
          <w:bCs/>
        </w:rPr>
        <w:t xml:space="preserve">Source documents merged into this baseline: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artifacts/docs/product/solution-requirements.md</w:t>
      </w:r>
      <w:r>
        <w:t xml:space="preserve"> v2.0 — canonical narrative source.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artifacts/docs/product/complete-functional-requirements.md</w:t>
      </w:r>
      <w:r>
        <w:t xml:space="preserve"> — paste-ready summary derived from the canonical doc.</w:t>
      </w:r>
    </w:p>
    <w:p>
      <w:pPr>
        <w:spacing w:after="120" w:line="300"/>
      </w:pPr>
      <w:r>
        <w:t xml:space="preserve">Merged on 2026-06-29 to seed the </w:t>
      </w:r>
      <w:r>
        <w:rPr>
          <w:rFonts w:ascii="Consolas" w:cs="Consolas" w:eastAsia="Consolas" w:hAnsi="Consolas"/>
          <w:sz w:val="20"/>
          <w:szCs w:val="20"/>
        </w:rPr>
        <w:t xml:space="preserve">requirements-finalizer</w:t>
      </w:r>
      <w:r>
        <w:t xml:space="preserve"> change-log workflow. Where the two source documents disagree, </w:t>
      </w:r>
      <w:r>
        <w:rPr>
          <w:rFonts w:ascii="Consolas" w:cs="Consolas" w:eastAsia="Consolas" w:hAnsi="Consolas"/>
          <w:sz w:val="20"/>
          <w:szCs w:val="20"/>
        </w:rPr>
        <w:t xml:space="preserve">solution-requirements.md</w:t>
      </w:r>
      <w:r>
        <w:t xml:space="preserve"> v2.0 is authoritative. From this point forward, every change to a requirement is recorded in </w:t>
      </w:r>
      <w:r>
        <w:rPr>
          <w:rFonts w:ascii="Consolas" w:cs="Consolas" w:eastAsia="Consolas" w:hAnsi="Consolas"/>
          <w:sz w:val="20"/>
          <w:szCs w:val="20"/>
        </w:rPr>
        <w:t xml:space="preserve">requirements/change-log.md</w:t>
      </w:r>
      <w:r>
        <w:t xml:space="preserve"> via LOG mode; the final reconciled requirements doc is produced at the end via COMPILE mode.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t xml:space="preserve">1. Purpose &amp; scope</w:t>
      </w:r>
    </w:p>
    <w:p>
      <w:pPr>
        <w:spacing w:after="120" w:line="300"/>
      </w:pPr>
      <w:r>
        <w:t xml:space="preserve">Phase 1 of Contract Manager is a Tier 2 web platform for tracking procurement contract review at McDermott, structured around </w:t>
      </w:r>
      <w:r>
        <w:rPr>
          <w:b/>
          <w:bCs/>
        </w:rPr>
        <w:t xml:space="preserve">parallel review lanes</w:t>
      </w:r>
      <w:r>
        <w:t xml:space="preserve">. It covers intake, triage, parallel-lane status tracking, basic file attachments, bulk legacy migration, vendor master, archive, reports, and a data-driven categories admin. Renewals, document processing, full reviewer collaboration, iManage / SpendConnect integration, and outbound email production are explicitly deferred.</w:t>
      </w:r>
    </w:p>
    <w:p>
      <w:pPr>
        <w:spacing w:after="120" w:line="300"/>
      </w:pPr>
      <w:r>
        <w:t xml:space="preserve">The product serves the Procurement team (4 named owners), firm staff and attorneys as Requesters, and internal firm attorneys (Legal / GCO / InfoSec / Privacy) as Attorney Reviewers. External vendors and DocuSign envelopes are tracked as lanes, not authenticated users.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t xml:space="preserve">2. Functional Requirements (FR)</w:t>
      </w:r>
    </w:p>
    <w:p>
      <w:pPr>
        <w:pStyle w:val="Heading3"/>
      </w:pPr>
      <w:r>
        <w:t xml:space="preserve">Intake &amp; routing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 — Category-driven intake.</w:t>
      </w:r>
      <w:r>
        <w:t xml:space="preserve"> Requesters select a category (Event / Facilities / IT); the intake form rendered is specific to the selected category.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 — Per-category required-field validation.</w:t>
      </w:r>
      <w:r>
        <w:t xml:space="preserve"> The intake form blocks submission if any required field for the selected category is empty.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FR-3 — Review-routing preview.</w:t>
      </w:r>
      <w:r>
        <w:t xml:space="preserve"> Each intake form displays a "Review routing" panel showing Procurement with </w:t>
      </w:r>
      <w:r>
        <w:rPr>
          <w:rFonts w:ascii="Consolas" w:cs="Consolas" w:eastAsia="Consolas" w:hAnsi="Consolas"/>
          <w:sz w:val="20"/>
          <w:szCs w:val="20"/>
        </w:rPr>
        <w:t xml:space="preserve">In review</w:t>
      </w:r>
      <w:r>
        <w:t xml:space="preserve"> and each applicable downstream lane (Legal, GCO, plus InfoSec / Privacy when triggered by IT flags) with </w:t>
      </w:r>
      <w:r>
        <w:rPr>
          <w:rFonts w:ascii="Consolas" w:cs="Consolas" w:eastAsia="Consolas" w:hAnsi="Consolas"/>
          <w:sz w:val="20"/>
          <w:szCs w:val="20"/>
        </w:rPr>
        <w:t xml:space="preserve">Not started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FR-4 — Initial lane state.</w:t>
      </w:r>
      <w:r>
        <w:t xml:space="preserve"> On submission, the Procurement lane is set to </w:t>
      </w:r>
      <w:r>
        <w:rPr>
          <w:rFonts w:ascii="Consolas" w:cs="Consolas" w:eastAsia="Consolas" w:hAnsi="Consolas"/>
          <w:sz w:val="20"/>
          <w:szCs w:val="20"/>
        </w:rPr>
        <w:t xml:space="preserve">In review</w:t>
      </w:r>
      <w:r>
        <w:t xml:space="preserve"> and all other applicable lanes are set to </w:t>
      </w:r>
      <w:r>
        <w:rPr>
          <w:rFonts w:ascii="Consolas" w:cs="Consolas" w:eastAsia="Consolas" w:hAnsi="Consolas"/>
          <w:sz w:val="20"/>
          <w:szCs w:val="20"/>
        </w:rPr>
        <w:t xml:space="preserve">Not started</w:t>
      </w:r>
      <w:r>
        <w:t xml:space="preserve">.</w:t>
      </w:r>
    </w:p>
    <w:p>
      <w:pPr>
        <w:pStyle w:val="Heading3"/>
      </w:pPr>
      <w:r>
        <w:t xml:space="preserve">Parallel-lane data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FR-5 — Nine lanes per contract.</w:t>
      </w:r>
      <w:r>
        <w:t xml:space="preserve"> Each contract supports up to 9 lanes: Procurement, Legal, InfoSec, Privacy, GCO, Vendor, Requester, Signature, Filed.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FR-6 — Lane fields.</w:t>
      </w:r>
      <w:r>
        <w:t xml:space="preserve"> Each lane carries: status, owner (nullable), due date (nullable), last-updated timestamp, and a free-text note (nullable).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FR-7 — Lane status enum.</w:t>
      </w:r>
      <w:r>
        <w:t xml:space="preserve"> Lane status is one of: </w:t>
      </w:r>
      <w:r>
        <w:rPr>
          <w:rFonts w:ascii="Consolas" w:cs="Consolas" w:eastAsia="Consolas" w:hAnsi="Consolas"/>
          <w:sz w:val="20"/>
          <w:szCs w:val="20"/>
        </w:rPr>
        <w:t xml:space="preserve">not_started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in_review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waiting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approved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canceled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complete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FR-8 — Active-lane definition.</w:t>
      </w:r>
      <w:r>
        <w:t xml:space="preserve"> A lane counts as "active" only when its status is </w:t>
      </w:r>
      <w:r>
        <w:rPr>
          <w:rFonts w:ascii="Consolas" w:cs="Consolas" w:eastAsia="Consolas" w:hAnsi="Consolas"/>
          <w:sz w:val="20"/>
          <w:szCs w:val="20"/>
        </w:rPr>
        <w:t xml:space="preserve">in_review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waiting</w:t>
      </w:r>
      <w:r>
        <w:t xml:space="preserve">. All counters across dashboards, contract rows, and reports honor this definition.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FR-9 — Procurement-complete closes contract.</w:t>
      </w:r>
      <w:r>
        <w:t xml:space="preserve"> Setting the Procurement lane to </w:t>
      </w:r>
      <w:r>
        <w:rPr>
          <w:rFonts w:ascii="Consolas" w:cs="Consolas" w:eastAsia="Consolas" w:hAnsi="Consolas"/>
          <w:sz w:val="20"/>
          <w:szCs w:val="20"/>
        </w:rPr>
        <w:t xml:space="preserve">complete</w:t>
      </w:r>
      <w:r>
        <w:t xml:space="preserve"> transitions the contract's overall status to </w:t>
      </w:r>
      <w:r>
        <w:rPr>
          <w:rFonts w:ascii="Consolas" w:cs="Consolas" w:eastAsia="Consolas" w:hAnsi="Consolas"/>
          <w:sz w:val="20"/>
          <w:szCs w:val="20"/>
        </w:rPr>
        <w:t xml:space="preserve">completed</w:t>
      </w:r>
      <w:r>
        <w:t xml:space="preserve">, removes it from active dashboards, and places it in Archive.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FR-10 — Overall contract status enum.</w:t>
      </w:r>
      <w:r>
        <w:t xml:space="preserve"> Overall status is one of: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completed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canceled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FR-11 — Priority enum.</w:t>
      </w:r>
      <w:r>
        <w:t xml:space="preserve"> Priority is one of: </w:t>
      </w:r>
      <w:r>
        <w:rPr>
          <w:rFonts w:ascii="Consolas" w:cs="Consolas" w:eastAsia="Consolas" w:hAnsi="Consolas"/>
          <w:sz w:val="20"/>
          <w:szCs w:val="20"/>
        </w:rPr>
        <w:t xml:space="preserve">low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medium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high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critical</w:t>
      </w:r>
      <w:r>
        <w:t xml:space="preserve">. Default </w:t>
      </w:r>
      <w:r>
        <w:rPr>
          <w:rFonts w:ascii="Consolas" w:cs="Consolas" w:eastAsia="Consolas" w:hAnsi="Consolas"/>
          <w:sz w:val="20"/>
          <w:szCs w:val="20"/>
        </w:rPr>
        <w:t xml:space="preserve">medium</w:t>
      </w:r>
      <w:r>
        <w:t xml:space="preserve">. Set on intake by the Requester; editable by the Procurement owner.</w:t>
      </w:r>
    </w:p>
    <w:p>
      <w:pPr>
        <w:pStyle w:val="Heading3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FR-12 — My dashboard.</w:t>
      </w:r>
      <w:r>
        <w:t xml:space="preserve"> Per-procurement-owner landing page filtered to contracts where the signed-in user has at least one active lane.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FR-13 — Master view.</w:t>
      </w:r>
      <w:r>
        <w:t xml:space="preserve"> A view of every active contract across all owners, with the same row shape as My dashboard plus a visible owner column.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FR-14 — Contract detail.</w:t>
      </w:r>
      <w:r>
        <w:t xml:space="preserve"> A per-contract detail screen serving as the central object view, with a right-rail of key facts (requester, value, vendor, parent event for Event contracts).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FR-15 — My submissions.</w:t>
      </w:r>
      <w:r>
        <w:t xml:space="preserve"> A Requester-mode view of contracts the signed-in user submitted, with status visibility and a comments affordance.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FR-16 — Vendors master.</w:t>
      </w:r>
      <w:r>
        <w:t xml:space="preserve"> A searchable, sortable list of vendors. Clicking a vendor opens a summary modal — never a separate vendor detail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FR-17 — Archive.</w:t>
      </w:r>
      <w:r>
        <w:t xml:space="preserve"> Lists contracts with overall status in {</w:t>
      </w:r>
      <w:r>
        <w:rPr>
          <w:rFonts w:ascii="Consolas" w:cs="Consolas" w:eastAsia="Consolas" w:hAnsi="Consolas"/>
          <w:sz w:val="20"/>
          <w:szCs w:val="20"/>
        </w:rPr>
        <w:t xml:space="preserve">completed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canceled</w:t>
      </w:r>
      <w:r>
        <w:t xml:space="preserve">}, searchable; soft-deleted records are excluded.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FR-18 — Reports.</w:t>
      </w:r>
      <w:r>
        <w:t xml:space="preserve"> Six KPI tiles (Contracts reviewed YTD, My reviewed YTD, Active right now, My active, Completed YTD, Canceled YTD) plus active-by-category and active-by-procurement-owner horizontal bar series.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FR-19 — Categories &amp; Fields admin.</w:t>
      </w:r>
      <w:r>
        <w:t xml:space="preserve"> A data-driven schema editor for categories and their field sets; adding a category does not require a code change.</w:t>
      </w:r>
    </w:p>
    <w:p>
      <w:pPr>
        <w:pStyle w:val="Heading3"/>
      </w:pPr>
      <w:r>
        <w:t xml:space="preserve">Actions &amp; 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FR-20 — Send-reminder location.</w:t>
      </w:r>
      <w:r>
        <w:t xml:space="preserve"> The "Send reminder" action lives at the top of the contract detail screen. Lane rows do not show bell icons or per-lane reminder controls.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FR-21 — Reminder modal targets.</w:t>
      </w:r>
      <w:r>
        <w:t xml:space="preserve"> The Send-reminder modal lists only currently-open external lanes (</w:t>
      </w:r>
      <w:r>
        <w:rPr>
          <w:rFonts w:ascii="Consolas" w:cs="Consolas" w:eastAsia="Consolas" w:hAnsi="Consolas"/>
          <w:sz w:val="20"/>
          <w:szCs w:val="20"/>
        </w:rPr>
        <w:t xml:space="preserve">vendor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requester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signature</w:t>
      </w:r>
      <w:r>
        <w:t xml:space="preserve">). When the Requester lane is selected, the modal shows the requester's email address.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FR-22 — Bulk upload — four flows.</w:t>
      </w:r>
      <w:r>
        <w:t xml:space="preserve"> The bulk-upload surface offers four mutually-exclusive flows: file drop (</w:t>
      </w:r>
      <w:r>
        <w:rPr>
          <w:rFonts w:ascii="Consolas" w:cs="Consolas" w:eastAsia="Consolas" w:hAnsi="Consolas"/>
          <w:sz w:val="20"/>
          <w:szCs w:val="20"/>
        </w:rPr>
        <w:t xml:space="preserve">.xlsx</w:t>
      </w:r>
      <w:r>
        <w:t xml:space="preserve">), paste (TSV / CSV), type (inline editor), and manual entry (single row at a time).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FR-23 — Bulk upload preview &amp; validation.</w:t>
      </w:r>
      <w:r>
        <w:t xml:space="preserve"> Each flow produces an editable preview with per-row validation and a confirm-and-commit step. A failed row does not fail the batch; failures are flagged for fix-and-retry.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FR-24 — Vendor de-duplication on import.</w:t>
      </w:r>
      <w:r>
        <w:t xml:space="preserve"> During bulk upload, vendor names are matched against the </w:t>
      </w:r>
      <w:r>
        <w:rPr>
          <w:rFonts w:ascii="Consolas" w:cs="Consolas" w:eastAsia="Consolas" w:hAnsi="Consolas"/>
          <w:sz w:val="20"/>
          <w:szCs w:val="20"/>
        </w:rPr>
        <w:t xml:space="preserve">Vendors</w:t>
      </w:r>
      <w:r>
        <w:t xml:space="preserve"> sheet to prevent duplicate vendor records.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FR-25 — Attachments.</w:t>
      </w:r>
      <w:r>
        <w:t xml:space="preserve"> Files can be uploaded to, listed for, downloaded from, and deleted on a contract record via basic Azure Blob storage. No document processing (no extraction, OCR, indexing, embedding, RAG).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FR-26 — Activity log.</w:t>
      </w:r>
      <w:r>
        <w:t xml:space="preserve"> Each contract has a chronological activity log capturing status changes, reminders sent, and notes added — every entry timestamped and attributed.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FR-27 — Lane panel default &amp; toggle.</w:t>
      </w:r>
      <w:r>
        <w:t xml:space="preserve"> On the contract detail screen, the Lanes panel displays only the Procurement lane by default, with a "Show N other lanes" toggle that reveals the remaining lanes.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FR-28 — Risk-review banner.</w:t>
      </w:r>
      <w:r>
        <w:t xml:space="preserve"> A persistent banner on every contract detail screen reads: </w:t>
      </w:r>
      <w:r>
        <w:rPr>
          <w:i/>
          <w:iCs/>
        </w:rPr>
        <w:t xml:space="preserve">"This tracks that review is happening — it does not replace the firm's existing risk-review process."</w:t>
      </w:r>
    </w:p>
    <w:p>
      <w:pPr>
        <w:pStyle w:val="Heading3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FR-29 — Procurement permissions.</w:t>
      </w:r>
      <w:r>
        <w:t xml:space="preserve"> Procurement owners have full edit, assign, and lane-status control on every lane of any contract.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FR-30 — Requester permissions.</w:t>
      </w:r>
      <w:r>
        <w:t xml:space="preserve"> Requesters have read-only access to their own submissions and can add comments and attach supporting documents. They cannot edit fields or change lane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FR-31 — Attorney Reviewer permissions.</w:t>
      </w:r>
      <w:r>
        <w:t xml:space="preserve"> Attorney Reviewers can comment and attach on contracts assigned to them. They cannot reassign contracts or change any lane's status.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t xml:space="preserve">3. Non-Functional Requirements (NFR)</w:t>
      </w:r>
    </w:p>
    <w:p>
      <w:pPr>
        <w:pStyle w:val="Heading3"/>
      </w:pPr>
      <w:r>
        <w:t xml:space="preserve">Auth &amp; access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 — Authentication.</w:t>
      </w:r>
      <w:r>
        <w:t xml:space="preserve"> Single-tenant Entra ID; app roles drive authorization.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NFR-2 — App-managed access only.</w:t>
      </w:r>
      <w:r>
        <w:t xml:space="preserve"> Access is decided by role, ownership, and explicit in-app assignment. The system does not consult any external client-matter or ethical-wall data source. External reviewers (vendor, DocuSign signature) are tracked as lanes, not authenticated identities.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NFR-3 — Ownership violations return 403.</w:t>
      </w:r>
      <w:r>
        <w:t xml:space="preserve"> Any request referencing a record the caller does not own returns HTTP 403, never 404.</w:t>
      </w:r>
    </w:p>
    <w:p>
      <w:pPr>
        <w:pStyle w:val="Heading3"/>
      </w:pPr>
      <w:r>
        <w:t xml:space="preserve">Data sensitivity &amp; retention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NFR-4 — Sensitivity classification.</w:t>
      </w:r>
      <w:r>
        <w:t xml:space="preserve"> All contract data is Confidential by default; contracts routed through Legal or GCO are treated as Privileged. PII is present (contacts, signers).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NFR-5 — Log redaction.</w:t>
      </w:r>
      <w:r>
        <w:t xml:space="preserve"> Logs capture only pseudonymous </w:t>
      </w:r>
      <w:r>
        <w:rPr>
          <w:rFonts w:ascii="Consolas" w:cs="Consolas" w:eastAsia="Consolas" w:hAnsi="Consolas"/>
          <w:sz w:val="20"/>
          <w:szCs w:val="20"/>
        </w:rPr>
        <w:t xml:space="preserve">UserId</w:t>
      </w:r>
      <w:r>
        <w:t xml:space="preserve"> (Entra </w:t>
      </w:r>
      <w:r>
        <w:rPr>
          <w:rFonts w:ascii="Consolas" w:cs="Consolas" w:eastAsia="Consolas" w:hAnsi="Consolas"/>
          <w:sz w:val="20"/>
          <w:szCs w:val="20"/>
        </w:rPr>
        <w:t xml:space="preserve">oid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</w:rPr>
        <w:t xml:space="preserve">OperationId</w:t>
      </w:r>
      <w:r>
        <w:t xml:space="preserve">. Contract content, vendor terms, note bodies, and PII are never logged at any level.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NFR-6 — Soft-delete only.</w:t>
      </w:r>
      <w:r>
        <w:t xml:space="preserve"> No hard-delete path exists for contracts or vendors. Records are retained in perpetuity.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NFR-7 — Access audit.</w:t>
      </w:r>
      <w:r>
        <w:t xml:space="preserve"> Every read and write of a contract record is audited.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NFR-8 — Audit columns.</w:t>
      </w:r>
      <w:r>
        <w:t xml:space="preserve"> Every database table includes the six standard audit columns (</w:t>
      </w:r>
      <w:r>
        <w:rPr>
          <w:rFonts w:ascii="Consolas" w:cs="Consolas" w:eastAsia="Consolas" w:hAnsi="Consolas"/>
          <w:sz w:val="20"/>
          <w:szCs w:val="20"/>
        </w:rPr>
        <w:t xml:space="preserve">CreatedAt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UpdatedAt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CreatedBy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UpdatedBy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IsDeleted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DeletedAt</w:t>
      </w:r>
      <w:r>
        <w:t xml:space="preserve">) per </w:t>
      </w:r>
      <w:r>
        <w:rPr>
          <w:rFonts w:ascii="Consolas" w:cs="Consolas" w:eastAsia="Consolas" w:hAnsi="Consolas"/>
          <w:sz w:val="20"/>
          <w:szCs w:val="20"/>
        </w:rPr>
        <w:t xml:space="preserve">database-coding-standards.md</w:t>
      </w:r>
      <w:r>
        <w:t xml:space="preserve">.</w:t>
      </w:r>
    </w:p>
    <w:p>
      <w:pPr>
        <w:pStyle w:val="Heading3"/>
      </w:pPr>
      <w:r>
        <w:t xml:space="preserve">Architecture &amp; integration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NFR-9 — Approved Tier 1 stack only.</w:t>
      </w:r>
      <w:r>
        <w:t xml:space="preserve"> The build uses only the firm's approved Tier 1 stack: React 19 + TypeScript + Vite (web), .NET 10 ASP.NET Core + EF Core (API), Azure SQL, Entra ID, Azure Key Vault, Application Insights, Azure Blob Storage.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NFR-10 — Future integrations are additive.</w:t>
      </w:r>
      <w:r>
        <w:t xml:space="preserve"> The data model and document handling are structured so iManage and SpendConnect integrations can be added in a later phase without schema rework.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NFR-11 — Bulk upload server-side.</w:t>
      </w:r>
      <w:r>
        <w:t xml:space="preserve"> Bulk upload is processed server-side; the raw spreadsheet is not persisted outside the validated database rows.</w:t>
      </w:r>
    </w:p>
    <w:p>
      <w:pPr>
        <w:pStyle w:val="Heading3"/>
      </w:pPr>
      <w:r>
        <w:t xml:space="preserve">Errors &amp; secrets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NFR-12 — RFC 7807 error responses.</w:t>
      </w:r>
      <w:r>
        <w:t xml:space="preserve"> All error responses use ProblemDetails (RFC 7807) with a plain-language </w:t>
      </w:r>
      <w:r>
        <w:rPr>
          <w:rFonts w:ascii="Consolas" w:cs="Consolas" w:eastAsia="Consolas" w:hAnsi="Consolas"/>
          <w:sz w:val="20"/>
          <w:szCs w:val="20"/>
        </w:rPr>
        <w:t xml:space="preserve">detail</w:t>
      </w:r>
      <w:r>
        <w:t xml:space="preserve"> field. Stack traces, exception messages, and internal paths are never exposed to clients.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NFR-13 — Secrets in Key Vault only.</w:t>
      </w:r>
      <w:r>
        <w:t xml:space="preserve"> All secrets live in Azure Key Vault. No secrets in source control, configuration files, or container environment variables.</w:t>
      </w:r>
    </w:p>
    <w:p>
      <w:pPr>
        <w:pStyle w:val="Heading3"/>
      </w:pPr>
      <w:r>
        <w:t xml:space="preserve">Communications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NFR-14 — Communications logged.</w:t>
      </w:r>
      <w:r>
        <w:t xml:space="preserve"> All user-facing communications (reminders, notifications) are logged on the contract's activity log.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NFR-15 — Phase 1 reminder behavior.</w:t>
      </w:r>
      <w:r>
        <w:t xml:space="preserve"> Phase 1 logs the reminder intent and the recipient on the activity log; the production email-send pattern (Microsoft Graph mail send vs. SMTP) is a build-time decision per </w:t>
      </w:r>
      <w:r>
        <w:rPr>
          <w:rFonts w:ascii="Consolas" w:cs="Consolas" w:eastAsia="Consolas" w:hAnsi="Consolas"/>
          <w:sz w:val="20"/>
          <w:szCs w:val="20"/>
        </w:rPr>
        <w:t xml:space="preserve">api-performance.md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NFR-16 — No auto-execute of external obligations.</w:t>
      </w:r>
      <w:r>
        <w:t xml:space="preserve"> The system does not auto-execute any external-obligation action (e.g., sending a contract to a vendor) without explicit Procurement confirmation.</w:t>
      </w:r>
    </w:p>
    <w:p>
      <w:pPr>
        <w:pStyle w:val="Heading3"/>
      </w:pPr>
      <w:r>
        <w:t xml:space="preserve">Capacity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NFR-17 — Concurrent user target.</w:t>
      </w:r>
      <w:r>
        <w:t xml:space="preserve"> Default peak of approximately 100 concurrent users, per Tier 1 default.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t xml:space="preserve">4. Universal Tier 1 guardrails (inherited, not enumerated)</w:t>
      </w:r>
    </w:p>
    <w:p>
      <w:pPr>
        <w:spacing w:after="120" w:line="300"/>
      </w:pPr>
      <w:r>
        <w:t xml:space="preserve">The universal engineering guardrails from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.claude/rules/dev/_core-requirements.md</w:t>
      </w:r>
      <w:r>
        <w:t xml:space="preserve"> apply to every requirement in this baseline and are intentionally not re-enumerated as individual NFRs. They include — without limitation — validation at controller boundaries, </w:t>
      </w:r>
      <w:r>
        <w:rPr>
          <w:rFonts w:ascii="Consolas" w:cs="Consolas" w:eastAsia="Consolas" w:hAnsi="Consolas"/>
          <w:sz w:val="20"/>
          <w:szCs w:val="20"/>
        </w:rPr>
        <w:t xml:space="preserve">CancellationToken</w:t>
      </w:r>
      <w:r>
        <w:t xml:space="preserve"> on every async method, no raw SQL string concatenation, no </w:t>
      </w:r>
      <w:r>
        <w:rPr>
          <w:rFonts w:ascii="Consolas" w:cs="Consolas" w:eastAsia="Consolas" w:hAnsi="Consolas"/>
          <w:sz w:val="20"/>
          <w:szCs w:val="20"/>
        </w:rPr>
        <w:t xml:space="preserve">eval()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new Function()</w:t>
      </w:r>
      <w:r>
        <w:t xml:space="preserve"> / unsanitised </w:t>
      </w:r>
      <w:r>
        <w:rPr>
          <w:rFonts w:ascii="Consolas" w:cs="Consolas" w:eastAsia="Consolas" w:hAnsi="Consolas"/>
          <w:sz w:val="20"/>
          <w:szCs w:val="20"/>
        </w:rPr>
        <w:t xml:space="preserve">dangerouslySetInnerHTML</w:t>
      </w:r>
      <w:r>
        <w:t xml:space="preserve">, HTTPS in production, and the universal logging / PII / secrets rules.</w:t>
      </w:r>
    </w:p>
    <w:p>
      <w:pPr>
        <w:spacing w:after="120" w:line="300"/>
      </w:pPr>
      <w:r>
        <w:t xml:space="preserve">Any </w:t>
      </w:r>
      <w:r>
        <w:rPr>
          <w:i/>
          <w:iCs/>
        </w:rPr>
        <w:t xml:space="preserve">deviation</w:t>
      </w:r>
      <w:r>
        <w:t xml:space="preserve"> from a universal guardrail (or a project-specific extension of one) must be captured as an explicit NFR in this baseline AND recorded in </w:t>
      </w:r>
      <w:r>
        <w:rPr>
          <w:rFonts w:ascii="Consolas" w:cs="Consolas" w:eastAsia="Consolas" w:hAnsi="Consolas"/>
          <w:sz w:val="20"/>
          <w:szCs w:val="20"/>
        </w:rPr>
        <w:t xml:space="preserve">artifacts/docs/dev/decisions.md</w:t>
      </w:r>
      <w:r>
        <w:t xml:space="preserve">.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20" w:line="300"/>
      </w:pPr>
      <w:r>
        <w:rPr>
          <w:i/>
          <w:iCs/>
        </w:rPr>
        <w:t xml:space="preserve">Baseline frozen 2026-06-29. Subsequent changes are tracked via `requirements/change-log.md`.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baseline-requirements</dc:title>
  <dc:creator>Laura Ros</dc:creator>
  <cp:lastModifiedBy>Un-named</cp:lastModifiedBy>
  <cp:revision>1</cp:revision>
  <dcterms:created xsi:type="dcterms:W3CDTF">2026-06-29T17:57:56.184Z</dcterms:created>
  <dcterms:modified xsi:type="dcterms:W3CDTF">2026-06-29T17:57:56.186Z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