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NexusNet Pro Se Filing Worksheets</w:t>
      </w:r>
    </w:p>
    <w:p>
      <w:r>
        <w:t>Generated: 2026-05-01</w:t>
      </w:r>
    </w:p>
    <w:p>
      <w:r>
        <w:t>Use these worksheets to complete current official USPTO forms.</w:t>
      </w:r>
    </w:p>
    <w:p>
      <w:r>
        <w:br w:type="page"/>
      </w:r>
    </w:p>
    <w:p>
      <w:pPr>
        <w:pStyle w:val="Heading1"/>
      </w:pPr>
      <w:r>
        <w:t>Micro-Entity Eligibility Worksheet</w:t>
      </w:r>
    </w:p>
    <w:p/>
    <w:p>
      <w:r>
        <w:t>Use this worksheet before claiming micro-entity status. Transfer answers</w:t>
      </w:r>
    </w:p>
    <w:p>
      <w:r>
        <w:t>into the current official USPTO micro-entity certification form only after</w:t>
      </w:r>
    </w:p>
    <w:p>
      <w:r>
        <w:t>confirming the facts.</w:t>
      </w:r>
    </w:p>
    <w:p/>
    <w:p>
      <w:r>
        <w:t>Official source: https://www.uspto.gov/patents/laws/micro-entity-status</w:t>
      </w:r>
    </w:p>
    <w:p/>
    <w:p>
      <w:pPr>
        <w:pStyle w:val="Heading2"/>
      </w:pPr>
      <w:r>
        <w:t>Route A: Gross Income Basis</w:t>
      </w:r>
    </w:p>
    <w:p/>
    <w:p>
      <w:r>
        <w:t>The usual form is PTO/SB/15A or its current equivalent. Confirm current</w:t>
      </w:r>
    </w:p>
    <w:p>
      <w:r>
        <w:t>form numbers on the USPTO forms page before filing.</w:t>
      </w:r>
    </w:p>
    <w:p/>
    <w:p>
      <w:r>
        <w:t>1. Applicant qualifies as a small entity:</w:t>
      </w:r>
    </w:p>
    <w:p>
      <w:r>
        <w:t xml:space="preserve">   - [ ] Yes</w:t>
      </w:r>
    </w:p>
    <w:p>
      <w:r>
        <w:t xml:space="preserve">   - [ ] No</w:t>
      </w:r>
    </w:p>
    <w:p>
      <w:r>
        <w:t xml:space="preserve">   - Notes:</w:t>
      </w:r>
    </w:p>
    <w:p/>
    <w:p>
      <w:r>
        <w:t>2. Each inventor/applicant has not been named as inventor on more than four</w:t>
      </w:r>
    </w:p>
    <w:p>
      <w:r>
        <w:t xml:space="preserve">   prior U.S. nonprovisional patent applications, excluding allowed</w:t>
      </w:r>
    </w:p>
    <w:p>
      <w:r>
        <w:t xml:space="preserve">   exceptions:</w:t>
      </w:r>
    </w:p>
    <w:p>
      <w:r>
        <w:t xml:space="preserve">   - [ ] Yes</w:t>
      </w:r>
    </w:p>
    <w:p>
      <w:r>
        <w:t xml:space="preserve">   - [ ] No</w:t>
      </w:r>
    </w:p>
    <w:p>
      <w:r>
        <w:t xml:space="preserve">   - Prior applications to review:</w:t>
      </w:r>
    </w:p>
    <w:p/>
    <w:p>
      <w:r>
        <w:t>3. Each inventor/applicant's gross income for the required prior calendar</w:t>
      </w:r>
    </w:p>
    <w:p>
      <w:r>
        <w:t xml:space="preserve">   year is below the current USPTO micro-entity income threshold:</w:t>
      </w:r>
    </w:p>
    <w:p>
      <w:r>
        <w:t xml:space="preserve">   - [ ] Yes</w:t>
      </w:r>
    </w:p>
    <w:p>
      <w:r>
        <w:t xml:space="preserve">   - [ ] No</w:t>
      </w:r>
    </w:p>
    <w:p>
      <w:r>
        <w:t xml:space="preserve">   - Threshold checked on:</w:t>
      </w:r>
    </w:p>
    <w:p>
      <w:r>
        <w:t xml:space="preserve">   - Income year checked:</w:t>
      </w:r>
    </w:p>
    <w:p/>
    <w:p>
      <w:r>
        <w:t>4. No inventor/applicant has assigned, granted, or conveyed, and is not</w:t>
      </w:r>
    </w:p>
    <w:p>
      <w:r>
        <w:t xml:space="preserve">   obligated to assign, grant, or convey, rights to an entity exceeding the</w:t>
      </w:r>
    </w:p>
    <w:p>
      <w:r>
        <w:t xml:space="preserve">   income threshold:</w:t>
      </w:r>
    </w:p>
    <w:p>
      <w:r>
        <w:t xml:space="preserve">   - [ ] Yes</w:t>
      </w:r>
    </w:p>
    <w:p>
      <w:r>
        <w:t xml:space="preserve">   - [ ] No</w:t>
      </w:r>
    </w:p>
    <w:p>
      <w:r>
        <w:t xml:space="preserve">   - Assignment/obligation notes:</w:t>
      </w:r>
    </w:p>
    <w:p/>
    <w:p>
      <w:r>
        <w:t>5. All inventors/applicants can sign or otherwise support the certification:</w:t>
      </w:r>
    </w:p>
    <w:p>
      <w:r>
        <w:t xml:space="preserve">   - [ ] Yes</w:t>
      </w:r>
    </w:p>
    <w:p>
      <w:r>
        <w:t xml:space="preserve">   - [ ] No</w:t>
      </w:r>
    </w:p>
    <w:p/>
    <w:p>
      <w:pPr>
        <w:pStyle w:val="Heading2"/>
      </w:pPr>
      <w:r>
        <w:t>Route B: Institution Of Higher Education Basis</w:t>
      </w:r>
    </w:p>
    <w:p/>
    <w:p>
      <w:r>
        <w:t>The usual form is PTO/SB/15B or its current equivalent. Use only if the</w:t>
      </w:r>
    </w:p>
    <w:p>
      <w:r>
        <w:t>higher-education requirements actually apply.</w:t>
      </w:r>
    </w:p>
    <w:p/>
    <w:p>
      <w:pPr>
        <w:pStyle w:val="ListBullet"/>
      </w:pPr>
      <w:r>
        <w:t>[ ] Applicant is employed by an institution of higher education.</w:t>
      </w:r>
    </w:p>
    <w:p>
      <w:pPr>
        <w:pStyle w:val="ListBullet"/>
      </w:pPr>
      <w:r>
        <w:t>[ ] Applicant has assigned or is obligated to assign rights to such an</w:t>
      </w:r>
    </w:p>
    <w:p>
      <w:r>
        <w:t xml:space="preserve">  institution.</w:t>
      </w:r>
    </w:p>
    <w:p>
      <w:pPr>
        <w:pStyle w:val="ListBullet"/>
      </w:pPr>
      <w:r>
        <w:t>[ ] Institution details:</w:t>
      </w:r>
    </w:p>
    <w:p/>
    <w:p>
      <w:pPr>
        <w:pStyle w:val="Heading2"/>
      </w:pPr>
      <w:r>
        <w:t>Maintenance Warning</w:t>
      </w:r>
    </w:p>
    <w:p/>
    <w:p>
      <w:r>
        <w:t>Micro-entity status can change. Re-check before paying later fees.</w:t>
      </w:r>
    </w:p>
    <w:p>
      <w:r>
        <w:br w:type="page"/>
      </w:r>
    </w:p>
    <w:p>
      <w:pPr>
        <w:pStyle w:val="Heading1"/>
      </w:pPr>
      <w:r>
        <w:t>USPTO Form Field Worksheets</w:t>
      </w:r>
    </w:p>
    <w:p/>
    <w:p>
      <w:r>
        <w:t>These worksheets help you transfer information into current official USPTO</w:t>
      </w:r>
    </w:p>
    <w:p>
      <w:r>
        <w:t>forms or Patent Center screens. They are not substitutes for the official</w:t>
      </w:r>
    </w:p>
    <w:p>
      <w:r>
        <w:t>USPTO forms.</w:t>
      </w:r>
    </w:p>
    <w:p/>
    <w:p>
      <w:r>
        <w:t>Official forms page: https://www.uspto.gov/patents/apply/forms</w:t>
      </w:r>
    </w:p>
    <w:p/>
    <w:p>
      <w:pPr>
        <w:pStyle w:val="Heading2"/>
      </w:pPr>
      <w:r>
        <w:t>Application Data Sheet Worksheet</w:t>
      </w:r>
    </w:p>
    <w:p/>
    <w:p>
      <w:r>
        <w:t>Common form: PTO/AIA/14 or current Application Data Sheet equivalent.</w:t>
      </w:r>
    </w:p>
    <w:p/>
    <w:p>
      <w:pPr>
        <w:pStyle w:val="ListBullet"/>
      </w:pPr>
      <w:r>
        <w:t>Application type:</w:t>
      </w:r>
    </w:p>
    <w:p>
      <w:r>
        <w:t xml:space="preserve">  - [ ] Provisional</w:t>
      </w:r>
    </w:p>
    <w:p>
      <w:r>
        <w:t xml:space="preserve">  - [ ] Nonprovisional utility</w:t>
      </w:r>
    </w:p>
    <w:p>
      <w:pPr>
        <w:pStyle w:val="ListBullet"/>
      </w:pPr>
      <w:r>
        <w:t>Invention title:</w:t>
      </w:r>
    </w:p>
    <w:p>
      <w:r>
        <w:t xml:space="preserve">  Hive Mind Harness for Artificial Intelligence with Governed Sparse Routing</w:t>
      </w:r>
    </w:p>
    <w:p>
      <w:pPr>
        <w:pStyle w:val="ListBullet"/>
      </w:pPr>
      <w:r>
        <w:t>Inventor legal name:</w:t>
      </w:r>
    </w:p>
    <w:p>
      <w:r>
        <w:t xml:space="preserve">  [INSERT FULL LEGAL NAME]</w:t>
      </w:r>
    </w:p>
    <w:p>
      <w:pPr>
        <w:pStyle w:val="ListBullet"/>
      </w:pPr>
      <w:r>
        <w:t>Inventor residence city/state/country:</w:t>
      </w:r>
    </w:p>
    <w:p>
      <w:r>
        <w:t xml:space="preserve">  [INSERT]</w:t>
      </w:r>
    </w:p>
    <w:p>
      <w:pPr>
        <w:pStyle w:val="ListBullet"/>
      </w:pPr>
      <w:r>
        <w:t>Inventor mailing address:</w:t>
      </w:r>
    </w:p>
    <w:p>
      <w:r>
        <w:t xml:space="preserve">  [INSERT]</w:t>
      </w:r>
    </w:p>
    <w:p>
      <w:pPr>
        <w:pStyle w:val="ListBullet"/>
      </w:pPr>
      <w:r>
        <w:t>Inventor citizenship:</w:t>
      </w:r>
    </w:p>
    <w:p>
      <w:r>
        <w:t xml:space="preserve">  [INSERT]</w:t>
      </w:r>
    </w:p>
    <w:p>
      <w:pPr>
        <w:pStyle w:val="ListBullet"/>
      </w:pPr>
      <w:r>
        <w:t>Correspondence address:</w:t>
      </w:r>
    </w:p>
    <w:p>
      <w:r>
        <w:t xml:space="preserve">  [INSERT]</w:t>
      </w:r>
    </w:p>
    <w:p>
      <w:pPr>
        <w:pStyle w:val="ListBullet"/>
      </w:pPr>
      <w:r>
        <w:t>Applicant:</w:t>
      </w:r>
    </w:p>
    <w:p>
      <w:r>
        <w:t xml:space="preserve">  - [ ] Inventor</w:t>
      </w:r>
    </w:p>
    <w:p>
      <w:r>
        <w:t xml:space="preserve">  - [ ] Assignee</w:t>
      </w:r>
    </w:p>
    <w:p>
      <w:r>
        <w:t xml:space="preserve">  - [ ] Other</w:t>
      </w:r>
    </w:p>
    <w:p>
      <w:pPr>
        <w:pStyle w:val="ListBullet"/>
      </w:pPr>
      <w:r>
        <w:t>Assignee or ownership interest, if any:</w:t>
      </w:r>
    </w:p>
    <w:p>
      <w:r>
        <w:t xml:space="preserve">  [INSERT OR NONE]</w:t>
      </w:r>
    </w:p>
    <w:p>
      <w:pPr>
        <w:pStyle w:val="ListBullet"/>
      </w:pPr>
      <w:r>
        <w:t>Domestic benefit or priority claim:</w:t>
      </w:r>
    </w:p>
    <w:p>
      <w:r>
        <w:t xml:space="preserve">  [INSERT IF CLAIMING PRIOR PROVISIONAL/NONPROVISIONAL]</w:t>
      </w:r>
    </w:p>
    <w:p>
      <w:pPr>
        <w:pStyle w:val="ListBullet"/>
      </w:pPr>
      <w:r>
        <w:t>Foreign priority claim:</w:t>
      </w:r>
    </w:p>
    <w:p>
      <w:r>
        <w:t xml:space="preserve">  [INSERT IF ANY]</w:t>
      </w:r>
    </w:p>
    <w:p>
      <w:pPr>
        <w:pStyle w:val="ListBullet"/>
      </w:pPr>
      <w:r>
        <w:t>Attorney docket number:</w:t>
      </w:r>
    </w:p>
    <w:p>
      <w:r>
        <w:t xml:space="preserve">  NEXUSNET-001-US</w:t>
      </w:r>
    </w:p>
    <w:p/>
    <w:p>
      <w:pPr>
        <w:pStyle w:val="Heading2"/>
      </w:pPr>
      <w:r>
        <w:t>Inventor Oath Or Declaration Worksheet</w:t>
      </w:r>
    </w:p>
    <w:p/>
    <w:p>
      <w:r>
        <w:t>Common form: PTO/AIA/01 or current declaration equivalent.</w:t>
      </w:r>
    </w:p>
    <w:p/>
    <w:p>
      <w:pPr>
        <w:pStyle w:val="ListBullet"/>
      </w:pPr>
      <w:r>
        <w:t>Inventor legal name:</w:t>
      </w:r>
    </w:p>
    <w:p>
      <w:r>
        <w:t xml:space="preserve">  [INSERT]</w:t>
      </w:r>
    </w:p>
    <w:p>
      <w:pPr>
        <w:pStyle w:val="ListBullet"/>
      </w:pPr>
      <w:r>
        <w:t>Application title:</w:t>
      </w:r>
    </w:p>
    <w:p>
      <w:r>
        <w:t xml:space="preserve">  Hive Mind Harness for Artificial Intelligence with Governed Sparse Routing</w:t>
      </w:r>
    </w:p>
    <w:p>
      <w:pPr>
        <w:pStyle w:val="ListBullet"/>
      </w:pPr>
      <w:r>
        <w:t>Inventor confirms original inventor status:</w:t>
      </w:r>
    </w:p>
    <w:p>
      <w:r>
        <w:t xml:space="preserve">  - [ ] Yes</w:t>
      </w:r>
    </w:p>
    <w:p>
      <w:pPr>
        <w:pStyle w:val="ListBullet"/>
      </w:pPr>
      <w:r>
        <w:t>Inventor acknowledges duty to disclose material information:</w:t>
      </w:r>
    </w:p>
    <w:p>
      <w:r>
        <w:t xml:space="preserve">  - [ ] Yes</w:t>
      </w:r>
    </w:p>
    <w:p>
      <w:pPr>
        <w:pStyle w:val="ListBullet"/>
      </w:pPr>
      <w:r>
        <w:t>Signature:</w:t>
      </w:r>
    </w:p>
    <w:p>
      <w:r>
        <w:t xml:space="preserve">  [SIGN ONLY ON OFFICIAL FORM OR PATENT CENTER EQUIVALENT]</w:t>
      </w:r>
    </w:p>
    <w:p>
      <w:pPr>
        <w:pStyle w:val="ListBullet"/>
      </w:pPr>
      <w:r>
        <w:t>Date:</w:t>
      </w:r>
    </w:p>
    <w:p>
      <w:r>
        <w:t xml:space="preserve">  [INSERT]</w:t>
      </w:r>
    </w:p>
    <w:p/>
    <w:p>
      <w:pPr>
        <w:pStyle w:val="Heading2"/>
      </w:pPr>
      <w:r>
        <w:t>Micro-Entity Certification Worksheet</w:t>
      </w:r>
    </w:p>
    <w:p/>
    <w:p>
      <w:r>
        <w:t>Common form: PTO/SB/15A for gross income basis.</w:t>
      </w:r>
    </w:p>
    <w:p/>
    <w:p>
      <w:pPr>
        <w:pStyle w:val="ListBullet"/>
      </w:pPr>
      <w:r>
        <w:t>Basis:</w:t>
      </w:r>
    </w:p>
    <w:p>
      <w:r>
        <w:t xml:space="preserve">  - [ ] Gross income</w:t>
      </w:r>
    </w:p>
    <w:p>
      <w:r>
        <w:t xml:space="preserve">  - [ ] Institution of higher education</w:t>
      </w:r>
    </w:p>
    <w:p>
      <w:pPr>
        <w:pStyle w:val="ListBullet"/>
      </w:pPr>
      <w:r>
        <w:t>Small entity confirmed:</w:t>
      </w:r>
    </w:p>
    <w:p>
      <w:r>
        <w:t xml:space="preserve">  - [ ] Yes</w:t>
      </w:r>
    </w:p>
    <w:p>
      <w:pPr>
        <w:pStyle w:val="ListBullet"/>
      </w:pPr>
      <w:r>
        <w:t>Prior application limit confirmed:</w:t>
      </w:r>
    </w:p>
    <w:p>
      <w:r>
        <w:t xml:space="preserve">  - [ ] Yes</w:t>
      </w:r>
    </w:p>
    <w:p>
      <w:pPr>
        <w:pStyle w:val="ListBullet"/>
      </w:pPr>
      <w:r>
        <w:t>Income threshold confirmed:</w:t>
      </w:r>
    </w:p>
    <w:p>
      <w:r>
        <w:t xml:space="preserve">  - [ ] Yes</w:t>
      </w:r>
    </w:p>
    <w:p>
      <w:pPr>
        <w:pStyle w:val="ListBullet"/>
      </w:pPr>
      <w:r>
        <w:t>Assignment/obligation threshold confirmed:</w:t>
      </w:r>
    </w:p>
    <w:p>
      <w:r>
        <w:t xml:space="preserve">  - [ ] Yes</w:t>
      </w:r>
    </w:p>
    <w:p>
      <w:pPr>
        <w:pStyle w:val="ListBullet"/>
      </w:pPr>
      <w:r>
        <w:t>Signature:</w:t>
      </w:r>
    </w:p>
    <w:p>
      <w:r>
        <w:t xml:space="preserve">  [SIGN ONLY ON OFFICIAL FORM OR PATENT CENTER EQUIVALENT]</w:t>
      </w:r>
    </w:p>
    <w:p/>
    <w:p>
      <w:pPr>
        <w:pStyle w:val="Heading2"/>
      </w:pPr>
      <w:r>
        <w:t>Provisional Cover Sheet Worksheet</w:t>
      </w:r>
    </w:p>
    <w:p/>
    <w:p>
      <w:r>
        <w:t>Common form: PTO/SB/16 or current provisional cover sheet equivalent.</w:t>
      </w:r>
    </w:p>
    <w:p/>
    <w:p>
      <w:pPr>
        <w:pStyle w:val="ListBullet"/>
      </w:pPr>
      <w:r>
        <w:t>Title:</w:t>
      </w:r>
    </w:p>
    <w:p>
      <w:r>
        <w:t xml:space="preserve">  Hive Mind Harness for Artificial Intelligence with Governed Sparse Routing</w:t>
      </w:r>
    </w:p>
    <w:p>
      <w:pPr>
        <w:pStyle w:val="ListBullet"/>
      </w:pPr>
      <w:r>
        <w:t>Inventor:</w:t>
      </w:r>
    </w:p>
    <w:p>
      <w:r>
        <w:t xml:space="preserve">  [INSERT]</w:t>
      </w:r>
    </w:p>
    <w:p>
      <w:pPr>
        <w:pStyle w:val="ListBullet"/>
      </w:pPr>
      <w:r>
        <w:t>Correspondence address:</w:t>
      </w:r>
    </w:p>
    <w:p>
      <w:r>
        <w:t xml:space="preserve">  [INSERT]</w:t>
      </w:r>
    </w:p>
    <w:p>
      <w:pPr>
        <w:pStyle w:val="ListBullet"/>
      </w:pPr>
      <w:r>
        <w:t>Entity status:</w:t>
      </w:r>
    </w:p>
    <w:p>
      <w:r>
        <w:t xml:space="preserve">  - [ ] Micro entity</w:t>
      </w:r>
    </w:p>
    <w:p>
      <w:r>
        <w:t xml:space="preserve">  - [ ] Small entity</w:t>
      </w:r>
    </w:p>
    <w:p>
      <w:r>
        <w:t xml:space="preserve">  - [ ] Undiscounted</w:t>
      </w:r>
    </w:p>
    <w:p>
      <w:pPr>
        <w:pStyle w:val="ListBullet"/>
      </w:pPr>
      <w:r>
        <w:t>Government support:</w:t>
      </w:r>
    </w:p>
    <w:p>
      <w:r>
        <w:t xml:space="preserve">  [NONE OR INSERT]</w:t>
      </w:r>
    </w:p>
    <w:p>
      <w:pPr>
        <w:pStyle w:val="ListBullet"/>
      </w:pPr>
      <w:r>
        <w:t>Attorney docket number:</w:t>
      </w:r>
    </w:p>
    <w:p>
      <w:r>
        <w:t xml:space="preserve">  NEXUSNET-001-PROV</w:t>
      </w:r>
    </w:p>
    <w:p/>
    <w:p>
      <w:pPr>
        <w:pStyle w:val="Heading2"/>
      </w:pPr>
      <w:r>
        <w:t>Fee Transmittal / Patent Center Fee Worksheet</w:t>
      </w:r>
    </w:p>
    <w:p/>
    <w:p>
      <w:r>
        <w:t>Check the current USPTO fee schedule before paying.</w:t>
      </w:r>
    </w:p>
    <w:p/>
    <w:p>
      <w:pPr>
        <w:pStyle w:val="ListBullet"/>
      </w:pPr>
      <w:r>
        <w:t>Filing fee:</w:t>
      </w:r>
    </w:p>
    <w:p>
      <w:r>
        <w:t xml:space="preserve">  [CHECK CURRENT MICRO-ENTITY AMOUNT]</w:t>
      </w:r>
    </w:p>
    <w:p>
      <w:pPr>
        <w:pStyle w:val="ListBullet"/>
      </w:pPr>
      <w:r>
        <w:t>Search fee, if nonprovisional:</w:t>
      </w:r>
    </w:p>
    <w:p>
      <w:r>
        <w:t xml:space="preserve">  [CHECK CURRENT MICRO-ENTITY AMOUNT]</w:t>
      </w:r>
    </w:p>
    <w:p>
      <w:pPr>
        <w:pStyle w:val="ListBullet"/>
      </w:pPr>
      <w:r>
        <w:t>Examination fee, if nonprovisional:</w:t>
      </w:r>
    </w:p>
    <w:p>
      <w:r>
        <w:t xml:space="preserve">  [CHECK CURRENT MICRO-ENTITY AMOUNT]</w:t>
      </w:r>
    </w:p>
    <w:p>
      <w:pPr>
        <w:pStyle w:val="ListBullet"/>
      </w:pPr>
      <w:r>
        <w:t>Excess claims fees:</w:t>
      </w:r>
    </w:p>
    <w:p>
      <w:r>
        <w:t xml:space="preserve">  [CHECK AFTER FINAL CLAIM COUNT]</w:t>
      </w:r>
    </w:p>
    <w:p>
      <w:pPr>
        <w:pStyle w:val="ListBullet"/>
      </w:pPr>
      <w:r>
        <w:t>Application size fee:</w:t>
      </w:r>
    </w:p>
    <w:p>
      <w:r>
        <w:t xml:space="preserve">  [CHECK AFTER FINAL PAGE COUNT]</w:t>
      </w:r>
    </w:p>
    <w:p>
      <w:r>
        <w:br w:type="page"/>
      </w:r>
    </w:p>
    <w:p>
      <w:pPr>
        <w:pStyle w:val="Heading1"/>
      </w:pPr>
      <w:r>
        <w:t>NexusNet Invention Disclosure Record</w:t>
      </w:r>
    </w:p>
    <w:p/>
    <w:p>
      <w:pPr>
        <w:pStyle w:val="Heading2"/>
      </w:pPr>
      <w:r>
        <w:t>Working Title</w:t>
      </w:r>
    </w:p>
    <w:p/>
    <w:p>
      <w:r>
        <w:t>Hive Mind Harness for Artificial Intelligence with Governed Sparse Routing</w:t>
      </w:r>
    </w:p>
    <w:p/>
    <w:p>
      <w:pPr>
        <w:pStyle w:val="Heading2"/>
      </w:pPr>
      <w:r>
        <w:t>Short Description</w:t>
      </w:r>
    </w:p>
    <w:p/>
    <w:p>
      <w:r>
        <w:t>NexusNet is a brain-first artificial intelligence architecture in which a</w:t>
      </w:r>
    </w:p>
    <w:p>
      <w:r>
        <w:t>canonical neural core mediates all task execution through a modular hive of</w:t>
      </w:r>
    </w:p>
    <w:p>
      <w:r>
        <w:t>assistant orchestrators, expert capsules, memory planes, sandboxed tools,</w:t>
      </w:r>
    </w:p>
    <w:p>
      <w:r>
        <w:t>evaluators, checkpoint ledgers, and privacy-preserving federated learning</w:t>
      </w:r>
    </w:p>
    <w:p>
      <w:r>
        <w:t>hooks. The system treats operational software components as neural-harness</w:t>
      </w:r>
    </w:p>
    <w:p>
      <w:r>
        <w:t>nodes, routes typed activations through a neural bus, activates sparse</w:t>
      </w:r>
    </w:p>
    <w:p>
      <w:r>
        <w:t>experts through a cortex router, performs recurrent deliberation before</w:t>
      </w:r>
    </w:p>
    <w:p>
      <w:r>
        <w:t>action, and permits self-improvement only through sandbox, evaluation,</w:t>
      </w:r>
    </w:p>
    <w:p>
      <w:r>
        <w:t>immune/governance, and rollback gates.</w:t>
      </w:r>
    </w:p>
    <w:p/>
    <w:p>
      <w:pPr>
        <w:pStyle w:val="Heading2"/>
      </w:pPr>
      <w:r>
        <w:t>Inventive Concepts To Preserve</w:t>
      </w:r>
    </w:p>
    <w:p/>
    <w:p>
      <w:r>
        <w:t>1. A brain-mediated AI harness in which user tasks, tools, models,</w:t>
      </w:r>
    </w:p>
    <w:p>
      <w:r>
        <w:t xml:space="preserve">   providers, skill systems, and agent bridges cannot bypass a canonical</w:t>
      </w:r>
    </w:p>
    <w:p>
      <w:r>
        <w:t xml:space="preserve">   neural core.</w:t>
      </w:r>
    </w:p>
    <w:p>
      <w:r>
        <w:t>2. A software neural substrate mapping nodes, edges, weights, activations,</w:t>
      </w:r>
    </w:p>
    <w:p>
      <w:r>
        <w:t xml:space="preserve">   forward passes, recurrent loops, loss, optimization, and checkpoints to</w:t>
      </w:r>
    </w:p>
    <w:p>
      <w:r>
        <w:t xml:space="preserve">   live AI harness components.</w:t>
      </w:r>
    </w:p>
    <w:p>
      <w:r>
        <w:t>3. A sparse MoE-style router that selects assistant orchestrators, expert</w:t>
      </w:r>
    </w:p>
    <w:p>
      <w:r>
        <w:t xml:space="preserve">   capsules, Mini-NexusNets, tools, memory banks, sandboxes, providers, and</w:t>
      </w:r>
    </w:p>
    <w:p>
      <w:r>
        <w:t xml:space="preserve">   evaluators based on confidence, risk, capability, privacy, cost, latency,</w:t>
      </w:r>
    </w:p>
    <w:p>
      <w:r>
        <w:t xml:space="preserve">   and historical reliability.</w:t>
      </w:r>
    </w:p>
    <w:p>
      <w:r>
        <w:t>4. A multi-plane memory and engram layer that distinguishes canon, addenda,</w:t>
      </w:r>
    </w:p>
    <w:p>
      <w:r>
        <w:t xml:space="preserve">   traces, evidence, temporal truth, dream artifacts, training artifacts,</w:t>
      </w:r>
    </w:p>
    <w:p>
      <w:r>
        <w:t xml:space="preserve">   and federated lessons.</w:t>
      </w:r>
    </w:p>
    <w:p>
      <w:r>
        <w:t>5. A self-assimilation loop in which new candidate capabilities are</w:t>
      </w:r>
    </w:p>
    <w:p>
      <w:r>
        <w:t xml:space="preserve">   researched, source-pinned, licensed, privacy-classified, sandbox-tested,</w:t>
      </w:r>
    </w:p>
    <w:p>
      <w:r>
        <w:t xml:space="preserve">   evaluated, promoted, rejected, blocked, or side-barred.</w:t>
      </w:r>
    </w:p>
    <w:p>
      <w:r>
        <w:t>6. A checkpoint/rewind ledger requiring pre-write snapshots and rollback</w:t>
      </w:r>
    </w:p>
    <w:p>
      <w:r>
        <w:t xml:space="preserve">   metadata for system evolution.</w:t>
      </w:r>
    </w:p>
    <w:p>
      <w:r>
        <w:t>7. A federated learning plane that shares redacted route scores, expert</w:t>
      </w:r>
    </w:p>
    <w:p>
      <w:r>
        <w:t xml:space="preserve">   deltas, runtime scorecards, and evaluation summaries without raw private</w:t>
      </w:r>
    </w:p>
    <w:p>
      <w:r>
        <w:t xml:space="preserve">   data.</w:t>
      </w:r>
    </w:p>
    <w:p>
      <w:r>
        <w:t>8. A VisualOps cockpit that renders brain path traces, AO activity, expert</w:t>
      </w:r>
    </w:p>
    <w:p>
      <w:r>
        <w:t xml:space="preserve">   activation, memory use, security gates, route disagreements, training</w:t>
      </w:r>
    </w:p>
    <w:p>
      <w:r>
        <w:t xml:space="preserve">   state, federation state, and product readiness.</w:t>
      </w:r>
    </w:p>
    <w:p/>
    <w:p>
      <w:pPr>
        <w:pStyle w:val="Heading2"/>
      </w:pPr>
      <w:r>
        <w:t>Known Source Canon Inputs</w:t>
      </w:r>
    </w:p>
    <w:p/>
    <w:p>
      <w:pPr>
        <w:pStyle w:val="ListBullet"/>
      </w:pPr>
      <w:r>
        <w:t>docs/NEXUSNET_COMPLETE_CHAT_CANON_BOOK_2026-04-28.md</w:t>
      </w:r>
    </w:p>
    <w:p>
      <w:pPr>
        <w:pStyle w:val="ListBullet"/>
      </w:pPr>
      <w:r>
        <w:t>docs/NEXUSNET_CHAT_RESEARCH_CANON_2026-04-28.md</w:t>
      </w:r>
    </w:p>
    <w:p>
      <w:pPr>
        <w:pStyle w:val="ListBullet"/>
      </w:pPr>
      <w:r>
        <w:t>docs/NEXUSNET_POST_BOOK_CANON_ADDENDUM_2026-05-01.md</w:t>
      </w:r>
    </w:p>
    <w:p>
      <w:pPr>
        <w:pStyle w:val="ListBullet"/>
      </w:pPr>
      <w:r>
        <w:t>docs/superpowers/specs/2026-05-01-nexusnet-hive-neural-substrate-v0-design.md</w:t>
      </w:r>
    </w:p>
    <w:p>
      <w:pPr>
        <w:pStyle w:val="ListBullet"/>
      </w:pPr>
      <w:r>
        <w:t>nexusnet/core/brain.py</w:t>
      </w:r>
    </w:p>
    <w:p>
      <w:pPr>
        <w:pStyle w:val="ListBullet"/>
      </w:pPr>
      <w:r>
        <w:t>nexusnet/canon/realization.py</w:t>
      </w:r>
    </w:p>
    <w:p/>
    <w:p>
      <w:pPr>
        <w:pStyle w:val="Heading2"/>
      </w:pPr>
      <w:r>
        <w:t>Public Disclosure Log</w:t>
      </w:r>
    </w:p>
    <w:p/>
    <w:p>
      <w:r>
        <w:t>Complete this before filing.</w:t>
      </w:r>
    </w:p>
    <w:p/>
    <w:p>
      <w:r>
        <w:t>| Date | Disclosure type | Audience | Confidential? | Evidence/location |</w:t>
      </w:r>
    </w:p>
    <w:p>
      <w:r>
        <w:t>| --- | --- | --- | --- | --- |</w:t>
      </w:r>
    </w:p>
    <w:p>
      <w:r>
        <w:t>| [INSERT] | [GitHub, demo, chat export, video, sale, offer, pitch, etc.] | [INSERT] | [YES/NO] | [INSERT] |</w:t>
      </w:r>
    </w:p>
    <w:p/>
    <w:p>
      <w:pPr>
        <w:pStyle w:val="Heading2"/>
      </w:pPr>
      <w:r>
        <w:t>Contributor / Inventor Review</w:t>
      </w:r>
    </w:p>
    <w:p/>
    <w:p>
      <w:r>
        <w:t>List every person who contributed to the claimed technical concepts, not</w:t>
      </w:r>
    </w:p>
    <w:p>
      <w:r>
        <w:t>merely people who followed instructions or did ordinary implementation.</w:t>
      </w:r>
    </w:p>
    <w:p/>
    <w:p>
      <w:r>
        <w:t>| Person | Contribution | Claimed concept affected | Employment/contract status | Assignment status |</w:t>
      </w:r>
    </w:p>
    <w:p>
      <w:r>
        <w:t>| --- | --- | --- | --- | --- |</w:t>
      </w:r>
    </w:p>
    <w:p>
      <w:r>
        <w:t>| [INSERT] | [INSERT] | [INSERT] | [INSERT] | [INSERT] |</w:t>
      </w:r>
    </w:p>
    <w:p/>
    <w:p>
      <w:pPr>
        <w:pStyle w:val="Heading2"/>
      </w:pPr>
      <w:r>
        <w:t>Ownership Review</w:t>
      </w:r>
    </w:p>
    <w:p/>
    <w:p>
      <w:pPr>
        <w:pStyle w:val="ListBullet"/>
      </w:pPr>
      <w:r>
        <w:t>Employer rights:</w:t>
      </w:r>
    </w:p>
    <w:p>
      <w:pPr>
        <w:pStyle w:val="ListBullet"/>
      </w:pPr>
      <w:r>
        <w:t>Contractor rights:</w:t>
      </w:r>
    </w:p>
    <w:p>
      <w:pPr>
        <w:pStyle w:val="ListBullet"/>
      </w:pPr>
      <w:r>
        <w:t>Investor rights:</w:t>
      </w:r>
    </w:p>
    <w:p>
      <w:pPr>
        <w:pStyle w:val="ListBullet"/>
      </w:pPr>
      <w:r>
        <w:t>Open-source dependency constraints:</w:t>
      </w:r>
    </w:p>
    <w:p>
      <w:pPr>
        <w:pStyle w:val="ListBullet"/>
      </w:pPr>
      <w:r>
        <w:t>Prior assignment obligations:</w:t>
      </w:r>
    </w:p>
    <w:p>
      <w:pPr>
        <w:pStyle w:val="ListBullet"/>
      </w:pPr>
      <w:r>
        <w:t>Government funding:</w:t>
      </w:r>
    </w:p>
    <w:p/>
    <w:p>
      <w:pPr>
        <w:pStyle w:val="Heading2"/>
      </w:pPr>
      <w:r>
        <w:t>Commercial Use / Sale Review</w:t>
      </w:r>
    </w:p>
    <w:p/>
    <w:p>
      <w:pPr>
        <w:pStyle w:val="ListBullet"/>
      </w:pPr>
      <w:r>
        <w:t>Has the invention been offered for sale?</w:t>
      </w:r>
    </w:p>
    <w:p>
      <w:pPr>
        <w:pStyle w:val="ListBullet"/>
      </w:pPr>
      <w:r>
        <w:t>Has a buyer received a build or executable?</w:t>
      </w:r>
    </w:p>
    <w:p>
      <w:pPr>
        <w:pStyle w:val="ListBullet"/>
      </w:pPr>
      <w:r>
        <w:t>Has a public repository contained enabling details?</w:t>
      </w:r>
    </w:p>
    <w:p>
      <w:pPr>
        <w:pStyle w:val="ListBullet"/>
      </w:pPr>
      <w:r>
        <w:t>Has any private disclosure lacked an NDA?</w:t>
      </w:r>
    </w:p>
    <w:p>
      <w:r>
        <w:br w:type="page"/>
      </w:r>
    </w:p>
    <w:p>
      <w:pPr>
        <w:pStyle w:val="Heading1"/>
      </w:pPr>
      <w:r>
        <w:t>Prior Art And Differentiator Worksheet</w:t>
      </w:r>
    </w:p>
    <w:p/>
    <w:p>
      <w:r>
        <w:t>This worksheet helps you organize known references for duty-of-disclosure</w:t>
      </w:r>
    </w:p>
    <w:p>
      <w:r>
        <w:t>review and claim differentiation. It is not a legal patentability opinion.</w:t>
      </w:r>
    </w:p>
    <w:p/>
    <w:p>
      <w:pPr>
        <w:pStyle w:val="Heading2"/>
      </w:pPr>
      <w:r>
        <w:t>Known Categories To Search</w:t>
      </w:r>
    </w:p>
    <w:p/>
    <w:p>
      <w:pPr>
        <w:pStyle w:val="ListBullet"/>
      </w:pPr>
      <w:r>
        <w:t>Multi-agent orchestration frameworks.</w:t>
      </w:r>
    </w:p>
    <w:p>
      <w:pPr>
        <w:pStyle w:val="ListBullet"/>
      </w:pPr>
      <w:r>
        <w:t>RAG and memory operating systems.</w:t>
      </w:r>
    </w:p>
    <w:p>
      <w:pPr>
        <w:pStyle w:val="ListBullet"/>
      </w:pPr>
      <w:r>
        <w:t>Mixture-of-experts routing.</w:t>
      </w:r>
    </w:p>
    <w:p>
      <w:pPr>
        <w:pStyle w:val="ListBullet"/>
      </w:pPr>
      <w:r>
        <w:t>Autonomous coding-agent sandboxes.</w:t>
      </w:r>
    </w:p>
    <w:p>
      <w:pPr>
        <w:pStyle w:val="ListBullet"/>
      </w:pPr>
      <w:r>
        <w:t>AI tool permission systems.</w:t>
      </w:r>
    </w:p>
    <w:p>
      <w:pPr>
        <w:pStyle w:val="ListBullet"/>
      </w:pPr>
      <w:r>
        <w:t>Federated learning systems.</w:t>
      </w:r>
    </w:p>
    <w:p>
      <w:pPr>
        <w:pStyle w:val="ListBullet"/>
      </w:pPr>
      <w:r>
        <w:t>AI eval and trace frameworks.</w:t>
      </w:r>
    </w:p>
    <w:p>
      <w:pPr>
        <w:pStyle w:val="ListBullet"/>
      </w:pPr>
      <w:r>
        <w:t>Agent UI/control panels.</w:t>
      </w:r>
    </w:p>
    <w:p>
      <w:pPr>
        <w:pStyle w:val="ListBullet"/>
      </w:pPr>
      <w:r>
        <w:t>Model self-improvement and curriculum systems.</w:t>
      </w:r>
    </w:p>
    <w:p/>
    <w:p>
      <w:pPr>
        <w:pStyle w:val="Heading2"/>
      </w:pPr>
      <w:r>
        <w:t>Differentiator Map</w:t>
      </w:r>
    </w:p>
    <w:p/>
    <w:p>
      <w:r>
        <w:t>| Conventional approach | NexusNet differentiator |</w:t>
      </w:r>
    </w:p>
    <w:p>
      <w:r>
        <w:t>| --- | --- |</w:t>
      </w:r>
    </w:p>
    <w:p>
      <w:r>
        <w:t>| Chatbot or wrapper forwards prompts to a model | Brain-mediated path with no-bypass policy, route trace, memory, critique, and output metadata |</w:t>
      </w:r>
    </w:p>
    <w:p>
      <w:r>
        <w:t>| RAG adds documents to prompt context | Multi-plane memory with provenance, canon/addendum status, temporal truth, and promotion gates |</w:t>
      </w:r>
    </w:p>
    <w:p>
      <w:r>
        <w:t>| Multi-agent framework delegates tasks | Neural-harness substrate maps agents/tools/models/memory to nodes, edges, weights, activations, recurrent loops, loss, and optimization |</w:t>
      </w:r>
    </w:p>
    <w:p>
      <w:r>
        <w:t>| Coding agent uses broad permissions | Sandboxed planner/implementer/reviewer/merger lanes with checkpoint, policy, tests, and rollback |</w:t>
      </w:r>
    </w:p>
    <w:p>
      <w:r>
        <w:t>| MoE model routes tokens among experts | Harness-level sparse routing activates AOs, expert capsules, tools, memory, models, sandboxes, and evaluators |</w:t>
      </w:r>
    </w:p>
    <w:p>
      <w:r>
        <w:t>| Self-improvement installs updates | Source-pinned candidate assimilation with license, privacy, sandbox, eval, immune, curator, and sidebar outcomes |</w:t>
      </w:r>
    </w:p>
    <w:p>
      <w:r>
        <w:t>| Federated learning shares model updates | Redacted route/expert/eval/runtime deltas with consent and no raw private data |</w:t>
      </w:r>
    </w:p>
    <w:p>
      <w:r>
        <w:t>| Dashboard shows status | VisualOps renders brain path, expert activations, memory operations, gates, disagreements, traces, and readiness |</w:t>
      </w:r>
    </w:p>
    <w:p/>
    <w:p>
      <w:pPr>
        <w:pStyle w:val="Heading2"/>
      </w:pPr>
      <w:r>
        <w:t>References To Consider For IDS Review</w:t>
      </w:r>
    </w:p>
    <w:p/>
    <w:p>
      <w:r>
        <w:t>Add exact publications, repositories, products, videos, papers, and dates.</w:t>
      </w:r>
    </w:p>
    <w:p/>
    <w:p>
      <w:r>
        <w:t>| Ref. no. | Reference | Date | Why material? | Submitted in IDS? |</w:t>
      </w:r>
    </w:p>
    <w:p>
      <w:r>
        <w:t>| --- | --- | --- | --- | --- |</w:t>
      </w:r>
    </w:p>
    <w:p>
      <w:r>
        <w:t>| R1 | [INSERT] | [INSERT] | [INSERT] | [YES/NO] |</w:t>
      </w:r>
    </w:p>
    <w:p>
      <w:r>
        <w:br w:type="page"/>
      </w:r>
    </w:p>
    <w:p>
      <w:pPr>
        <w:pStyle w:val="Heading1"/>
      </w:pPr>
      <w:r>
        <w:t>Filing Checklist And Patent Center Steps</w:t>
      </w:r>
    </w:p>
    <w:p/>
    <w:p>
      <w:pPr>
        <w:pStyle w:val="Heading2"/>
      </w:pPr>
      <w:r>
        <w:t>Decide Filing Type</w:t>
      </w:r>
    </w:p>
    <w:p/>
    <w:p>
      <w:pPr>
        <w:pStyle w:val="Heading3"/>
      </w:pPr>
      <w:r>
        <w:t>Option 1: Provisional First</w:t>
      </w:r>
    </w:p>
    <w:p/>
    <w:p>
      <w:r>
        <w:t>Use when you want a lower-cost priority placeholder while continuing to</w:t>
      </w:r>
    </w:p>
    <w:p>
      <w:r>
        <w:t>refine claims. A provisional does not issue as a patent and must be followed</w:t>
      </w:r>
    </w:p>
    <w:p>
      <w:r>
        <w:t>by a nonprovisional within the applicable deadline to benefit from the</w:t>
      </w:r>
    </w:p>
    <w:p>
      <w:r>
        <w:t>provisional filing date.</w:t>
      </w:r>
    </w:p>
    <w:p/>
    <w:p>
      <w:r>
        <w:t>Packet materials to use:</w:t>
      </w:r>
    </w:p>
    <w:p>
      <w:pPr>
        <w:pStyle w:val="ListBullet"/>
      </w:pPr>
      <w:r>
        <w:t>`03_INVENTION_DISCLOSURE_RECORD.md`</w:t>
      </w:r>
    </w:p>
    <w:p>
      <w:pPr>
        <w:pStyle w:val="ListBullet"/>
      </w:pPr>
      <w:r>
        <w:t>`04_NONPROVISIONAL_SPECIFICATION_DRAFT.md` converted into provisional</w:t>
      </w:r>
    </w:p>
    <w:p>
      <w:r>
        <w:t xml:space="preserve">  disclosure form if desired</w:t>
      </w:r>
    </w:p>
    <w:p>
      <w:pPr>
        <w:pStyle w:val="ListBullet"/>
      </w:pPr>
      <w:r>
        <w:t>`drawings/NEXUSNET_PATENT_DRAWINGS.pdf`</w:t>
      </w:r>
    </w:p>
    <w:p>
      <w:pPr>
        <w:pStyle w:val="ListBullet"/>
      </w:pPr>
      <w:r>
        <w:t>Official provisional cover sheet</w:t>
      </w:r>
    </w:p>
    <w:p>
      <w:pPr>
        <w:pStyle w:val="ListBullet"/>
      </w:pPr>
      <w:r>
        <w:t>Micro-entity certification if applicable</w:t>
      </w:r>
    </w:p>
    <w:p>
      <w:pPr>
        <w:pStyle w:val="ListBullet"/>
      </w:pPr>
      <w:r>
        <w:t>Current provisional filing fee</w:t>
      </w:r>
    </w:p>
    <w:p/>
    <w:p>
      <w:pPr>
        <w:pStyle w:val="Heading3"/>
      </w:pPr>
      <w:r>
        <w:t>Option 2: Nonprovisional Utility Now</w:t>
      </w:r>
    </w:p>
    <w:p/>
    <w:p>
      <w:r>
        <w:t>Use when you are ready to file claims and begin examination.</w:t>
      </w:r>
    </w:p>
    <w:p/>
    <w:p>
      <w:r>
        <w:t>Packet materials to use:</w:t>
      </w:r>
    </w:p>
    <w:p>
      <w:pPr>
        <w:pStyle w:val="ListBullet"/>
      </w:pPr>
      <w:r>
        <w:t>`docx/NEXUSNET_UTILITY_SPECIFICATION_CLAIMS_ABSTRACT_DRAFT.docx`</w:t>
      </w:r>
    </w:p>
    <w:p>
      <w:pPr>
        <w:pStyle w:val="ListBullet"/>
      </w:pPr>
      <w:r>
        <w:t>`drawings/NEXUSNET_PATENT_DRAWINGS.pdf`</w:t>
      </w:r>
    </w:p>
    <w:p>
      <w:pPr>
        <w:pStyle w:val="ListBullet"/>
      </w:pPr>
      <w:r>
        <w:t>Official Application Data Sheet</w:t>
      </w:r>
    </w:p>
    <w:p>
      <w:pPr>
        <w:pStyle w:val="ListBullet"/>
      </w:pPr>
      <w:r>
        <w:t>Official inventor declaration/oath or later declaration strategy</w:t>
      </w:r>
    </w:p>
    <w:p>
      <w:pPr>
        <w:pStyle w:val="ListBullet"/>
      </w:pPr>
      <w:r>
        <w:t>Official micro-entity certification if applicable</w:t>
      </w:r>
    </w:p>
    <w:p>
      <w:pPr>
        <w:pStyle w:val="ListBullet"/>
      </w:pPr>
      <w:r>
        <w:t>Current filing, search, and examination fees</w:t>
      </w:r>
    </w:p>
    <w:p/>
    <w:p>
      <w:pPr>
        <w:pStyle w:val="Heading2"/>
      </w:pPr>
      <w:r>
        <w:t>Patent Center Steps</w:t>
      </w:r>
    </w:p>
    <w:p/>
    <w:p>
      <w:r>
        <w:t>1. Create or sign into a USPTO account.</w:t>
      </w:r>
    </w:p>
    <w:p>
      <w:r>
        <w:t>2. Open Patent Center.</w:t>
      </w:r>
    </w:p>
    <w:p>
      <w:r>
        <w:t>3. Start a new utility or provisional application.</w:t>
      </w:r>
    </w:p>
    <w:p>
      <w:r>
        <w:t>4. Enter bibliographic data from `02_USPTO_FORM_FIELD_WORKSHEETS.md`.</w:t>
      </w:r>
    </w:p>
    <w:p>
      <w:r>
        <w:t>5. Upload DOCX specification/claims/abstract material if filing</w:t>
      </w:r>
    </w:p>
    <w:p>
      <w:r>
        <w:t xml:space="preserve">   nonprovisional.</w:t>
      </w:r>
    </w:p>
    <w:p>
      <w:r>
        <w:t>6. Upload drawings PDF.</w:t>
      </w:r>
    </w:p>
    <w:p>
      <w:r>
        <w:t>7. Attach official ADS, declaration, micro-entity certification, and any</w:t>
      </w:r>
    </w:p>
    <w:p>
      <w:r>
        <w:t xml:space="preserve">   other required forms.</w:t>
      </w:r>
    </w:p>
    <w:p>
      <w:r>
        <w:t>8. Review validation warnings carefully.</w:t>
      </w:r>
    </w:p>
    <w:p>
      <w:r>
        <w:t>9. Pay fees using current micro-entity amounts only if eligibility is</w:t>
      </w:r>
    </w:p>
    <w:p>
      <w:r>
        <w:t xml:space="preserve">   confirmed.</w:t>
      </w:r>
    </w:p>
    <w:p>
      <w:r>
        <w:t>10. Save the electronic acknowledgement receipt, application number,</w:t>
      </w:r>
    </w:p>
    <w:p>
      <w:r>
        <w:t>confirmation number, and filing date into this packet.</w:t>
      </w:r>
    </w:p>
    <w:p/>
    <w:p>
      <w:pPr>
        <w:pStyle w:val="Heading2"/>
      </w:pPr>
      <w:r>
        <w:t>Post-Filing Docket</w:t>
      </w:r>
    </w:p>
    <w:p/>
    <w:p>
      <w:pPr>
        <w:pStyle w:val="ListBullet"/>
      </w:pPr>
      <w:r>
        <w:t>Filing date:</w:t>
      </w:r>
    </w:p>
    <w:p>
      <w:pPr>
        <w:pStyle w:val="ListBullet"/>
      </w:pPr>
      <w:r>
        <w:t>Application number:</w:t>
      </w:r>
    </w:p>
    <w:p>
      <w:pPr>
        <w:pStyle w:val="ListBullet"/>
      </w:pPr>
      <w:r>
        <w:t>Confirmation number:</w:t>
      </w:r>
    </w:p>
    <w:p>
      <w:pPr>
        <w:pStyle w:val="ListBullet"/>
      </w:pPr>
      <w:r>
        <w:t>Customer number, if any:</w:t>
      </w:r>
    </w:p>
    <w:p>
      <w:pPr>
        <w:pStyle w:val="ListBullet"/>
      </w:pPr>
      <w:r>
        <w:t>Entity status claimed:</w:t>
      </w:r>
    </w:p>
    <w:p>
      <w:pPr>
        <w:pStyle w:val="ListBullet"/>
      </w:pPr>
      <w:r>
        <w:t>Nonprovisional deadline if provisional:</w:t>
      </w:r>
    </w:p>
    <w:p>
      <w:pPr>
        <w:pStyle w:val="ListBullet"/>
      </w:pPr>
      <w:r>
        <w:t>First Office action deadline:</w:t>
      </w:r>
    </w:p>
    <w:p>
      <w:pPr>
        <w:pStyle w:val="ListBullet"/>
      </w:pPr>
      <w:r>
        <w:t>IDS deadline review:</w:t>
      </w:r>
    </w:p>
    <w:p>
      <w:r>
        <w:br w:type="page"/>
      </w:r>
    </w:p>
    <w:p>
      <w:pPr>
        <w:pStyle w:val="Heading1"/>
      </w:pPr>
      <w:r>
        <w:t>Information Disclosure Statement Worksheet</w:t>
      </w:r>
    </w:p>
    <w:p/>
    <w:p>
      <w:r>
        <w:t>This is a worksheet only. If filing an IDS, use current official USPTO IDS</w:t>
      </w:r>
    </w:p>
    <w:p>
      <w:r>
        <w:t>forms and rules. A duty of disclosure can apply to information material to</w:t>
      </w:r>
    </w:p>
    <w:p>
      <w:r>
        <w:t>patentability.</w:t>
      </w:r>
    </w:p>
    <w:p/>
    <w:p>
      <w:pPr>
        <w:pStyle w:val="Heading2"/>
      </w:pPr>
      <w:r>
        <w:t>Known Technical References</w:t>
      </w:r>
    </w:p>
    <w:p/>
    <w:p>
      <w:r>
        <w:t>| No. | Reference | Type | Date | Material point | Include? |</w:t>
      </w:r>
    </w:p>
    <w:p>
      <w:r>
        <w:t>| --- | --- | --- | --- | --- | --- |</w:t>
      </w:r>
    </w:p>
    <w:p>
      <w:r>
        <w:t>| 1 | Attention Is All You Need | Paper | 2017 | Transformer attention and feed-forward architecture | [REVIEW] |</w:t>
      </w:r>
    </w:p>
    <w:p>
      <w:r>
        <w:t>| 2 | Sparsely-Gated Mixture-of-Experts | Paper | 2017 | Sparse expert activation | [REVIEW] |</w:t>
      </w:r>
    </w:p>
    <w:p>
      <w:r>
        <w:t>| 3 | Switch Transformer / GShard | Paper | 2020-2021 | Large sparse model routing | [REVIEW] |</w:t>
      </w:r>
    </w:p>
    <w:p>
      <w:r>
        <w:t>| 4 | Message Passing Neural Networks | Paper | 2017 | Graph message passing | [REVIEW] |</w:t>
      </w:r>
    </w:p>
    <w:p>
      <w:r>
        <w:t>| 5 | Graph Attention Networks | Paper | 2017 | Attention over graph neighbors | [REVIEW] |</w:t>
      </w:r>
    </w:p>
    <w:p>
      <w:r>
        <w:t>| 6 | Differentiable Neural Computers | Paper/blog | 2016 | External memory controller | [REVIEW] |</w:t>
      </w:r>
    </w:p>
    <w:p>
      <w:r>
        <w:t>| 7 | Retrieval-Augmented Generation | Paper | 2020 | Retrieval-supported generation | [REVIEW] |</w:t>
      </w:r>
    </w:p>
    <w:p>
      <w:r>
        <w:t>| 8 | Federated Averaging | Paper | 2017 | Privacy-preserving distributed learning | [REVIEW] |</w:t>
      </w:r>
    </w:p>
    <w:p>
      <w:r>
        <w:t>| 9 | Sandcastle-style sandbox coding agents | Repository/product | 2026 | Isolated agent execution pattern | [REVIEW] |</w:t>
      </w:r>
    </w:p>
    <w:p>
      <w:r>
        <w:t>| 10 | Agent skill systems / Claude Code skills | Product docs/videos | 2026 | Composable skill workflows | [REVIEW] |</w:t>
      </w:r>
    </w:p>
    <w:p/>
    <w:p>
      <w:pPr>
        <w:pStyle w:val="Heading2"/>
      </w:pPr>
      <w:r>
        <w:t>Product/Repository References</w:t>
      </w:r>
    </w:p>
    <w:p/>
    <w:p>
      <w:r>
        <w:t>| No. | Product/repo | URL | Date reviewed | Potential relevance |</w:t>
      </w:r>
    </w:p>
    <w:p>
      <w:r>
        <w:t>| --- | --- | --- | --- | --- |</w:t>
      </w:r>
    </w:p>
    <w:p>
      <w:r>
        <w:t>| P1 | [INSERT] | [INSERT] | [INSERT] | [INSERT] |</w:t>
      </w:r>
    </w:p>
    <w:p/>
    <w:p>
      <w:pPr>
        <w:pStyle w:val="Heading2"/>
      </w:pPr>
      <w:r>
        <w:t>Disclosure Decision Notes</w:t>
      </w:r>
    </w:p>
    <w:p/>
    <w:p>
      <w:r>
        <w:t>Record why each reference is or is not included in a formal IDS.</w:t>
      </w:r>
    </w:p>
    <w:p>
      <w:r>
        <w:br w:type="page"/>
      </w:r>
    </w:p>
    <w:p>
      <w:pPr>
        <w:pStyle w:val="Heading1"/>
      </w:pPr>
      <w:r>
        <w:t>Source Canon To Claim Support Chart</w:t>
      </w:r>
    </w:p>
    <w:p/>
    <w:p>
      <w:r>
        <w:t>Use this chart to check whether each proposed claim element is supported by</w:t>
      </w:r>
    </w:p>
    <w:p>
      <w:r>
        <w:t>the NexusNet source record before filing. This is not a patentability</w:t>
      </w:r>
    </w:p>
    <w:p>
      <w:r>
        <w:t>opinion. It is a written-description and drafting-support aid.</w:t>
      </w:r>
    </w:p>
    <w:p/>
    <w:p>
      <w:pPr>
        <w:pStyle w:val="Heading2"/>
      </w:pPr>
      <w:r>
        <w:t>Source Records</w:t>
      </w:r>
    </w:p>
    <w:p/>
    <w:p>
      <w:pPr>
        <w:pStyle w:val="ListBullet"/>
      </w:pPr>
      <w:r>
        <w:t>S1: `docs/NEXUSNET_COMPLETE_CHAT_CANON_BOOK_2026-04-28.md`</w:t>
      </w:r>
    </w:p>
    <w:p>
      <w:pPr>
        <w:pStyle w:val="ListBullet"/>
      </w:pPr>
      <w:r>
        <w:t>S2: `docs/NEXUSNET_CHAT_RESEARCH_CANON_2026-04-28.md`</w:t>
      </w:r>
    </w:p>
    <w:p>
      <w:pPr>
        <w:pStyle w:val="ListBullet"/>
      </w:pPr>
      <w:r>
        <w:t>S3: `docs/NEXUSNET_POST_BOOK_CANON_ADDENDUM_2026-05-01.md`</w:t>
      </w:r>
    </w:p>
    <w:p>
      <w:pPr>
        <w:pStyle w:val="ListBullet"/>
      </w:pPr>
      <w:r>
        <w:t>S4: `docs/superpowers/specs/2026-05-01-nexusnet-hive-neural-substrate-v0-design.md`</w:t>
      </w:r>
    </w:p>
    <w:p>
      <w:pPr>
        <w:pStyle w:val="ListBullet"/>
      </w:pPr>
      <w:r>
        <w:t>S5: `nexusnet/core/brain.py`</w:t>
      </w:r>
    </w:p>
    <w:p>
      <w:pPr>
        <w:pStyle w:val="ListBullet"/>
      </w:pPr>
      <w:r>
        <w:t>S6: `nexusnet/canon/realization.py`</w:t>
      </w:r>
    </w:p>
    <w:p/>
    <w:p>
      <w:pPr>
        <w:pStyle w:val="Heading2"/>
      </w:pPr>
      <w:r>
        <w:t>Claim Element Support</w:t>
      </w:r>
    </w:p>
    <w:p/>
    <w:p>
      <w:r>
        <w:t>| Claim element | Draft claim refs | Primary support | Notes to verify |</w:t>
      </w:r>
    </w:p>
    <w:p>
      <w:r>
        <w:t>| --- | --- | --- | --- |</w:t>
      </w:r>
    </w:p>
    <w:p>
      <w:r>
        <w:t>| Brain-mediated neural core service | 1, 14, 15, 23 | S1, S2, S5, S6 | Confirm every user-facing path is intended to route through NexusBrain or equivalent. |</w:t>
      </w:r>
    </w:p>
    <w:p>
      <w:r>
        <w:t>| Hive node registry | 1, 2, 23 | S2, S3, S4, S6 | Confirm final registry fields and expert/AO node taxonomy. |</w:t>
      </w:r>
    </w:p>
    <w:p>
      <w:r>
        <w:t>| Neural bus carrying typed activations | 1, 3, 15, 23 | S2, S4 | Confirm v0 data contract names. |</w:t>
      </w:r>
    </w:p>
    <w:p>
      <w:r>
        <w:t>| Sparse cortex router / MoE-style selection | 1, 6, 15, 23 | S1, S2, S4, S6 | Confirm selected scoring dimensions. |</w:t>
      </w:r>
    </w:p>
    <w:p>
      <w:r>
        <w:t>| Multi-plane memory / engram layer | 1, 5, 15, 23 | S1, S2, S4 | Confirm memory plane taxonomy and provenance/status labels. |</w:t>
      </w:r>
    </w:p>
    <w:p>
      <w:r>
        <w:t>| Recurrent deliberation loop and exit gates | 1, 4, 15, 23 | S3, S4 | Confirm loop metadata and exit gate fields. |</w:t>
      </w:r>
    </w:p>
    <w:p>
      <w:r>
        <w:t>| Immune/governance kernel | 1, 10, 13, 15, 23 | S2, S3, S4 | Confirm no-bypass policy and write gates. |</w:t>
      </w:r>
    </w:p>
    <w:p>
      <w:r>
        <w:t>| Checkpoint/rewind ledger | 1, 11, 15, 23 | S3, S4 | Confirm pre-write snapshot and rollback metadata. |</w:t>
      </w:r>
    </w:p>
    <w:p>
      <w:r>
        <w:t>| Skill-system orchestrator | 8, 19 | S3, S4 | Confirm focused skills plus orchestrator, not mega-skill pattern. |</w:t>
      </w:r>
    </w:p>
    <w:p>
      <w:r>
        <w:t>| Sandbox agent factory | 9 | S3, S4 | Confirm planner/implementer/reviewer/merger lane evidence. |</w:t>
      </w:r>
    </w:p>
    <w:p>
      <w:r>
        <w:t>| Candidate assimilation and sidebar | 10, 16, 24 | S2, S3, S4 | Confirm sandbox/eval/promotion/rejection ledger states. |</w:t>
      </w:r>
    </w:p>
    <w:p>
      <w:r>
        <w:t>| Federated learning plane | 12, 20, 25 | S1, S2, S3, S4 | Confirm privacy boundary and redacted delta types. |</w:t>
      </w:r>
    </w:p>
    <w:p>
      <w:r>
        <w:t>| VisualOps cockpit | 7, 18 | S1, S2, S4 | Confirm live surfaces and missing telemetry behavior. |</w:t>
      </w:r>
    </w:p>
    <w:p>
      <w:r>
        <w:t>| Native MoE evolution path | 25 | S1, S2, S3, S4 | Confirm this is future growth path, not current implementation claim. |</w:t>
      </w:r>
    </w:p>
    <w:p/>
    <w:p>
      <w:pPr>
        <w:pStyle w:val="Heading2"/>
      </w:pPr>
      <w:r>
        <w:t>Filing Review Notes</w:t>
      </w:r>
    </w:p>
    <w:p/>
    <w:p>
      <w:pPr>
        <w:pStyle w:val="ListBullet"/>
      </w:pPr>
      <w:r>
        <w:t>Remove or narrow any claim element that cannot be enabled in the</w:t>
      </w:r>
    </w:p>
    <w:p>
      <w:r>
        <w:t xml:space="preserve">  specification.</w:t>
      </w:r>
    </w:p>
    <w:p>
      <w:pPr>
        <w:pStyle w:val="ListBullet"/>
      </w:pPr>
      <w:r>
        <w:t>Avoid claiming only a result, such as "self-improves," without concrete</w:t>
      </w:r>
    </w:p>
    <w:p>
      <w:r>
        <w:t xml:space="preserve">  data structures, routing steps, gates, and ledgers.</w:t>
      </w:r>
    </w:p>
    <w:p>
      <w:pPr>
        <w:pStyle w:val="ListBullet"/>
      </w:pPr>
      <w:r>
        <w:t>Separate implemented features from planned embodiments when discussing</w:t>
      </w:r>
    </w:p>
    <w:p>
      <w:r>
        <w:t xml:space="preserve">  commercial readiness.</w:t>
      </w:r>
    </w:p>
    <w:p>
      <w:r>
        <w:br w:type="page"/>
      </w:r>
    </w:p>
    <w:p>
      <w:pPr>
        <w:pStyle w:val="Heading1"/>
      </w:pPr>
      <w:r>
        <w:t>Provisional Application Disclosure Draft</w:t>
      </w:r>
    </w:p>
    <w:p/>
    <w:p>
      <w:r>
        <w:t>This document is a shorter provisional-style disclosure assembled from the</w:t>
      </w:r>
    </w:p>
    <w:p>
      <w:r>
        <w:t>nonprovisional draft. A provisional application can be useful when you want</w:t>
      </w:r>
    </w:p>
    <w:p>
      <w:r>
        <w:t>an earlier filing date while continuing to refine claims, drawings, and</w:t>
      </w:r>
    </w:p>
    <w:p>
      <w:r>
        <w:t>implementation details. A provisional does not become a patent by itself.</w:t>
      </w:r>
    </w:p>
    <w:p/>
    <w:p>
      <w:pPr>
        <w:pStyle w:val="Heading2"/>
      </w:pPr>
      <w:r>
        <w:t>Title</w:t>
      </w:r>
    </w:p>
    <w:p/>
    <w:p>
      <w:r>
        <w:t>Hive Mind Harness for Artificial Intelligence with Governed Sparse Routing</w:t>
      </w:r>
    </w:p>
    <w:p/>
    <w:p>
      <w:pPr>
        <w:pStyle w:val="Heading2"/>
      </w:pPr>
      <w:r>
        <w:t>Inventor</w:t>
      </w:r>
    </w:p>
    <w:p/>
    <w:p>
      <w:r>
        <w:t>[INSERT FULL LEGAL NAME]</w:t>
      </w:r>
    </w:p>
    <w:p/>
    <w:p>
      <w:pPr>
        <w:pStyle w:val="Heading2"/>
      </w:pPr>
      <w:r>
        <w:t>Technical Field</w:t>
      </w:r>
    </w:p>
    <w:p/>
    <w:p>
      <w:r>
        <w:t>Artificial intelligence harnesses, multi-agent orchestration, model routing,</w:t>
      </w:r>
    </w:p>
    <w:p>
      <w:r>
        <w:t>memory-augmented computing, sandboxed autonomous software updates,</w:t>
      </w:r>
    </w:p>
    <w:p>
      <w:r>
        <w:t>federated learning, and AI control-panel systems.</w:t>
      </w:r>
    </w:p>
    <w:p/>
    <w:p>
      <w:pPr>
        <w:pStyle w:val="Heading2"/>
      </w:pPr>
      <w:r>
        <w:t>Problem</w:t>
      </w:r>
    </w:p>
    <w:p/>
    <w:p>
      <w:r>
        <w:t>AI applications commonly combine model providers, retrieval, tools, agents,</w:t>
      </w:r>
    </w:p>
    <w:p>
      <w:r>
        <w:t>and dashboards without a unified technical substrate that governs routing,</w:t>
      </w:r>
    </w:p>
    <w:p>
      <w:r>
        <w:t>memory, permissions, self-improvement, rollback, evaluation, and operator</w:t>
      </w:r>
    </w:p>
    <w:p>
      <w:r>
        <w:t>visibility. Such systems can be difficult to audit and can permit unsafe or</w:t>
      </w:r>
    </w:p>
    <w:p>
      <w:r>
        <w:t>poorly evidenced changes.</w:t>
      </w:r>
    </w:p>
    <w:p/>
    <w:p>
      <w:pPr>
        <w:pStyle w:val="Heading2"/>
      </w:pPr>
      <w:r>
        <w:t>Proposed Solution</w:t>
      </w:r>
    </w:p>
    <w:p/>
    <w:p>
      <w:r>
        <w:t>NexusNet provides a brain-first neural network harness. A canonical neural</w:t>
      </w:r>
    </w:p>
    <w:p>
      <w:r>
        <w:t>core receives or mediates tasks, creates typed hive activations, retrieves</w:t>
      </w:r>
    </w:p>
    <w:p>
      <w:r>
        <w:t>provenance-labeled memory, routes activations through a neural bus, selects</w:t>
      </w:r>
    </w:p>
    <w:p>
      <w:r>
        <w:t>sparse assistant orchestrators and expert capsules through a cortex router,</w:t>
      </w:r>
    </w:p>
    <w:p>
      <w:r>
        <w:t>performs recurrent deliberation, applies immune/governance gates, records</w:t>
      </w:r>
    </w:p>
    <w:p>
      <w:r>
        <w:t>checkpoint and rewind metadata, and emits outputs only after required gates</w:t>
      </w:r>
    </w:p>
    <w:p>
      <w:r>
        <w:t>pass.</w:t>
      </w:r>
    </w:p>
    <w:p/>
    <w:p>
      <w:pPr>
        <w:pStyle w:val="Heading2"/>
      </w:pPr>
      <w:r>
        <w:t>Main Components</w:t>
      </w:r>
    </w:p>
    <w:p/>
    <w:p>
      <w:pPr>
        <w:pStyle w:val="ListBullet"/>
      </w:pPr>
      <w:r>
        <w:t>Neural core / NexusBrain.</w:t>
      </w:r>
    </w:p>
    <w:p>
      <w:pPr>
        <w:pStyle w:val="ListBullet"/>
      </w:pPr>
      <w:r>
        <w:t>Assistant orchestrator hive.</w:t>
      </w:r>
    </w:p>
    <w:p>
      <w:pPr>
        <w:pStyle w:val="ListBullet"/>
      </w:pPr>
      <w:r>
        <w:t>Expert capsule hive and Mini-NexusNets.</w:t>
      </w:r>
    </w:p>
    <w:p>
      <w:pPr>
        <w:pStyle w:val="ListBullet"/>
      </w:pPr>
      <w:r>
        <w:t>Neural bus and HiveBlackboard.</w:t>
      </w:r>
    </w:p>
    <w:p>
      <w:pPr>
        <w:pStyle w:val="ListBullet"/>
      </w:pPr>
      <w:r>
        <w:t>Cortex router with sparse MoE-style node selection.</w:t>
      </w:r>
    </w:p>
    <w:p>
      <w:pPr>
        <w:pStyle w:val="ListBullet"/>
      </w:pPr>
      <w:r>
        <w:t>Multi-plane memory and engram layer.</w:t>
      </w:r>
    </w:p>
    <w:p>
      <w:pPr>
        <w:pStyle w:val="ListBullet"/>
      </w:pPr>
      <w:r>
        <w:t>Recurrent deliberation loop.</w:t>
      </w:r>
    </w:p>
    <w:p>
      <w:pPr>
        <w:pStyle w:val="ListBullet"/>
      </w:pPr>
      <w:r>
        <w:t>Sandbox and evaluation subsystem.</w:t>
      </w:r>
    </w:p>
    <w:p>
      <w:pPr>
        <w:pStyle w:val="ListBullet"/>
      </w:pPr>
      <w:r>
        <w:t>Immune/governance kernel.</w:t>
      </w:r>
    </w:p>
    <w:p>
      <w:pPr>
        <w:pStyle w:val="ListBullet"/>
      </w:pPr>
      <w:r>
        <w:t>Checkpoint/rewind ledger.</w:t>
      </w:r>
    </w:p>
    <w:p>
      <w:pPr>
        <w:pStyle w:val="ListBullet"/>
      </w:pPr>
      <w:r>
        <w:t>Skill-system orchestrator.</w:t>
      </w:r>
    </w:p>
    <w:p>
      <w:pPr>
        <w:pStyle w:val="ListBullet"/>
      </w:pPr>
      <w:r>
        <w:t>Sandbox agent factory.</w:t>
      </w:r>
    </w:p>
    <w:p>
      <w:pPr>
        <w:pStyle w:val="ListBullet"/>
      </w:pPr>
      <w:r>
        <w:t>Federated learning plane.</w:t>
      </w:r>
    </w:p>
    <w:p>
      <w:pPr>
        <w:pStyle w:val="ListBullet"/>
      </w:pPr>
      <w:r>
        <w:t>Ivy-League School optimizer.</w:t>
      </w:r>
    </w:p>
    <w:p>
      <w:pPr>
        <w:pStyle w:val="ListBullet"/>
      </w:pPr>
      <w:r>
        <w:t>Hive Curator AO.</w:t>
      </w:r>
    </w:p>
    <w:p>
      <w:pPr>
        <w:pStyle w:val="ListBullet"/>
      </w:pPr>
      <w:r>
        <w:t>VisualOps control panel.</w:t>
      </w:r>
    </w:p>
    <w:p/>
    <w:p>
      <w:pPr>
        <w:pStyle w:val="Heading2"/>
      </w:pPr>
      <w:r>
        <w:t>Operation</w:t>
      </w:r>
    </w:p>
    <w:p/>
    <w:p>
      <w:r>
        <w:t>1. Receive operator task, workflow input, candidate update, tool result, or</w:t>
      </w:r>
    </w:p>
    <w:p>
      <w:r>
        <w:t xml:space="preserve">   federated signal.</w:t>
      </w:r>
    </w:p>
    <w:p>
      <w:r>
        <w:t>2. Assign provenance, trust, privacy, and policy labels.</w:t>
      </w:r>
    </w:p>
    <w:p>
      <w:r>
        <w:t>3. Convert the signal into a typed activation.</w:t>
      </w:r>
    </w:p>
    <w:p>
      <w:r>
        <w:t>4. Retrieve relevant canon, memory, evidence, traces, and candidate records.</w:t>
      </w:r>
    </w:p>
    <w:p>
      <w:r>
        <w:t>5. Focus active signals and select sparse experts, AOs, tools, memory banks,</w:t>
      </w:r>
    </w:p>
    <w:p>
      <w:r>
        <w:t xml:space="preserve">   models, sandboxes, and evaluators.</w:t>
      </w:r>
    </w:p>
    <w:p>
      <w:r>
        <w:t>6. Run recurrent deliberation until an exit gate is satisfied.</w:t>
      </w:r>
    </w:p>
    <w:p>
      <w:r>
        <w:t>7. Apply immune/governance checks.</w:t>
      </w:r>
    </w:p>
    <w:p>
      <w:r>
        <w:t>8. Create checkpoint and rollback references before writes or promotions.</w:t>
      </w:r>
    </w:p>
    <w:p>
      <w:r>
        <w:t>9. Emit output, promote candidate, reject candidate, block candidate, or</w:t>
      </w:r>
    </w:p>
    <w:p>
      <w:r>
        <w:t xml:space="preserve">   side-bar candidate with evidence.</w:t>
      </w:r>
    </w:p>
    <w:p>
      <w:r>
        <w:t>10. Feed scorecards to curator, training, routing, and federated learning</w:t>
      </w:r>
    </w:p>
    <w:p>
      <w:r>
        <w:t>planes.</w:t>
      </w:r>
    </w:p>
    <w:p/>
    <w:p>
      <w:pPr>
        <w:pStyle w:val="Heading2"/>
      </w:pPr>
      <w:r>
        <w:t>Advantages</w:t>
      </w:r>
    </w:p>
    <w:p/>
    <w:p>
      <w:r>
        <w:t>The system improves technical control over AI operations by making routing,</w:t>
      </w:r>
    </w:p>
    <w:p>
      <w:r>
        <w:t>memory use, tool execution, self-improvement, evaluation, and rollback</w:t>
      </w:r>
    </w:p>
    <w:p>
      <w:r>
        <w:t>explicit, logged, inspectable, and governed. The architecture can reduce</w:t>
      </w:r>
    </w:p>
    <w:p>
      <w:r>
        <w:t>unnecessary broad activation, reduce unsafe autonomous writes, preserve</w:t>
      </w:r>
    </w:p>
    <w:p>
      <w:r>
        <w:t>provenance, support privacy-preserving learning across deployments, and</w:t>
      </w:r>
    </w:p>
    <w:p>
      <w:r>
        <w:t>generate training evidence for later native MoE-style model development.</w:t>
      </w:r>
    </w:p>
    <w:p/>
    <w:p>
      <w:pPr>
        <w:pStyle w:val="Heading2"/>
      </w:pPr>
      <w:r>
        <w:t>Drawings</w:t>
      </w:r>
    </w:p>
    <w:p/>
    <w:p>
      <w:r>
        <w:t>Attach `drawings/NEXUSNET_PATENT_DRAWINGS.pdf` to the provisional filing if</w:t>
      </w:r>
    </w:p>
    <w:p>
      <w:r>
        <w:t>filing this disclosure as a provisional application.</w:t>
      </w:r>
    </w:p>
    <w:p>
      <w:r>
        <w:br w:type="page"/>
      </w:r>
    </w:p>
    <w:p>
      <w:pPr>
        <w:pStyle w:val="Heading1"/>
      </w:pPr>
      <w:r>
        <w:t>Transmittal Letter Template</w:t>
      </w:r>
    </w:p>
    <w:p/>
    <w:p>
      <w:r>
        <w:t>[DATE]</w:t>
      </w:r>
    </w:p>
    <w:p/>
    <w:p>
      <w:r>
        <w:t>Commissioner for Patents</w:t>
      </w:r>
    </w:p>
    <w:p>
      <w:r>
        <w:t>P.O. Box 1450</w:t>
      </w:r>
    </w:p>
    <w:p>
      <w:r>
        <w:t>Alexandria, VA 22313-1450</w:t>
      </w:r>
    </w:p>
    <w:p/>
    <w:p>
      <w:r>
        <w:t>Re: Patent Application for "Hive Mind Harness for Artificial Intelligence</w:t>
      </w:r>
    </w:p>
    <w:p>
      <w:r>
        <w:t>with Governed Sparse Routing"</w:t>
      </w:r>
    </w:p>
    <w:p/>
    <w:p>
      <w:r>
        <w:t>Applicant/Inventor: [INSERT]</w:t>
      </w:r>
    </w:p>
    <w:p>
      <w:r>
        <w:t>Attorney Docket No.: NEXUSNET-001-US</w:t>
      </w:r>
    </w:p>
    <w:p/>
    <w:p>
      <w:r>
        <w:t>Dear Commissioner:</w:t>
      </w:r>
    </w:p>
    <w:p/>
    <w:p>
      <w:r>
        <w:t>Submitted herewith for filing is a patent application for the above-titled</w:t>
      </w:r>
    </w:p>
    <w:p>
      <w:r>
        <w:t>invention. The submission includes the specification, claims, abstract,</w:t>
      </w:r>
    </w:p>
    <w:p>
      <w:r>
        <w:t>drawings, and applicable filing documents. Applicant requests recognition</w:t>
      </w:r>
    </w:p>
    <w:p>
      <w:r>
        <w:t>of micro-entity status if the attached certification is complete and</w:t>
      </w:r>
    </w:p>
    <w:p>
      <w:r>
        <w:t>accurate.</w:t>
      </w:r>
    </w:p>
    <w:p/>
    <w:p>
      <w:r>
        <w:t>Please charge any required fees as authorized in Patent Center or as</w:t>
      </w:r>
    </w:p>
    <w:p>
      <w:r>
        <w:t>otherwise provided by the applicant.</w:t>
      </w:r>
    </w:p>
    <w:p/>
    <w:p>
      <w:r>
        <w:t>Respectfully submitted,</w:t>
      </w:r>
    </w:p>
    <w:p/>
    <w:p>
      <w:r>
        <w:t>[SIGNATURE]</w:t>
      </w:r>
    </w:p>
    <w:p>
      <w:r>
        <w:t>[NAME]</w:t>
      </w:r>
    </w:p>
    <w:p>
      <w:r>
        <w:t>[ADDRESS]</w:t>
      </w:r>
    </w:p>
    <w:p>
      <w:r>
        <w:t>[PHONE]</w:t>
      </w:r>
    </w:p>
    <w:p>
      <w:r>
        <w:t>[EMAIL]</w:t>
      </w:r>
    </w:p>
    <w:p>
      <w:r>
        <w:br w:type="page"/>
      </w:r>
    </w:p>
    <w:p>
      <w:pPr>
        <w:pStyle w:val="Heading1"/>
      </w:pPr>
      <w:r>
        <w:t>Micro-Entity Cover Note Template</w:t>
      </w:r>
    </w:p>
    <w:p/>
    <w:p>
      <w:r>
        <w:t>Re: Micro-Entity Certification</w:t>
      </w:r>
    </w:p>
    <w:p/>
    <w:p>
      <w:r>
        <w:t>Applicant believes micro-entity status applies based on the completed</w:t>
      </w:r>
    </w:p>
    <w:p>
      <w:r>
        <w:t>certification submitted with this application. Applicant has reviewed the</w:t>
      </w:r>
    </w:p>
    <w:p>
      <w:r>
        <w:t>small entity requirement, prior application limitation, income threshold,</w:t>
      </w:r>
    </w:p>
    <w:p>
      <w:r>
        <w:t>and assignment/obligation limitation, and understands that entity status</w:t>
      </w:r>
    </w:p>
    <w:p>
      <w:r>
        <w:t>must be corrected if the facts change.</w:t>
      </w:r>
    </w:p>
    <w:p/>
    <w:p>
      <w:r>
        <w:t>This note is not a substitute for the official USPTO certification form.</w:t>
      </w:r>
    </w:p>
    <w:p>
      <w:r>
        <w:br w:type="page"/>
      </w:r>
    </w:p>
    <w:p>
      <w:pPr>
        <w:pStyle w:val="Heading1"/>
      </w:pPr>
      <w:r>
        <w:t>Inventor Declaration Preparation Note</w:t>
      </w:r>
    </w:p>
    <w:p/>
    <w:p>
      <w:r>
        <w:t>Each inventor should review the final application before signing any oath</w:t>
      </w:r>
    </w:p>
    <w:p>
      <w:r>
        <w:t>or declaration. Confirm that:</w:t>
      </w:r>
    </w:p>
    <w:p/>
    <w:p>
      <w:pPr>
        <w:pStyle w:val="ListBullet"/>
      </w:pPr>
      <w:r>
        <w:t>The named inventors are correct.</w:t>
      </w:r>
    </w:p>
    <w:p>
      <w:pPr>
        <w:pStyle w:val="ListBullet"/>
      </w:pPr>
      <w:r>
        <w:t>The claims are supported by the disclosure.</w:t>
      </w:r>
    </w:p>
    <w:p>
      <w:pPr>
        <w:pStyle w:val="ListBullet"/>
      </w:pPr>
      <w:r>
        <w:t>Each inventor believes they are an original inventor of the claimed</w:t>
      </w:r>
    </w:p>
    <w:p>
      <w:r>
        <w:t xml:space="preserve">  subject matter.</w:t>
      </w:r>
    </w:p>
    <w:p>
      <w:pPr>
        <w:pStyle w:val="ListBullet"/>
      </w:pPr>
      <w:r>
        <w:t>The duty to disclose material information is understood.</w:t>
      </w:r>
    </w:p>
    <w:p>
      <w:pPr>
        <w:pStyle w:val="ListBullet"/>
      </w:pPr>
      <w:r>
        <w:t>No signature is added to an unofficial worksheet by mistake.</w:t>
      </w:r>
    </w:p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