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E63" w:rsidRPr="00060E63" w:rsidRDefault="00060E63" w:rsidP="00060E63">
      <w:pPr>
        <w:spacing w:line="360" w:lineRule="auto"/>
        <w:jc w:val="center"/>
        <w:outlineLvl w:val="0"/>
        <w:rPr>
          <w:rFonts w:ascii="Times New Roman" w:eastAsia="Times New Roman" w:hAnsi="Times New Roman" w:cs="Times New Roman"/>
          <w:b/>
          <w:bCs/>
          <w:sz w:val="24"/>
          <w:szCs w:val="24"/>
        </w:rPr>
      </w:pPr>
      <w:bookmarkStart w:id="0" w:name="_Toc131807589"/>
      <w:r w:rsidRPr="00060E63">
        <w:rPr>
          <w:rFonts w:ascii="Times New Roman" w:eastAsia="Times New Roman" w:hAnsi="Times New Roman" w:cs="Times New Roman"/>
          <w:b/>
          <w:bCs/>
          <w:sz w:val="24"/>
          <w:szCs w:val="24"/>
        </w:rPr>
        <w:t>CHAPTER TWO</w:t>
      </w:r>
      <w:bookmarkEnd w:id="0"/>
    </w:p>
    <w:p w:rsidR="00060E63" w:rsidRPr="00060E63" w:rsidRDefault="00060E63" w:rsidP="00060E63">
      <w:pPr>
        <w:numPr>
          <w:ilvl w:val="0"/>
          <w:numId w:val="1"/>
        </w:numPr>
        <w:spacing w:line="360" w:lineRule="auto"/>
        <w:jc w:val="center"/>
        <w:outlineLvl w:val="0"/>
        <w:rPr>
          <w:rFonts w:ascii="Times New Roman" w:eastAsia="Times New Roman" w:hAnsi="Times New Roman" w:cs="Times New Roman"/>
          <w:b/>
          <w:bCs/>
          <w:sz w:val="24"/>
          <w:szCs w:val="24"/>
        </w:rPr>
      </w:pPr>
      <w:bookmarkStart w:id="1" w:name="_Toc131807590"/>
      <w:r w:rsidRPr="00060E63">
        <w:rPr>
          <w:rFonts w:ascii="Times New Roman" w:eastAsia="Times New Roman" w:hAnsi="Times New Roman" w:cs="Times New Roman"/>
          <w:b/>
          <w:bCs/>
          <w:sz w:val="24"/>
          <w:szCs w:val="24"/>
        </w:rPr>
        <w:t>REVIEW OF RELATED LITERATURE</w:t>
      </w:r>
      <w:bookmarkEnd w:id="1"/>
    </w:p>
    <w:p w:rsidR="00060E63" w:rsidRPr="00060E63" w:rsidRDefault="00060E63" w:rsidP="00060E63">
      <w:pPr>
        <w:numPr>
          <w:ilvl w:val="1"/>
          <w:numId w:val="1"/>
        </w:numPr>
        <w:spacing w:line="360" w:lineRule="auto"/>
        <w:outlineLvl w:val="1"/>
        <w:rPr>
          <w:rFonts w:ascii="Times New Roman" w:eastAsia="Times New Roman" w:hAnsi="Times New Roman" w:cs="Times New Roman"/>
          <w:b/>
          <w:bCs/>
          <w:sz w:val="24"/>
          <w:szCs w:val="24"/>
        </w:rPr>
      </w:pPr>
      <w:bookmarkStart w:id="2" w:name="_Toc131807591"/>
      <w:r w:rsidRPr="00060E63">
        <w:rPr>
          <w:rFonts w:ascii="Times New Roman" w:eastAsia="Times New Roman" w:hAnsi="Times New Roman" w:cs="Times New Roman"/>
          <w:b/>
          <w:sz w:val="24"/>
          <w:szCs w:val="24"/>
        </w:rPr>
        <w:t>Theoretical Literature Review</w:t>
      </w:r>
      <w:bookmarkEnd w:id="2"/>
    </w:p>
    <w:p w:rsidR="00060E63" w:rsidRPr="00060E63" w:rsidRDefault="00060E63" w:rsidP="00060E63">
      <w:pPr>
        <w:autoSpaceDE w:val="0"/>
        <w:autoSpaceDN w:val="0"/>
        <w:adjustRightInd w:val="0"/>
        <w:spacing w:after="0" w:line="360" w:lineRule="auto"/>
        <w:jc w:val="both"/>
        <w:rPr>
          <w:rFonts w:ascii="Times New Roman" w:eastAsia="Times New Roman" w:hAnsi="Times New Roman" w:cs="Times New Roman"/>
          <w:sz w:val="24"/>
          <w:szCs w:val="24"/>
        </w:rPr>
      </w:pPr>
      <w:r w:rsidRPr="00060E63">
        <w:rPr>
          <w:rFonts w:ascii="Times New Roman" w:eastAsia="Times New Roman" w:hAnsi="Times New Roman" w:cs="Times New Roman"/>
          <w:sz w:val="24"/>
          <w:szCs w:val="24"/>
        </w:rPr>
        <w:t>Rural transformation is a process of comprehensive change where rural societies diversify their economies and minimize their dependence on agriculture. It is the restructuring of societies in their original area with economic activity and happened within the larger process of structural change that brings a decline in the relative weight of agriculture in the national economy.  The change is coupled with an increase in industry and services, migration of rural people to cities, and a temporary rapid demographic growth (</w:t>
      </w:r>
      <w:proofErr w:type="spellStart"/>
      <w:r w:rsidRPr="00060E63">
        <w:rPr>
          <w:rFonts w:ascii="Times New Roman" w:eastAsia="Times New Roman" w:hAnsi="Times New Roman" w:cs="Times New Roman"/>
          <w:sz w:val="24"/>
          <w:szCs w:val="24"/>
        </w:rPr>
        <w:t>Timmer</w:t>
      </w:r>
      <w:proofErr w:type="spellEnd"/>
      <w:r w:rsidRPr="00060E63">
        <w:rPr>
          <w:rFonts w:ascii="Times New Roman" w:eastAsia="Times New Roman" w:hAnsi="Times New Roman" w:cs="Times New Roman"/>
          <w:sz w:val="24"/>
          <w:szCs w:val="24"/>
        </w:rPr>
        <w:t xml:space="preserve"> &amp; </w:t>
      </w:r>
      <w:proofErr w:type="spellStart"/>
      <w:r w:rsidRPr="00060E63">
        <w:rPr>
          <w:rFonts w:ascii="Times New Roman" w:eastAsia="Times New Roman" w:hAnsi="Times New Roman" w:cs="Times New Roman"/>
          <w:sz w:val="24"/>
          <w:szCs w:val="24"/>
        </w:rPr>
        <w:t>Akkus</w:t>
      </w:r>
      <w:proofErr w:type="spellEnd"/>
      <w:r w:rsidRPr="00060E63">
        <w:rPr>
          <w:rFonts w:ascii="Times New Roman" w:eastAsia="Times New Roman" w:hAnsi="Times New Roman" w:cs="Times New Roman"/>
          <w:sz w:val="24"/>
          <w:szCs w:val="24"/>
        </w:rPr>
        <w:t xml:space="preserve">, 2008). Rural transformation is a process of growth in rural incomes, diversification of rural economy, and development of linkages with urban and </w:t>
      </w:r>
      <w:proofErr w:type="spellStart"/>
      <w:r w:rsidRPr="00060E63">
        <w:rPr>
          <w:rFonts w:ascii="Times New Roman" w:eastAsia="Times New Roman" w:hAnsi="Times New Roman" w:cs="Times New Roman"/>
          <w:sz w:val="24"/>
          <w:szCs w:val="24"/>
        </w:rPr>
        <w:t>peri</w:t>
      </w:r>
      <w:proofErr w:type="spellEnd"/>
      <w:r w:rsidRPr="00060E63">
        <w:rPr>
          <w:rFonts w:ascii="Times New Roman" w:eastAsia="Times New Roman" w:hAnsi="Times New Roman" w:cs="Times New Roman"/>
          <w:sz w:val="24"/>
          <w:szCs w:val="24"/>
        </w:rPr>
        <w:t xml:space="preserve">-urban areas. It is a long-term process of change in essential structures of the establishment </w:t>
      </w:r>
      <w:proofErr w:type="gramStart"/>
      <w:r w:rsidRPr="00060E63">
        <w:rPr>
          <w:rFonts w:ascii="Times New Roman" w:eastAsia="Times New Roman" w:hAnsi="Times New Roman" w:cs="Times New Roman"/>
          <w:sz w:val="24"/>
          <w:szCs w:val="24"/>
        </w:rPr>
        <w:t>of  rural</w:t>
      </w:r>
      <w:proofErr w:type="gramEnd"/>
      <w:r w:rsidRPr="00060E63">
        <w:rPr>
          <w:rFonts w:ascii="Times New Roman" w:eastAsia="Times New Roman" w:hAnsi="Times New Roman" w:cs="Times New Roman"/>
          <w:sz w:val="24"/>
          <w:szCs w:val="24"/>
        </w:rPr>
        <w:t xml:space="preserve"> people to live and act economically, considering societal and global dynamics (</w:t>
      </w:r>
      <w:proofErr w:type="spellStart"/>
      <w:r w:rsidRPr="00060E63">
        <w:rPr>
          <w:rFonts w:ascii="Times New Roman" w:eastAsia="Times New Roman" w:hAnsi="Times New Roman" w:cs="Times New Roman"/>
          <w:sz w:val="24"/>
          <w:szCs w:val="24"/>
        </w:rPr>
        <w:t>Kruseman</w:t>
      </w:r>
      <w:proofErr w:type="spellEnd"/>
      <w:r w:rsidRPr="00060E63">
        <w:rPr>
          <w:rFonts w:ascii="Times New Roman" w:eastAsia="Times New Roman" w:hAnsi="Times New Roman" w:cs="Times New Roman"/>
          <w:sz w:val="24"/>
          <w:szCs w:val="24"/>
        </w:rPr>
        <w:t xml:space="preserve"> et al., 2020)</w:t>
      </w:r>
    </w:p>
    <w:p w:rsidR="00060E63" w:rsidRPr="00060E63" w:rsidRDefault="00060E63" w:rsidP="00060E63">
      <w:pPr>
        <w:autoSpaceDE w:val="0"/>
        <w:autoSpaceDN w:val="0"/>
        <w:adjustRightInd w:val="0"/>
        <w:spacing w:after="0" w:line="360" w:lineRule="auto"/>
        <w:jc w:val="both"/>
        <w:rPr>
          <w:rFonts w:ascii="Times New Roman" w:eastAsia="Times New Roman" w:hAnsi="Times New Roman" w:cs="Times New Roman"/>
          <w:sz w:val="24"/>
          <w:szCs w:val="24"/>
        </w:rPr>
      </w:pPr>
    </w:p>
    <w:p w:rsidR="00060E63" w:rsidRPr="00060E63" w:rsidRDefault="00060E63" w:rsidP="00060E63">
      <w:pPr>
        <w:autoSpaceDE w:val="0"/>
        <w:autoSpaceDN w:val="0"/>
        <w:adjustRightInd w:val="0"/>
        <w:spacing w:after="0" w:line="360" w:lineRule="auto"/>
        <w:jc w:val="both"/>
        <w:rPr>
          <w:rFonts w:ascii="Times New Roman" w:eastAsia="Times New Roman" w:hAnsi="Times New Roman" w:cs="Times New Roman"/>
          <w:sz w:val="24"/>
          <w:szCs w:val="24"/>
        </w:rPr>
      </w:pPr>
      <w:r w:rsidRPr="00060E63">
        <w:rPr>
          <w:rFonts w:ascii="Times New Roman" w:eastAsia="Times New Roman" w:hAnsi="Times New Roman" w:cs="Times New Roman"/>
          <w:sz w:val="24"/>
          <w:szCs w:val="24"/>
        </w:rPr>
        <w:t>Rural finance describes financial intermediation outside of urban areas, including deposits, loans, payment and money transfer systems, trade credit, and insurance, to rural households as well as to farm and non-farm enterprises(World Bank, 2003a). Microfinance means financial services (savings, credit, payment transfers, and insurance) for poor and low-income people. Rural finance refers to financial services offered and used in rural areas by people of all income levels. Agricultural finance is a sub-set of rural finance dedicated to financing agriculture-related activities, such as input supply, production, distribution and wholesaling, and marketing(</w:t>
      </w:r>
      <w:proofErr w:type="spellStart"/>
      <w:r w:rsidRPr="00060E63">
        <w:rPr>
          <w:rFonts w:ascii="Times New Roman" w:eastAsia="Times New Roman" w:hAnsi="Times New Roman" w:cs="Times New Roman"/>
          <w:sz w:val="24"/>
          <w:szCs w:val="24"/>
        </w:rPr>
        <w:t>Turvey</w:t>
      </w:r>
      <w:proofErr w:type="spellEnd"/>
      <w:r w:rsidRPr="00060E63">
        <w:rPr>
          <w:rFonts w:ascii="Times New Roman" w:eastAsia="Times New Roman" w:hAnsi="Times New Roman" w:cs="Times New Roman"/>
          <w:sz w:val="24"/>
          <w:szCs w:val="24"/>
        </w:rPr>
        <w:t>, 2017).</w:t>
      </w:r>
    </w:p>
    <w:p w:rsidR="00060E63" w:rsidRPr="00060E63" w:rsidRDefault="00060E63" w:rsidP="00060E63">
      <w:pPr>
        <w:numPr>
          <w:ilvl w:val="2"/>
          <w:numId w:val="1"/>
        </w:numPr>
        <w:spacing w:line="360" w:lineRule="auto"/>
        <w:outlineLvl w:val="1"/>
        <w:rPr>
          <w:rFonts w:ascii="Times New Roman" w:eastAsia="Times New Roman" w:hAnsi="Times New Roman" w:cs="Times New Roman"/>
          <w:b/>
          <w:bCs/>
          <w:sz w:val="24"/>
          <w:szCs w:val="24"/>
        </w:rPr>
      </w:pPr>
      <w:bookmarkStart w:id="3" w:name="_Toc131807592"/>
      <w:r w:rsidRPr="00060E63">
        <w:rPr>
          <w:rFonts w:ascii="Times New Roman" w:eastAsia="Times New Roman" w:hAnsi="Times New Roman" w:cs="Times New Roman"/>
          <w:b/>
          <w:sz w:val="24"/>
          <w:szCs w:val="24"/>
        </w:rPr>
        <w:t>Financial Services</w:t>
      </w:r>
      <w:bookmarkEnd w:id="3"/>
    </w:p>
    <w:p w:rsidR="00060E63" w:rsidRPr="00060E63" w:rsidRDefault="00060E63" w:rsidP="00060E63">
      <w:pPr>
        <w:autoSpaceDE w:val="0"/>
        <w:autoSpaceDN w:val="0"/>
        <w:adjustRightInd w:val="0"/>
        <w:spacing w:after="0" w:line="360" w:lineRule="auto"/>
        <w:jc w:val="both"/>
        <w:rPr>
          <w:rFonts w:ascii="Times New Roman" w:eastAsia="Times New Roman" w:hAnsi="Times New Roman" w:cs="Times New Roman"/>
          <w:sz w:val="24"/>
          <w:szCs w:val="24"/>
        </w:rPr>
      </w:pPr>
      <w:r w:rsidRPr="00060E63">
        <w:rPr>
          <w:rFonts w:ascii="Times New Roman" w:eastAsia="Times New Roman" w:hAnsi="Times New Roman" w:cs="Times New Roman"/>
          <w:sz w:val="24"/>
          <w:szCs w:val="24"/>
        </w:rPr>
        <w:t>Financial services access has two dimensions:  demand and supply. The demand side examines the choice made by individuals with regard to services provided by financial institutions, while the supply side relates to financial services provision or financial intermediation. Theories on access to financial services provide a general framework for demand for financial services (demand dimension of access) and financial intermediation (supply dimension of access to financial services</w:t>
      </w:r>
      <w:proofErr w:type="gramStart"/>
      <w:r w:rsidRPr="00060E63">
        <w:rPr>
          <w:rFonts w:ascii="Times New Roman" w:eastAsia="Times New Roman" w:hAnsi="Times New Roman" w:cs="Times New Roman"/>
          <w:sz w:val="24"/>
          <w:szCs w:val="24"/>
        </w:rPr>
        <w:t>)(</w:t>
      </w:r>
      <w:proofErr w:type="gramEnd"/>
      <w:r w:rsidRPr="00060E63">
        <w:rPr>
          <w:rFonts w:ascii="Times New Roman" w:eastAsia="Times New Roman" w:hAnsi="Times New Roman" w:cs="Times New Roman"/>
          <w:sz w:val="24"/>
          <w:szCs w:val="24"/>
        </w:rPr>
        <w:t>Zhang, 2020).</w:t>
      </w:r>
    </w:p>
    <w:p w:rsidR="00060E63" w:rsidRPr="00060E63" w:rsidRDefault="00060E63" w:rsidP="00060E63">
      <w:pPr>
        <w:autoSpaceDE w:val="0"/>
        <w:autoSpaceDN w:val="0"/>
        <w:adjustRightInd w:val="0"/>
        <w:spacing w:after="0" w:line="360" w:lineRule="auto"/>
        <w:jc w:val="both"/>
        <w:rPr>
          <w:rFonts w:ascii="Times New Roman" w:eastAsia="Times New Roman" w:hAnsi="Times New Roman" w:cs="Times New Roman"/>
          <w:sz w:val="24"/>
          <w:szCs w:val="24"/>
        </w:rPr>
      </w:pPr>
    </w:p>
    <w:p w:rsidR="00060E63" w:rsidRPr="00060E63" w:rsidRDefault="00060E63" w:rsidP="00060E63">
      <w:pPr>
        <w:autoSpaceDE w:val="0"/>
        <w:autoSpaceDN w:val="0"/>
        <w:adjustRightInd w:val="0"/>
        <w:spacing w:after="0" w:line="360" w:lineRule="auto"/>
        <w:jc w:val="both"/>
        <w:rPr>
          <w:rFonts w:ascii="Times New Roman" w:eastAsia="Times New Roman" w:hAnsi="Times New Roman" w:cs="Times New Roman"/>
          <w:sz w:val="24"/>
          <w:szCs w:val="24"/>
        </w:rPr>
      </w:pPr>
      <w:r w:rsidRPr="00060E63">
        <w:rPr>
          <w:rFonts w:ascii="Times New Roman" w:eastAsia="Times New Roman" w:hAnsi="Times New Roman" w:cs="Times New Roman"/>
          <w:sz w:val="24"/>
          <w:szCs w:val="24"/>
        </w:rPr>
        <w:t>The important theories that relate to decision making in the economic literature are rationality theory, bounded rationality theory, theory of satisficing, prospect theory, and intertemporal theory, delegated monitoring theory, information asymmetry theory, and transaction cost theory(</w:t>
      </w:r>
      <w:proofErr w:type="spellStart"/>
      <w:r w:rsidRPr="00060E63">
        <w:rPr>
          <w:rFonts w:ascii="Times New Roman" w:eastAsia="Times New Roman" w:hAnsi="Times New Roman" w:cs="Times New Roman"/>
          <w:sz w:val="24"/>
          <w:szCs w:val="24"/>
        </w:rPr>
        <w:t>Scholtens</w:t>
      </w:r>
      <w:proofErr w:type="spellEnd"/>
      <w:r w:rsidRPr="00060E63">
        <w:rPr>
          <w:rFonts w:ascii="Times New Roman" w:eastAsia="Times New Roman" w:hAnsi="Times New Roman" w:cs="Times New Roman"/>
          <w:sz w:val="24"/>
          <w:szCs w:val="24"/>
        </w:rPr>
        <w:t xml:space="preserve"> &amp; </w:t>
      </w:r>
      <w:proofErr w:type="spellStart"/>
      <w:r w:rsidRPr="00060E63">
        <w:rPr>
          <w:rFonts w:ascii="Times New Roman" w:eastAsia="Times New Roman" w:hAnsi="Times New Roman" w:cs="Times New Roman"/>
          <w:sz w:val="24"/>
          <w:szCs w:val="24"/>
        </w:rPr>
        <w:t>Wensveen</w:t>
      </w:r>
      <w:proofErr w:type="spellEnd"/>
      <w:r w:rsidRPr="00060E63">
        <w:rPr>
          <w:rFonts w:ascii="Times New Roman" w:eastAsia="Times New Roman" w:hAnsi="Times New Roman" w:cs="Times New Roman"/>
          <w:sz w:val="24"/>
          <w:szCs w:val="24"/>
        </w:rPr>
        <w:t xml:space="preserve">, 2003). </w:t>
      </w:r>
      <w:proofErr w:type="spellStart"/>
      <w:r w:rsidRPr="00060E63">
        <w:rPr>
          <w:rFonts w:ascii="Times New Roman" w:eastAsia="Times New Roman" w:hAnsi="Times New Roman" w:cs="Times New Roman"/>
          <w:sz w:val="24"/>
          <w:szCs w:val="24"/>
        </w:rPr>
        <w:t>Scholtens</w:t>
      </w:r>
      <w:proofErr w:type="spellEnd"/>
      <w:r w:rsidRPr="00060E63">
        <w:rPr>
          <w:rFonts w:ascii="Times New Roman" w:eastAsia="Times New Roman" w:hAnsi="Times New Roman" w:cs="Times New Roman"/>
          <w:sz w:val="24"/>
          <w:szCs w:val="24"/>
        </w:rPr>
        <w:t xml:space="preserve"> &amp; </w:t>
      </w:r>
      <w:proofErr w:type="spellStart"/>
      <w:r w:rsidRPr="00060E63">
        <w:rPr>
          <w:rFonts w:ascii="Times New Roman" w:eastAsia="Times New Roman" w:hAnsi="Times New Roman" w:cs="Times New Roman"/>
          <w:sz w:val="24"/>
          <w:szCs w:val="24"/>
        </w:rPr>
        <w:t>Wensveen</w:t>
      </w:r>
      <w:proofErr w:type="spellEnd"/>
      <w:r w:rsidRPr="00060E63">
        <w:rPr>
          <w:rFonts w:ascii="Times New Roman" w:eastAsia="Times New Roman" w:hAnsi="Times New Roman" w:cs="Times New Roman"/>
          <w:sz w:val="24"/>
          <w:szCs w:val="24"/>
        </w:rPr>
        <w:t xml:space="preserve"> (2003) categorized that the delegated monitoring and the rational choice theory, explain demand for financial services, while the information asymmetry and the transaction cost theory explain financial intermediation, or the supply side-dimension of access to financial services.</w:t>
      </w:r>
    </w:p>
    <w:p w:rsidR="00060E63" w:rsidRPr="00060E63" w:rsidRDefault="00060E63" w:rsidP="00060E63">
      <w:pPr>
        <w:autoSpaceDE w:val="0"/>
        <w:autoSpaceDN w:val="0"/>
        <w:adjustRightInd w:val="0"/>
        <w:spacing w:after="0" w:line="360" w:lineRule="auto"/>
        <w:jc w:val="both"/>
        <w:rPr>
          <w:rFonts w:ascii="Times New Roman" w:eastAsia="Times New Roman" w:hAnsi="Times New Roman" w:cs="Times New Roman"/>
          <w:sz w:val="24"/>
          <w:szCs w:val="24"/>
        </w:rPr>
      </w:pPr>
    </w:p>
    <w:p w:rsidR="00060E63" w:rsidRPr="00060E63" w:rsidRDefault="00060E63" w:rsidP="00060E63">
      <w:pPr>
        <w:autoSpaceDE w:val="0"/>
        <w:autoSpaceDN w:val="0"/>
        <w:adjustRightInd w:val="0"/>
        <w:spacing w:after="0" w:line="360" w:lineRule="auto"/>
        <w:jc w:val="both"/>
        <w:rPr>
          <w:rFonts w:ascii="Times New Roman" w:eastAsia="Times New Roman" w:hAnsi="Times New Roman" w:cs="Times New Roman"/>
          <w:sz w:val="24"/>
          <w:szCs w:val="24"/>
        </w:rPr>
      </w:pPr>
      <w:r w:rsidRPr="00060E63">
        <w:rPr>
          <w:rFonts w:ascii="Times New Roman" w:eastAsia="Times New Roman" w:hAnsi="Times New Roman" w:cs="Times New Roman"/>
          <w:sz w:val="24"/>
          <w:szCs w:val="24"/>
        </w:rPr>
        <w:t>The theory of delegated monitoring claims that financial institutions possess the ability to act as delegated monitors for net savers. Depositors have delegated the role of safekeeping of their savings to the financial intermediaries as well as entrusting them to invest their savings prudently for better returns. It is linked to the demand side of access to financial services because, based on the theory, individual savers see the financial intermediaries as their delegated entity (Diamond, 1984).</w:t>
      </w:r>
    </w:p>
    <w:p w:rsidR="00060E63" w:rsidRPr="00060E63" w:rsidRDefault="00060E63" w:rsidP="00060E63">
      <w:pPr>
        <w:autoSpaceDE w:val="0"/>
        <w:autoSpaceDN w:val="0"/>
        <w:adjustRightInd w:val="0"/>
        <w:spacing w:after="0" w:line="360" w:lineRule="auto"/>
        <w:jc w:val="both"/>
        <w:rPr>
          <w:rFonts w:ascii="Times New Roman" w:eastAsia="Times New Roman" w:hAnsi="Times New Roman" w:cs="Times New Roman"/>
          <w:sz w:val="24"/>
          <w:szCs w:val="24"/>
        </w:rPr>
      </w:pPr>
    </w:p>
    <w:p w:rsidR="00060E63" w:rsidRPr="00060E63" w:rsidRDefault="00060E63" w:rsidP="00060E63">
      <w:pPr>
        <w:autoSpaceDE w:val="0"/>
        <w:autoSpaceDN w:val="0"/>
        <w:adjustRightInd w:val="0"/>
        <w:spacing w:after="0" w:line="360" w:lineRule="auto"/>
        <w:jc w:val="both"/>
        <w:rPr>
          <w:rFonts w:ascii="Times New Roman" w:eastAsia="Times New Roman" w:hAnsi="Times New Roman" w:cs="Times New Roman"/>
          <w:sz w:val="24"/>
          <w:szCs w:val="24"/>
        </w:rPr>
      </w:pPr>
      <w:r w:rsidRPr="00060E63">
        <w:rPr>
          <w:rFonts w:ascii="Times New Roman" w:eastAsia="Times New Roman" w:hAnsi="Times New Roman" w:cs="Times New Roman"/>
          <w:sz w:val="24"/>
          <w:szCs w:val="24"/>
        </w:rPr>
        <w:t>The rational choice theory is propounded by neo-classical economists. It starts with the consideration of the choice behavior of the individual farmers making the decision. According to the theory, the individual making the decision is a “representative” of a group in a financial market, such as farmers. The analysis of rational choice theory of demand for financial services generally involves a description of the following: (</w:t>
      </w:r>
      <w:proofErr w:type="spellStart"/>
      <w:r w:rsidRPr="00060E63">
        <w:rPr>
          <w:rFonts w:ascii="Times New Roman" w:eastAsia="Times New Roman" w:hAnsi="Times New Roman" w:cs="Times New Roman"/>
          <w:sz w:val="24"/>
          <w:szCs w:val="24"/>
        </w:rPr>
        <w:t>i</w:t>
      </w:r>
      <w:proofErr w:type="spellEnd"/>
      <w:r w:rsidRPr="00060E63">
        <w:rPr>
          <w:rFonts w:ascii="Times New Roman" w:eastAsia="Times New Roman" w:hAnsi="Times New Roman" w:cs="Times New Roman"/>
          <w:sz w:val="24"/>
          <w:szCs w:val="24"/>
        </w:rPr>
        <w:t>) the desire for financial services (savings, credit, and money transfer services); (ii) nature and type of services provided by the financial institutions; (iii) the condition under which these services are provided. The demand for financial services is a function of the service characteristics, the attributes of the provider of the service, and the decision-making unit (Zhang, 2020).</w:t>
      </w:r>
    </w:p>
    <w:p w:rsidR="00060E63" w:rsidRPr="00060E63" w:rsidRDefault="00060E63" w:rsidP="00060E63">
      <w:pPr>
        <w:autoSpaceDE w:val="0"/>
        <w:autoSpaceDN w:val="0"/>
        <w:adjustRightInd w:val="0"/>
        <w:spacing w:after="0" w:line="360" w:lineRule="auto"/>
        <w:jc w:val="both"/>
        <w:rPr>
          <w:rFonts w:ascii="Times New Roman" w:eastAsia="Times New Roman" w:hAnsi="Times New Roman" w:cs="Times New Roman"/>
          <w:sz w:val="24"/>
          <w:szCs w:val="24"/>
        </w:rPr>
      </w:pPr>
    </w:p>
    <w:p w:rsidR="00060E63" w:rsidRPr="00060E63" w:rsidRDefault="00060E63" w:rsidP="00060E63">
      <w:pPr>
        <w:autoSpaceDE w:val="0"/>
        <w:autoSpaceDN w:val="0"/>
        <w:adjustRightInd w:val="0"/>
        <w:spacing w:after="0" w:line="360" w:lineRule="auto"/>
        <w:jc w:val="both"/>
        <w:rPr>
          <w:rFonts w:ascii="Times New Roman" w:eastAsia="Times New Roman" w:hAnsi="Times New Roman" w:cs="Times New Roman"/>
          <w:sz w:val="24"/>
          <w:szCs w:val="24"/>
        </w:rPr>
      </w:pPr>
      <w:r w:rsidRPr="00060E63">
        <w:rPr>
          <w:rFonts w:ascii="Times New Roman" w:eastAsia="Times New Roman" w:hAnsi="Times New Roman" w:cs="Times New Roman"/>
          <w:sz w:val="24"/>
          <w:szCs w:val="24"/>
        </w:rPr>
        <w:t xml:space="preserve">New institutional economists modify and extend neo-classical theory to explain the supply dimension of access to financial services. New institutional economists retain the fundamental assumption of scarcity, and hence competition that underlies micro-economics and, introduce the theory of information asymmetry and transaction cost. The information asymmetry theory postulates that there is imperfect information resulting in an information problem. The </w:t>
      </w:r>
      <w:r w:rsidRPr="00060E63">
        <w:rPr>
          <w:rFonts w:ascii="Times New Roman" w:eastAsia="Times New Roman" w:hAnsi="Times New Roman" w:cs="Times New Roman"/>
          <w:sz w:val="24"/>
          <w:szCs w:val="24"/>
        </w:rPr>
        <w:lastRenderedPageBreak/>
        <w:t>consequences of information problems within the financial market can be classified as either ex-ante or ex-post. The ex-ante problems associated with information within the financial market result in adverse selection and moral hazard, while information problems that relate to ex-post leads to assurance services or expensive compliance verifications (</w:t>
      </w:r>
      <w:proofErr w:type="spellStart"/>
      <w:r w:rsidRPr="00060E63">
        <w:rPr>
          <w:rFonts w:ascii="Times New Roman" w:eastAsia="Times New Roman" w:hAnsi="Times New Roman" w:cs="Times New Roman"/>
          <w:sz w:val="24"/>
          <w:szCs w:val="24"/>
        </w:rPr>
        <w:t>Brealey</w:t>
      </w:r>
      <w:proofErr w:type="spellEnd"/>
      <w:r w:rsidRPr="00060E63">
        <w:rPr>
          <w:rFonts w:ascii="Times New Roman" w:eastAsia="Times New Roman" w:hAnsi="Times New Roman" w:cs="Times New Roman"/>
          <w:sz w:val="24"/>
          <w:szCs w:val="24"/>
        </w:rPr>
        <w:t xml:space="preserve"> et al., 1977).</w:t>
      </w:r>
    </w:p>
    <w:p w:rsidR="00060E63" w:rsidRPr="00060E63" w:rsidRDefault="00060E63" w:rsidP="00060E63">
      <w:pPr>
        <w:autoSpaceDE w:val="0"/>
        <w:autoSpaceDN w:val="0"/>
        <w:adjustRightInd w:val="0"/>
        <w:spacing w:after="0" w:line="360" w:lineRule="auto"/>
        <w:jc w:val="both"/>
        <w:rPr>
          <w:rFonts w:ascii="Times New Roman" w:eastAsia="Times New Roman" w:hAnsi="Times New Roman" w:cs="Times New Roman"/>
          <w:sz w:val="24"/>
          <w:szCs w:val="24"/>
        </w:rPr>
      </w:pPr>
    </w:p>
    <w:p w:rsidR="00060E63" w:rsidRPr="00060E63" w:rsidRDefault="00060E63" w:rsidP="00060E63">
      <w:pPr>
        <w:autoSpaceDE w:val="0"/>
        <w:autoSpaceDN w:val="0"/>
        <w:adjustRightInd w:val="0"/>
        <w:spacing w:after="0" w:line="360" w:lineRule="auto"/>
        <w:jc w:val="both"/>
        <w:rPr>
          <w:rFonts w:ascii="Times New Roman" w:eastAsia="Times New Roman" w:hAnsi="Times New Roman" w:cs="Times New Roman"/>
          <w:sz w:val="24"/>
          <w:szCs w:val="24"/>
        </w:rPr>
      </w:pPr>
      <w:r w:rsidRPr="00060E63">
        <w:rPr>
          <w:rFonts w:ascii="Times New Roman" w:eastAsia="Times New Roman" w:hAnsi="Times New Roman" w:cs="Times New Roman"/>
          <w:sz w:val="24"/>
          <w:szCs w:val="24"/>
        </w:rPr>
        <w:t>The transaction cost theory argues that financial intermediaries emerged to utilize economies of scale as well as transaction technology. The key element of transaction cost theory includes costs associated with gathering and processing information that is needed to reach a decision during the transaction process, successful contract negotiation, and policing and enforcement of contracts.  Thus, financial institutions  convert  one  financial claim into another and  offer  liquidity  and  the  opportunity  of diversification to their customers. The ease or difficulty used in achieving these objectives is determined by the level and nature of the cost of the transaction (Scholes et al., 1976).</w:t>
      </w:r>
    </w:p>
    <w:p w:rsidR="00060E63" w:rsidRPr="00060E63" w:rsidRDefault="00060E63" w:rsidP="00060E63">
      <w:pPr>
        <w:numPr>
          <w:ilvl w:val="2"/>
          <w:numId w:val="1"/>
        </w:numPr>
        <w:spacing w:line="360" w:lineRule="auto"/>
        <w:outlineLvl w:val="2"/>
        <w:rPr>
          <w:rFonts w:ascii="Times New Roman" w:eastAsia="Times New Roman" w:hAnsi="Times New Roman" w:cs="Times New Roman"/>
          <w:b/>
          <w:bCs/>
          <w:sz w:val="24"/>
          <w:szCs w:val="24"/>
        </w:rPr>
      </w:pPr>
      <w:bookmarkStart w:id="4" w:name="_Toc131807593"/>
      <w:r w:rsidRPr="00060E63">
        <w:rPr>
          <w:rFonts w:ascii="Times New Roman" w:eastAsia="Times New Roman" w:hAnsi="Times New Roman" w:cs="Times New Roman"/>
          <w:b/>
          <w:bCs/>
          <w:sz w:val="24"/>
          <w:szCs w:val="24"/>
        </w:rPr>
        <w:t>History of Agricultural Finance</w:t>
      </w:r>
      <w:bookmarkEnd w:id="4"/>
      <w:r w:rsidRPr="00060E63">
        <w:rPr>
          <w:rFonts w:ascii="Times New Roman" w:eastAsia="Times New Roman" w:hAnsi="Times New Roman" w:cs="Times New Roman"/>
          <w:b/>
          <w:bCs/>
          <w:sz w:val="24"/>
          <w:szCs w:val="24"/>
        </w:rPr>
        <w:t xml:space="preserve"> </w:t>
      </w:r>
    </w:p>
    <w:p w:rsidR="00060E63" w:rsidRPr="00060E63" w:rsidRDefault="00060E63" w:rsidP="00060E63">
      <w:pPr>
        <w:numPr>
          <w:ilvl w:val="3"/>
          <w:numId w:val="1"/>
        </w:numPr>
        <w:spacing w:line="360" w:lineRule="auto"/>
        <w:outlineLvl w:val="2"/>
        <w:rPr>
          <w:rFonts w:ascii="Times New Roman" w:eastAsia="Times New Roman" w:hAnsi="Times New Roman" w:cs="Times New Roman"/>
          <w:b/>
          <w:bCs/>
          <w:sz w:val="24"/>
          <w:szCs w:val="24"/>
        </w:rPr>
      </w:pPr>
      <w:bookmarkStart w:id="5" w:name="_Toc131807594"/>
      <w:r w:rsidRPr="00060E63">
        <w:rPr>
          <w:rFonts w:ascii="Times New Roman" w:eastAsia="Times New Roman" w:hAnsi="Times New Roman" w:cs="Times New Roman"/>
          <w:b/>
          <w:bCs/>
          <w:sz w:val="24"/>
          <w:szCs w:val="24"/>
        </w:rPr>
        <w:t>Agricultural Credit</w:t>
      </w:r>
      <w:bookmarkEnd w:id="5"/>
    </w:p>
    <w:p w:rsidR="00060E63" w:rsidRPr="00060E63" w:rsidRDefault="00060E63" w:rsidP="00060E63">
      <w:pPr>
        <w:spacing w:line="360" w:lineRule="auto"/>
        <w:jc w:val="both"/>
        <w:outlineLvl w:val="2"/>
        <w:rPr>
          <w:rFonts w:ascii="Calibri" w:eastAsia="Times New Roman" w:hAnsi="Calibri" w:cs="Times New Roman"/>
          <w:sz w:val="20"/>
          <w:szCs w:val="20"/>
        </w:rPr>
      </w:pPr>
      <w:r w:rsidRPr="00060E63">
        <w:rPr>
          <w:rFonts w:ascii="Calibri" w:eastAsia="Times New Roman" w:hAnsi="Calibri" w:cs="Times New Roman"/>
          <w:sz w:val="20"/>
          <w:szCs w:val="20"/>
          <w:highlight w:val="cyan"/>
        </w:rPr>
        <w:t>The food shortages after Second World War in Europe, led to focus to the issue of agricultural development. High yielding varieties (HYVs) and new agricultural technologies such as fertilizers and agrochemicals were advanced to increase global food production. In order to engage in intensive agriculture, smallholder farmers had to be supported in terms of loan with assumption that the provision of subsidized credits would induce farmers to apply fertilizer, to irrigate, and to adopt HYVs. For the purpose of providing credit, large state agricultural banks or agricultural credit programmers were found that received concessionary credits for lending to smallholders looking for adopting new agricultural technologies, new plant varieties, chemical fertilizers, and agro-chemical</w:t>
      </w:r>
      <w:r w:rsidRPr="00060E63">
        <w:rPr>
          <w:rFonts w:ascii="Calibri" w:eastAsia="Times New Roman" w:hAnsi="Calibri" w:cs="Times New Roman"/>
          <w:sz w:val="20"/>
          <w:szCs w:val="20"/>
        </w:rPr>
        <w:t xml:space="preserve">s. The loans were highly subsidized to speed up farmers' adoption of the Green Revolution production packages. </w:t>
      </w:r>
    </w:p>
    <w:p w:rsidR="00060E63" w:rsidRPr="00060E63" w:rsidRDefault="00060E63" w:rsidP="00060E63">
      <w:pPr>
        <w:spacing w:line="360" w:lineRule="auto"/>
        <w:jc w:val="both"/>
        <w:outlineLvl w:val="2"/>
        <w:rPr>
          <w:rFonts w:ascii="Calibri" w:eastAsia="Times New Roman" w:hAnsi="Calibri" w:cs="Times New Roman"/>
          <w:sz w:val="20"/>
          <w:szCs w:val="20"/>
        </w:rPr>
      </w:pPr>
      <w:r w:rsidRPr="00060E63">
        <w:rPr>
          <w:rFonts w:ascii="Calibri" w:eastAsia="Times New Roman" w:hAnsi="Calibri" w:cs="Times New Roman"/>
          <w:sz w:val="20"/>
          <w:szCs w:val="20"/>
        </w:rPr>
        <w:t xml:space="preserve">SSA was mostly bypassed by the introduction of HYVs and other Green Revolution technologies.16 However, after their independence most African countries were also aware of the importance of smallholder agriculture for development and keen to develop their agricultural sector. Thus, even though the Green Revolution technology was not widely implemented in SSA, SSA countries followed the state-led development paradigm prevalent at this time and state-led agricultural banks, donor-funded agricultural credit </w:t>
      </w:r>
      <w:proofErr w:type="spellStart"/>
      <w:r w:rsidRPr="00060E63">
        <w:rPr>
          <w:rFonts w:ascii="Calibri" w:eastAsia="Times New Roman" w:hAnsi="Calibri" w:cs="Times New Roman"/>
          <w:sz w:val="20"/>
          <w:szCs w:val="20"/>
        </w:rPr>
        <w:t>programmes</w:t>
      </w:r>
      <w:proofErr w:type="spellEnd"/>
      <w:r w:rsidRPr="00060E63">
        <w:rPr>
          <w:rFonts w:ascii="Calibri" w:eastAsia="Times New Roman" w:hAnsi="Calibri" w:cs="Times New Roman"/>
          <w:sz w:val="20"/>
          <w:szCs w:val="20"/>
        </w:rPr>
        <w:t xml:space="preserve">, and parastatal marketing boards became widespread in SSA. (IFAD 2003, 5; Jayne et al. 2010, 1393; </w:t>
      </w:r>
      <w:proofErr w:type="spellStart"/>
      <w:r w:rsidRPr="00060E63">
        <w:rPr>
          <w:rFonts w:ascii="Calibri" w:eastAsia="Times New Roman" w:hAnsi="Calibri" w:cs="Times New Roman"/>
          <w:sz w:val="20"/>
          <w:szCs w:val="20"/>
        </w:rPr>
        <w:t>Kherallah</w:t>
      </w:r>
      <w:proofErr w:type="spellEnd"/>
      <w:r w:rsidRPr="00060E63">
        <w:rPr>
          <w:rFonts w:ascii="Calibri" w:eastAsia="Times New Roman" w:hAnsi="Calibri" w:cs="Times New Roman"/>
          <w:sz w:val="20"/>
          <w:szCs w:val="20"/>
        </w:rPr>
        <w:t xml:space="preserve"> et al. 2000, 8ff.; Adams/von </w:t>
      </w:r>
      <w:proofErr w:type="spellStart"/>
      <w:r w:rsidRPr="00060E63">
        <w:rPr>
          <w:rFonts w:ascii="Calibri" w:eastAsia="Times New Roman" w:hAnsi="Calibri" w:cs="Times New Roman"/>
          <w:sz w:val="20"/>
          <w:szCs w:val="20"/>
        </w:rPr>
        <w:t>Pitschke</w:t>
      </w:r>
      <w:proofErr w:type="spellEnd"/>
      <w:r w:rsidRPr="00060E63">
        <w:rPr>
          <w:rFonts w:ascii="Calibri" w:eastAsia="Times New Roman" w:hAnsi="Calibri" w:cs="Times New Roman"/>
          <w:sz w:val="20"/>
          <w:szCs w:val="20"/>
        </w:rPr>
        <w:t xml:space="preserve"> 1992, 1463ff.)</w:t>
      </w:r>
    </w:p>
    <w:p w:rsidR="00060E63" w:rsidRPr="00060E63" w:rsidRDefault="00060E63" w:rsidP="00060E63">
      <w:pPr>
        <w:spacing w:line="360" w:lineRule="auto"/>
        <w:jc w:val="both"/>
        <w:outlineLvl w:val="2"/>
        <w:rPr>
          <w:rFonts w:ascii="Calibri" w:eastAsia="Times New Roman" w:hAnsi="Calibri" w:cs="Times New Roman"/>
          <w:sz w:val="20"/>
          <w:szCs w:val="20"/>
        </w:rPr>
      </w:pPr>
      <w:r w:rsidRPr="00060E63">
        <w:rPr>
          <w:rFonts w:ascii="Calibri" w:eastAsia="Times New Roman" w:hAnsi="Calibri" w:cs="Times New Roman"/>
          <w:sz w:val="20"/>
          <w:szCs w:val="20"/>
        </w:rPr>
        <w:lastRenderedPageBreak/>
        <w:t>In the late 1970s and early 1980s, scientists of the Rural Finance Program at Ohio State University started to heavily criticize government-led banks and subsidized agricultural credit programmes.17 They argued that the little productivity increase that could be found in some Asian countries was largely offset by the high costs as well as the long-term unsustainability of these subsidized state-led agricultural finance institutions (Binswanger/</w:t>
      </w:r>
      <w:proofErr w:type="spellStart"/>
      <w:r w:rsidRPr="00060E63">
        <w:rPr>
          <w:rFonts w:ascii="Calibri" w:eastAsia="Times New Roman" w:hAnsi="Calibri" w:cs="Times New Roman"/>
          <w:sz w:val="20"/>
          <w:szCs w:val="20"/>
        </w:rPr>
        <w:t>Khandker</w:t>
      </w:r>
      <w:proofErr w:type="spellEnd"/>
      <w:r w:rsidRPr="00060E63">
        <w:rPr>
          <w:rFonts w:ascii="Calibri" w:eastAsia="Times New Roman" w:hAnsi="Calibri" w:cs="Times New Roman"/>
          <w:sz w:val="20"/>
          <w:szCs w:val="20"/>
        </w:rPr>
        <w:t xml:space="preserve"> 1995, cited after </w:t>
      </w:r>
      <w:proofErr w:type="spellStart"/>
      <w:r w:rsidRPr="00060E63">
        <w:rPr>
          <w:rFonts w:ascii="Calibri" w:eastAsia="Times New Roman" w:hAnsi="Calibri" w:cs="Times New Roman"/>
          <w:sz w:val="20"/>
          <w:szCs w:val="20"/>
        </w:rPr>
        <w:t>Armendáriz</w:t>
      </w:r>
      <w:proofErr w:type="spellEnd"/>
      <w:r w:rsidRPr="00060E63">
        <w:rPr>
          <w:rFonts w:ascii="Calibri" w:eastAsia="Times New Roman" w:hAnsi="Calibri" w:cs="Times New Roman"/>
          <w:sz w:val="20"/>
          <w:szCs w:val="20"/>
        </w:rPr>
        <w:t>/Morduch 2010, 11). Additionally, the old paradigm did not meet its objectives of income expansion and poverty reduction (</w:t>
      </w:r>
      <w:proofErr w:type="spellStart"/>
      <w:r w:rsidRPr="00060E63">
        <w:rPr>
          <w:rFonts w:ascii="Calibri" w:eastAsia="Times New Roman" w:hAnsi="Calibri" w:cs="Times New Roman"/>
          <w:sz w:val="20"/>
          <w:szCs w:val="20"/>
        </w:rPr>
        <w:t>Yaron</w:t>
      </w:r>
      <w:proofErr w:type="spellEnd"/>
      <w:r w:rsidRPr="00060E63">
        <w:rPr>
          <w:rFonts w:ascii="Calibri" w:eastAsia="Times New Roman" w:hAnsi="Calibri" w:cs="Times New Roman"/>
          <w:sz w:val="20"/>
          <w:szCs w:val="20"/>
        </w:rPr>
        <w:t xml:space="preserve"> et al. 1997, 3). Since the market rate of interest as a rationing mechanism was lacking, money was often allocated on the basis of social and political concern and not to those with the most worthy projects. Additionally, loans were often badly monitored, because the institutional success was measured by issued credits and not by repayment rates, and many times loans were excused before elections. </w:t>
      </w:r>
    </w:p>
    <w:p w:rsidR="00060E63" w:rsidRPr="00060E63" w:rsidRDefault="00060E63" w:rsidP="00060E63">
      <w:pPr>
        <w:spacing w:line="360" w:lineRule="auto"/>
        <w:jc w:val="both"/>
        <w:outlineLvl w:val="2"/>
        <w:rPr>
          <w:rFonts w:ascii="Calibri" w:eastAsia="Times New Roman" w:hAnsi="Calibri" w:cs="Times New Roman"/>
          <w:sz w:val="20"/>
          <w:szCs w:val="20"/>
        </w:rPr>
      </w:pPr>
      <w:r w:rsidRPr="00060E63">
        <w:rPr>
          <w:rFonts w:ascii="Calibri" w:eastAsia="Times New Roman" w:hAnsi="Calibri" w:cs="Times New Roman"/>
          <w:sz w:val="20"/>
          <w:szCs w:val="20"/>
        </w:rPr>
        <w:t xml:space="preserve">In the years following the 1980s, a number of parallel developments took place: (1) Criticism of the old paradigm grew. (2) MFIs (at this time mostly micro-credit institutions) emerged and had some innovative approaches to managing the risks and costs associated with low-income clients. Because of the bad reputation of the state-led model, early MFIs turned to the private sector for inspiration and tried to run their MFIs as businesses and not as a channel for donated money. Their success showed that low-income people can be creditworthy, when using the right lending techniques and are able to pay market-interest rates. (3) The paradigm of privatization and free markets emerged globally. Many SSA countries had to implement structural adjustment </w:t>
      </w:r>
      <w:proofErr w:type="spellStart"/>
      <w:r w:rsidRPr="00060E63">
        <w:rPr>
          <w:rFonts w:ascii="Calibri" w:eastAsia="Times New Roman" w:hAnsi="Calibri" w:cs="Times New Roman"/>
          <w:sz w:val="20"/>
          <w:szCs w:val="20"/>
        </w:rPr>
        <w:t>programmes</w:t>
      </w:r>
      <w:proofErr w:type="spellEnd"/>
      <w:r w:rsidRPr="00060E63">
        <w:rPr>
          <w:rFonts w:ascii="Calibri" w:eastAsia="Times New Roman" w:hAnsi="Calibri" w:cs="Times New Roman"/>
          <w:sz w:val="20"/>
          <w:szCs w:val="20"/>
        </w:rPr>
        <w:t xml:space="preserve"> (SAPs) and international donors promoted the privatization or dismantling of agricultural marketing parastatals, the deregulation of (agricultural) credit markets, and the elimination of credit and other subsidies. Consequently, most governments and donors stopped their funding, agricultural banks were either closed or privatized, and many agricultural credit </w:t>
      </w:r>
      <w:proofErr w:type="spellStart"/>
      <w:r w:rsidRPr="00060E63">
        <w:rPr>
          <w:rFonts w:ascii="Calibri" w:eastAsia="Times New Roman" w:hAnsi="Calibri" w:cs="Times New Roman"/>
          <w:sz w:val="20"/>
          <w:szCs w:val="20"/>
        </w:rPr>
        <w:t>programmes</w:t>
      </w:r>
      <w:proofErr w:type="spellEnd"/>
      <w:r w:rsidRPr="00060E63">
        <w:rPr>
          <w:rFonts w:ascii="Calibri" w:eastAsia="Times New Roman" w:hAnsi="Calibri" w:cs="Times New Roman"/>
          <w:sz w:val="20"/>
          <w:szCs w:val="20"/>
        </w:rPr>
        <w:t xml:space="preserve"> imploded as a result. (Adams/von </w:t>
      </w:r>
      <w:proofErr w:type="spellStart"/>
      <w:r w:rsidRPr="00060E63">
        <w:rPr>
          <w:rFonts w:ascii="Calibri" w:eastAsia="Times New Roman" w:hAnsi="Calibri" w:cs="Times New Roman"/>
          <w:sz w:val="20"/>
          <w:szCs w:val="20"/>
        </w:rPr>
        <w:t>Pitschke</w:t>
      </w:r>
      <w:proofErr w:type="spellEnd"/>
      <w:r w:rsidRPr="00060E63">
        <w:rPr>
          <w:rFonts w:ascii="Calibri" w:eastAsia="Times New Roman" w:hAnsi="Calibri" w:cs="Times New Roman"/>
          <w:sz w:val="20"/>
          <w:szCs w:val="20"/>
        </w:rPr>
        <w:t xml:space="preserve"> 1992, 1466; </w:t>
      </w:r>
      <w:proofErr w:type="spellStart"/>
      <w:r w:rsidRPr="00060E63">
        <w:rPr>
          <w:rFonts w:ascii="Calibri" w:eastAsia="Times New Roman" w:hAnsi="Calibri" w:cs="Times New Roman"/>
          <w:sz w:val="20"/>
          <w:szCs w:val="20"/>
        </w:rPr>
        <w:t>Dorward</w:t>
      </w:r>
      <w:proofErr w:type="spellEnd"/>
      <w:r w:rsidRPr="00060E63">
        <w:rPr>
          <w:rFonts w:ascii="Calibri" w:eastAsia="Times New Roman" w:hAnsi="Calibri" w:cs="Times New Roman"/>
          <w:sz w:val="20"/>
          <w:szCs w:val="20"/>
        </w:rPr>
        <w:t xml:space="preserve"> et al. 2009, 15; Meyer 2011, 12)</w:t>
      </w:r>
    </w:p>
    <w:p w:rsidR="00060E63" w:rsidRPr="00060E63" w:rsidRDefault="00060E63" w:rsidP="00060E63">
      <w:pPr>
        <w:spacing w:line="360" w:lineRule="auto"/>
        <w:jc w:val="both"/>
        <w:outlineLvl w:val="2"/>
        <w:rPr>
          <w:rFonts w:ascii="Times New Roman" w:eastAsia="Times New Roman" w:hAnsi="Times New Roman" w:cs="Times New Roman"/>
          <w:b/>
          <w:bCs/>
          <w:sz w:val="24"/>
          <w:szCs w:val="24"/>
        </w:rPr>
      </w:pPr>
      <w:r w:rsidRPr="00060E63">
        <w:rPr>
          <w:rFonts w:ascii="Calibri" w:eastAsia="Times New Roman" w:hAnsi="Calibri" w:cs="Times New Roman"/>
          <w:sz w:val="20"/>
          <w:szCs w:val="20"/>
        </w:rPr>
        <w:t>At the same time and influenced by all these changes, a new paradigm called the financial system approach developed and provided a new framework for development finance (Table 2).</w:t>
      </w:r>
      <w:r w:rsidRPr="00060E63">
        <w:rPr>
          <w:rFonts w:ascii="Calibri" w:eastAsia="Times New Roman" w:hAnsi="Calibri" w:cs="Times New Roman"/>
          <w:sz w:val="20"/>
          <w:szCs w:val="20"/>
        </w:rPr>
        <w:fldChar w:fldCharType="begin"/>
      </w:r>
      <w:r w:rsidRPr="00060E63">
        <w:rPr>
          <w:rFonts w:ascii="Calibri" w:eastAsia="Times New Roman" w:hAnsi="Calibri" w:cs="Times New Roman"/>
          <w:sz w:val="20"/>
          <w:szCs w:val="20"/>
        </w:rPr>
        <w:instrText xml:space="preserve"> ADDIN ZOTERO_ITEM CSL_CITATION {"citationID":"0eVD87ck","properties":{"formattedCitation":"(Roettger et al., 2015)","plainCitation":"(Roettger et al., 2015)","noteIndex":0},"citationItems":[{"id":318,"uris":["http://zotero.org/users/local/TVJe6XJk/items/FQBSFW2L"],"itemData":{"id":318,"type":"article-journal","language":"en","source":"Zotero","title":"Agricultural Finance for Smallholder Farmers","author":[{"family":"Roettger","given":"Daniela"},{"family":"Guich","given":"ut"},{"family":"Philippe","given":""}],"issued":{"date-parts":[["2015"]]}}}],"schema":"https://github.com/citation-style-language/schema/raw/master/csl-citation.json"} </w:instrText>
      </w:r>
      <w:r w:rsidRPr="00060E63">
        <w:rPr>
          <w:rFonts w:ascii="Calibri" w:eastAsia="Times New Roman" w:hAnsi="Calibri" w:cs="Times New Roman"/>
          <w:sz w:val="20"/>
          <w:szCs w:val="20"/>
        </w:rPr>
        <w:fldChar w:fldCharType="separate"/>
      </w:r>
      <w:proofErr w:type="gramStart"/>
      <w:r w:rsidRPr="00060E63">
        <w:rPr>
          <w:rFonts w:ascii="Calibri" w:eastAsia="Times New Roman" w:hAnsi="Calibri" w:cs="Calibri"/>
          <w:sz w:val="20"/>
          <w:szCs w:val="20"/>
        </w:rPr>
        <w:t>(</w:t>
      </w:r>
      <w:proofErr w:type="spellStart"/>
      <w:r w:rsidRPr="00060E63">
        <w:rPr>
          <w:rFonts w:ascii="Calibri" w:eastAsia="Times New Roman" w:hAnsi="Calibri" w:cs="Calibri"/>
          <w:sz w:val="20"/>
          <w:szCs w:val="20"/>
        </w:rPr>
        <w:t>Roettger</w:t>
      </w:r>
      <w:proofErr w:type="spellEnd"/>
      <w:r w:rsidRPr="00060E63">
        <w:rPr>
          <w:rFonts w:ascii="Calibri" w:eastAsia="Times New Roman" w:hAnsi="Calibri" w:cs="Calibri"/>
          <w:sz w:val="20"/>
          <w:szCs w:val="20"/>
        </w:rPr>
        <w:t xml:space="preserve"> et al., 2015)</w:t>
      </w:r>
      <w:r w:rsidRPr="00060E63">
        <w:rPr>
          <w:rFonts w:ascii="Calibri" w:eastAsia="Times New Roman" w:hAnsi="Calibri" w:cs="Times New Roman"/>
          <w:sz w:val="20"/>
          <w:szCs w:val="20"/>
        </w:rPr>
        <w:fldChar w:fldCharType="end"/>
      </w:r>
      <w:r w:rsidRPr="00060E63">
        <w:rPr>
          <w:rFonts w:ascii="Calibri" w:eastAsia="Times New Roman" w:hAnsi="Calibri" w:cs="Times New Roman"/>
          <w:sz w:val="20"/>
          <w:szCs w:val="20"/>
        </w:rPr>
        <w:t>.</w:t>
      </w:r>
      <w:proofErr w:type="gramEnd"/>
    </w:p>
    <w:p w:rsidR="00060E63" w:rsidRPr="00060E63" w:rsidRDefault="00060E63" w:rsidP="00060E63">
      <w:pPr>
        <w:numPr>
          <w:ilvl w:val="3"/>
          <w:numId w:val="1"/>
        </w:numPr>
        <w:spacing w:line="360" w:lineRule="auto"/>
        <w:outlineLvl w:val="2"/>
        <w:rPr>
          <w:rFonts w:ascii="Times New Roman" w:eastAsia="Times New Roman" w:hAnsi="Times New Roman" w:cs="Times New Roman"/>
          <w:b/>
          <w:bCs/>
          <w:sz w:val="24"/>
          <w:szCs w:val="24"/>
        </w:rPr>
      </w:pPr>
      <w:bookmarkStart w:id="6" w:name="_Toc131807595"/>
      <w:r w:rsidRPr="00060E63">
        <w:rPr>
          <w:rFonts w:ascii="Times New Roman" w:eastAsia="Times New Roman" w:hAnsi="Times New Roman" w:cs="Times New Roman"/>
          <w:b/>
          <w:bCs/>
          <w:sz w:val="24"/>
          <w:szCs w:val="24"/>
        </w:rPr>
        <w:t>Agricultural Insurance</w:t>
      </w:r>
      <w:bookmarkEnd w:id="6"/>
      <w:r w:rsidRPr="00060E63">
        <w:rPr>
          <w:rFonts w:ascii="Times New Roman" w:eastAsia="Times New Roman" w:hAnsi="Times New Roman" w:cs="Times New Roman"/>
          <w:b/>
          <w:bCs/>
          <w:sz w:val="24"/>
          <w:szCs w:val="24"/>
        </w:rPr>
        <w:t xml:space="preserve"> </w:t>
      </w:r>
    </w:p>
    <w:p w:rsidR="00060E63" w:rsidRPr="00060E63" w:rsidRDefault="00060E63" w:rsidP="00060E63">
      <w:pPr>
        <w:spacing w:line="360" w:lineRule="auto"/>
        <w:jc w:val="both"/>
        <w:rPr>
          <w:rFonts w:ascii="Times New Roman" w:eastAsia="Times New Roman" w:hAnsi="Times New Roman" w:cs="Times New Roman"/>
          <w:sz w:val="24"/>
          <w:szCs w:val="24"/>
        </w:rPr>
      </w:pPr>
      <w:r w:rsidRPr="00060E63">
        <w:rPr>
          <w:rFonts w:ascii="Times New Roman" w:eastAsia="Times New Roman" w:hAnsi="Times New Roman" w:cs="Times New Roman"/>
          <w:sz w:val="24"/>
          <w:szCs w:val="24"/>
        </w:rPr>
        <w:t xml:space="preserve">Crop insurance is widely researched aspect of agricultural insurance due to the fact that growing of crops remains the principal feature of agriculture. Nevertheless,  agricultural insurance is wide and comprises horticulture, plantations, forestry, viniculture, rearing of animals such as livestock, aviculture (including poultry), aquaculture, sericulture, and apiculture are all related to agricultural activities. In its broad sense agricultural insurance is provided to the whole production process including post-harvest storage, processing and transportation of produce to end markets. The capital assets engaged in the production processes such as dwellings, </w:t>
      </w:r>
      <w:r w:rsidRPr="00060E63">
        <w:rPr>
          <w:rFonts w:ascii="Times New Roman" w:eastAsia="Times New Roman" w:hAnsi="Times New Roman" w:cs="Times New Roman"/>
          <w:sz w:val="24"/>
          <w:szCs w:val="24"/>
        </w:rPr>
        <w:lastRenderedPageBreak/>
        <w:t>machinery, draught animals, equipment and tools, processing plants, etc. are also need to be covered</w:t>
      </w:r>
      <w:r w:rsidRPr="00060E63">
        <w:rPr>
          <w:rFonts w:ascii="Times New Roman" w:eastAsia="Times New Roman" w:hAnsi="Times New Roman" w:cs="Times New Roman"/>
          <w:sz w:val="24"/>
          <w:szCs w:val="24"/>
        </w:rPr>
        <w:fldChar w:fldCharType="begin"/>
      </w:r>
      <w:r w:rsidRPr="00060E63">
        <w:rPr>
          <w:rFonts w:ascii="Times New Roman" w:eastAsia="Times New Roman" w:hAnsi="Times New Roman" w:cs="Times New Roman"/>
          <w:sz w:val="24"/>
          <w:szCs w:val="24"/>
        </w:rPr>
        <w:instrText xml:space="preserve"> ADDIN ZOTERO_ITEM CSL_CITATION {"citationID":"Ze0hANV4","properties":{"formattedCitation":"(UNCTAD, 1994)","plainCitation":"(UNCTAD, 1994)","noteIndex":0},"citationItems":[{"id":328,"uris":["http://zotero.org/users/local/TVJe6XJk/items/7AF9P6NK"],"itemData":{"id":328,"type":"document","language":"en","title":"AGRICULTURAL INSURANCE IN DEVELOPING COUNTRIES","author":[{"family":"UNCTAD","given":""}],"issued":{"date-parts":[["1994"]]}}}],"schema":"https://github.com/citation-style-language/schema/raw/master/csl-citation.json"} </w:instrText>
      </w:r>
      <w:r w:rsidRPr="00060E63">
        <w:rPr>
          <w:rFonts w:ascii="Times New Roman" w:eastAsia="Times New Roman" w:hAnsi="Times New Roman" w:cs="Times New Roman"/>
          <w:sz w:val="24"/>
          <w:szCs w:val="24"/>
        </w:rPr>
        <w:fldChar w:fldCharType="separate"/>
      </w:r>
      <w:r w:rsidRPr="00060E63">
        <w:rPr>
          <w:rFonts w:ascii="Times New Roman" w:eastAsia="Times New Roman" w:hAnsi="Times New Roman" w:cs="Times New Roman"/>
          <w:sz w:val="24"/>
          <w:szCs w:val="20"/>
        </w:rPr>
        <w:t>(UNCTAD, 1994)</w:t>
      </w:r>
      <w:r w:rsidRPr="00060E63">
        <w:rPr>
          <w:rFonts w:ascii="Times New Roman" w:eastAsia="Times New Roman" w:hAnsi="Times New Roman" w:cs="Times New Roman"/>
          <w:sz w:val="24"/>
          <w:szCs w:val="24"/>
        </w:rPr>
        <w:fldChar w:fldCharType="end"/>
      </w:r>
    </w:p>
    <w:p w:rsidR="00060E63" w:rsidRPr="00060E63" w:rsidRDefault="00060E63" w:rsidP="00060E63">
      <w:pPr>
        <w:spacing w:line="360" w:lineRule="auto"/>
        <w:jc w:val="both"/>
        <w:rPr>
          <w:rFonts w:ascii="Times New Roman" w:eastAsia="Times New Roman" w:hAnsi="Times New Roman" w:cs="Times New Roman"/>
          <w:sz w:val="24"/>
          <w:szCs w:val="24"/>
          <w:highlight w:val="yellow"/>
        </w:rPr>
      </w:pPr>
      <w:r w:rsidRPr="00060E63">
        <w:rPr>
          <w:rFonts w:ascii="Times New Roman" w:eastAsia="Times New Roman" w:hAnsi="Times New Roman" w:cs="Times New Roman"/>
          <w:sz w:val="24"/>
          <w:szCs w:val="24"/>
        </w:rPr>
        <w:t xml:space="preserve">Hazell and Hess (2016) estimate that the total number of insured smallholders in 2014 in the developing world is 198 million, with approximately 650,000 in Africa, 3.3 million in Latin America and the Caribbean, and about 194 million in Asia, including 160 million in China and 33 million in India. Other estimates are provided by the regional landscape studies conducted by the Micro Insurance Centre, as part of the Micro insurance Network’s World Map of Micro insurance (Micro insurance Network </w:t>
      </w:r>
      <w:proofErr w:type="spellStart"/>
      <w:r w:rsidRPr="00060E63">
        <w:rPr>
          <w:rFonts w:ascii="Times New Roman" w:eastAsia="Times New Roman" w:hAnsi="Times New Roman" w:cs="Times New Roman"/>
          <w:sz w:val="24"/>
          <w:szCs w:val="24"/>
        </w:rPr>
        <w:t>n.d.</w:t>
      </w:r>
      <w:proofErr w:type="spellEnd"/>
      <w:r w:rsidRPr="00060E63">
        <w:rPr>
          <w:rFonts w:ascii="Times New Roman" w:eastAsia="Times New Roman" w:hAnsi="Times New Roman" w:cs="Times New Roman"/>
          <w:sz w:val="24"/>
          <w:szCs w:val="24"/>
        </w:rPr>
        <w:t>). A total of 1.1 million Africans were identified as being covered by agricultural micro insurance as of the end of 2014 (Micro Insurance Center 2016). In Latin America and the Caribbean; the number of people covered by agricultural insurance has increased by 129 percent, from 35,000 in 2014 to 80,000 in 2017 (A2F Consulting 2018). In Asia and Oceania the number of people covered by agricultural micro insurance in 2012 is estimated at 23.8 million, and agricultural products were registering the highest growth of all micro insurance product types</w:t>
      </w:r>
      <w:r w:rsidRPr="00060E63">
        <w:rPr>
          <w:rFonts w:ascii="Times New Roman" w:eastAsia="Times New Roman" w:hAnsi="Times New Roman" w:cs="Times New Roman"/>
          <w:sz w:val="24"/>
          <w:szCs w:val="24"/>
        </w:rPr>
        <w:fldChar w:fldCharType="begin"/>
      </w:r>
      <w:r w:rsidRPr="00060E63">
        <w:rPr>
          <w:rFonts w:ascii="Times New Roman" w:eastAsia="Times New Roman" w:hAnsi="Times New Roman" w:cs="Times New Roman"/>
          <w:sz w:val="24"/>
          <w:szCs w:val="24"/>
        </w:rPr>
        <w:instrText xml:space="preserve"> ADDIN ZOTERO_ITEM CSL_CITATION {"citationID":"bgef4Yuh","properties":{"formattedCitation":"(Robles, 2020)","plainCitation":"(Robles, 2020)","noteIndex":0},"citationItems":[{"id":325,"uris":["http://zotero.org/users/local/TVJe6XJk/items/Z5MMV85R"],"itemData":{"id":325,"type":"report","event-place":"Washington, DC","language":"en","note":"edition: 0\nDOI: 10.2499/9780896293830_17","publisher":"International Food Policy Research Institute","publisher-place":"Washington, DC","source":"DOI.org (Crossref)","title":"Agricultural insurance for development: Past, present, and future","title-short":"Agricultural insurance for development","URL":"https://ebrary.ifpri.org/digital/collection/p15738coll2/id/134107","author":[{"family":"Robles","given":"Miguel"}],"accessed":{"date-parts":[["2023",3,30]]},"issued":{"date-parts":[["2020"]]}}}],"schema":"https://github.com/citation-style-language/schema/raw/master/csl-citation.json"} </w:instrText>
      </w:r>
      <w:r w:rsidRPr="00060E63">
        <w:rPr>
          <w:rFonts w:ascii="Times New Roman" w:eastAsia="Times New Roman" w:hAnsi="Times New Roman" w:cs="Times New Roman"/>
          <w:sz w:val="24"/>
          <w:szCs w:val="24"/>
        </w:rPr>
        <w:fldChar w:fldCharType="separate"/>
      </w:r>
      <w:r w:rsidRPr="00060E63">
        <w:rPr>
          <w:rFonts w:ascii="Times New Roman" w:eastAsia="Times New Roman" w:hAnsi="Times New Roman" w:cs="Times New Roman"/>
          <w:sz w:val="24"/>
          <w:szCs w:val="24"/>
        </w:rPr>
        <w:t>(Robles, 2020)</w:t>
      </w:r>
      <w:r w:rsidRPr="00060E63">
        <w:rPr>
          <w:rFonts w:ascii="Times New Roman" w:eastAsia="Times New Roman" w:hAnsi="Times New Roman" w:cs="Times New Roman"/>
          <w:sz w:val="24"/>
          <w:szCs w:val="24"/>
        </w:rPr>
        <w:fldChar w:fldCharType="end"/>
      </w:r>
      <w:r w:rsidRPr="00060E63">
        <w:rPr>
          <w:rFonts w:ascii="Times New Roman" w:eastAsia="Times New Roman" w:hAnsi="Times New Roman" w:cs="Times New Roman"/>
          <w:sz w:val="24"/>
          <w:szCs w:val="24"/>
        </w:rPr>
        <w:t xml:space="preserve">. </w:t>
      </w:r>
    </w:p>
    <w:p w:rsidR="00060E63" w:rsidRPr="00060E63" w:rsidRDefault="00060E63" w:rsidP="00060E63">
      <w:pPr>
        <w:spacing w:line="360" w:lineRule="auto"/>
        <w:jc w:val="both"/>
        <w:rPr>
          <w:rFonts w:ascii="Times New Roman" w:eastAsia="Times New Roman" w:hAnsi="Times New Roman" w:cs="Times New Roman"/>
          <w:sz w:val="24"/>
          <w:szCs w:val="24"/>
        </w:rPr>
      </w:pPr>
      <w:r w:rsidRPr="00060E63">
        <w:rPr>
          <w:rFonts w:ascii="Times New Roman" w:eastAsia="Times New Roman" w:hAnsi="Times New Roman" w:cs="Times New Roman"/>
          <w:sz w:val="24"/>
          <w:szCs w:val="24"/>
          <w:highlight w:val="yellow"/>
        </w:rPr>
        <w:t xml:space="preserve">The most comprehensive study assessing the extent of agricultural insurance around the world was conducted by </w:t>
      </w:r>
      <w:proofErr w:type="spellStart"/>
      <w:r w:rsidRPr="00060E63">
        <w:rPr>
          <w:rFonts w:ascii="Times New Roman" w:eastAsia="Times New Roman" w:hAnsi="Times New Roman" w:cs="Times New Roman"/>
          <w:sz w:val="24"/>
          <w:szCs w:val="24"/>
          <w:highlight w:val="yellow"/>
        </w:rPr>
        <w:t>Mahul</w:t>
      </w:r>
      <w:proofErr w:type="spellEnd"/>
      <w:r w:rsidRPr="00060E63">
        <w:rPr>
          <w:rFonts w:ascii="Times New Roman" w:eastAsia="Times New Roman" w:hAnsi="Times New Roman" w:cs="Times New Roman"/>
          <w:sz w:val="24"/>
          <w:szCs w:val="24"/>
          <w:highlight w:val="yellow"/>
        </w:rPr>
        <w:t xml:space="preserve"> and </w:t>
      </w:r>
      <w:proofErr w:type="spellStart"/>
      <w:r w:rsidRPr="00060E63">
        <w:rPr>
          <w:rFonts w:ascii="Times New Roman" w:eastAsia="Times New Roman" w:hAnsi="Times New Roman" w:cs="Times New Roman"/>
          <w:sz w:val="24"/>
          <w:szCs w:val="24"/>
          <w:highlight w:val="yellow"/>
        </w:rPr>
        <w:t>Stutley</w:t>
      </w:r>
      <w:proofErr w:type="spellEnd"/>
      <w:r w:rsidRPr="00060E63">
        <w:rPr>
          <w:rFonts w:ascii="Times New Roman" w:eastAsia="Times New Roman" w:hAnsi="Times New Roman" w:cs="Times New Roman"/>
          <w:sz w:val="24"/>
          <w:szCs w:val="24"/>
          <w:highlight w:val="yellow"/>
        </w:rPr>
        <w:t xml:space="preserve"> (2010) based on a survey of 65 countries and showing the situation through 2007. Hazell and Hess (2016) summarize very well the most salient facts of this study, among them: Lower-middle-income and low-income countries accounted for only 7.5 percent of the total agricultural insurance premiums (including premium subsidies) of US$15.1 billion. Market penetration remains small, even in rich countries.  82 percent of countries offered both crop and livestock insurance, but crop insurance accounted for 90 percent of the premium</w:t>
      </w:r>
      <w:r w:rsidRPr="00060E63">
        <w:rPr>
          <w:rFonts w:ascii="Times New Roman" w:eastAsia="Times New Roman" w:hAnsi="Times New Roman" w:cs="Times New Roman"/>
          <w:sz w:val="24"/>
          <w:szCs w:val="24"/>
          <w:highlight w:val="yellow"/>
        </w:rPr>
        <w:fldChar w:fldCharType="begin"/>
      </w:r>
      <w:r w:rsidRPr="00060E63">
        <w:rPr>
          <w:rFonts w:ascii="Times New Roman" w:eastAsia="Times New Roman" w:hAnsi="Times New Roman" w:cs="Times New Roman"/>
          <w:sz w:val="24"/>
          <w:szCs w:val="24"/>
          <w:highlight w:val="yellow"/>
        </w:rPr>
        <w:instrText xml:space="preserve"> ADDIN ZOTERO_ITEM CSL_CITATION {"citationID":"Y0sPzRqg","properties":{"formattedCitation":"(Robles, 2020)","plainCitation":"(Robles, 2020)","noteIndex":0},"citationItems":[{"id":325,"uris":["http://zotero.org/users/local/TVJe6XJk/items/Z5MMV85R"],"itemData":{"id":325,"type":"report","event-place":"Washington, DC","language":"en","note":"edition: 0\nDOI: 10.2499/9780896293830_17","publisher":"International Food Policy Research Institute","publisher-place":"Washington, DC","source":"DOI.org (Crossref)","title":"Agricultural insurance for development: Past, present, and future","title-short":"Agricultural insurance for development","URL":"https://ebrary.ifpri.org/digital/collection/p15738coll2/id/134107","author":[{"family":"Robles","given":"Miguel"}],"accessed":{"date-parts":[["2023",3,30]]},"issued":{"date-parts":[["2020"]]}}}],"schema":"https://github.com/citation-style-language/schema/raw/master/csl-citation.json"} </w:instrText>
      </w:r>
      <w:r w:rsidRPr="00060E63">
        <w:rPr>
          <w:rFonts w:ascii="Times New Roman" w:eastAsia="Times New Roman" w:hAnsi="Times New Roman" w:cs="Times New Roman"/>
          <w:sz w:val="24"/>
          <w:szCs w:val="24"/>
          <w:highlight w:val="yellow"/>
        </w:rPr>
        <w:fldChar w:fldCharType="separate"/>
      </w:r>
      <w:r w:rsidRPr="00060E63">
        <w:rPr>
          <w:rFonts w:ascii="Times New Roman" w:eastAsia="Times New Roman" w:hAnsi="Times New Roman" w:cs="Times New Roman"/>
          <w:sz w:val="24"/>
          <w:szCs w:val="24"/>
          <w:highlight w:val="yellow"/>
        </w:rPr>
        <w:t>(Robles, 2020)</w:t>
      </w:r>
      <w:r w:rsidRPr="00060E63">
        <w:rPr>
          <w:rFonts w:ascii="Times New Roman" w:eastAsia="Times New Roman" w:hAnsi="Times New Roman" w:cs="Times New Roman"/>
          <w:sz w:val="24"/>
          <w:szCs w:val="24"/>
          <w:highlight w:val="yellow"/>
        </w:rPr>
        <w:fldChar w:fldCharType="end"/>
      </w:r>
      <w:r w:rsidRPr="00060E63">
        <w:rPr>
          <w:rFonts w:ascii="Times New Roman" w:eastAsia="Times New Roman" w:hAnsi="Times New Roman" w:cs="Times New Roman"/>
          <w:sz w:val="24"/>
          <w:szCs w:val="24"/>
          <w:highlight w:val="yellow"/>
        </w:rPr>
        <w:t>.</w:t>
      </w:r>
    </w:p>
    <w:p w:rsidR="00060E63" w:rsidRPr="00060E63" w:rsidRDefault="00060E63" w:rsidP="00060E63">
      <w:pPr>
        <w:numPr>
          <w:ilvl w:val="2"/>
          <w:numId w:val="1"/>
        </w:numPr>
        <w:spacing w:line="360" w:lineRule="auto"/>
        <w:outlineLvl w:val="2"/>
        <w:rPr>
          <w:rFonts w:ascii="Times New Roman" w:eastAsia="Times New Roman" w:hAnsi="Times New Roman" w:cs="Times New Roman"/>
          <w:b/>
          <w:bCs/>
          <w:sz w:val="24"/>
          <w:szCs w:val="24"/>
        </w:rPr>
      </w:pPr>
      <w:r w:rsidRPr="00060E63">
        <w:rPr>
          <w:rFonts w:ascii="Times New Roman" w:eastAsia="Times New Roman" w:hAnsi="Times New Roman" w:cs="Times New Roman"/>
          <w:b/>
          <w:bCs/>
          <w:sz w:val="24"/>
          <w:szCs w:val="24"/>
        </w:rPr>
        <w:t xml:space="preserve"> </w:t>
      </w:r>
      <w:bookmarkStart w:id="7" w:name="_Toc131807596"/>
      <w:r w:rsidRPr="00060E63">
        <w:rPr>
          <w:rFonts w:ascii="Times New Roman" w:eastAsia="Times New Roman" w:hAnsi="Times New Roman" w:cs="Times New Roman"/>
          <w:b/>
          <w:bCs/>
          <w:sz w:val="24"/>
          <w:szCs w:val="24"/>
        </w:rPr>
        <w:t>Global Value Chains</w:t>
      </w:r>
      <w:bookmarkEnd w:id="7"/>
      <w:r w:rsidRPr="00060E63">
        <w:rPr>
          <w:rFonts w:ascii="Times New Roman" w:eastAsia="Times New Roman" w:hAnsi="Times New Roman" w:cs="Times New Roman"/>
          <w:b/>
          <w:bCs/>
          <w:sz w:val="24"/>
          <w:szCs w:val="24"/>
        </w:rPr>
        <w:t xml:space="preserve"> </w:t>
      </w:r>
    </w:p>
    <w:p w:rsidR="00060E63" w:rsidRPr="00060E63" w:rsidRDefault="00060E63" w:rsidP="00060E63">
      <w:pPr>
        <w:numPr>
          <w:ilvl w:val="3"/>
          <w:numId w:val="1"/>
        </w:numPr>
        <w:spacing w:line="360" w:lineRule="auto"/>
        <w:outlineLvl w:val="2"/>
        <w:rPr>
          <w:rFonts w:ascii="Times New Roman" w:eastAsia="Times New Roman" w:hAnsi="Times New Roman" w:cs="Times New Roman"/>
          <w:b/>
          <w:bCs/>
          <w:sz w:val="24"/>
          <w:szCs w:val="24"/>
        </w:rPr>
      </w:pPr>
      <w:bookmarkStart w:id="8" w:name="_Toc131807597"/>
      <w:r w:rsidRPr="00060E63">
        <w:rPr>
          <w:rFonts w:ascii="Times New Roman" w:eastAsia="Times New Roman" w:hAnsi="Times New Roman" w:cs="Times New Roman"/>
          <w:b/>
          <w:bCs/>
          <w:sz w:val="24"/>
          <w:szCs w:val="24"/>
        </w:rPr>
        <w:t>Concepts and Definition</w:t>
      </w:r>
      <w:bookmarkEnd w:id="8"/>
      <w:r w:rsidRPr="00060E63">
        <w:rPr>
          <w:rFonts w:ascii="Times New Roman" w:eastAsia="Times New Roman" w:hAnsi="Times New Roman" w:cs="Times New Roman"/>
          <w:b/>
          <w:bCs/>
          <w:sz w:val="24"/>
          <w:szCs w:val="24"/>
        </w:rPr>
        <w:t xml:space="preserve"> </w:t>
      </w:r>
    </w:p>
    <w:p w:rsidR="00060E63" w:rsidRPr="00060E63" w:rsidRDefault="00060E63" w:rsidP="00060E63">
      <w:pPr>
        <w:autoSpaceDE w:val="0"/>
        <w:autoSpaceDN w:val="0"/>
        <w:adjustRightInd w:val="0"/>
        <w:spacing w:after="0" w:line="360" w:lineRule="auto"/>
        <w:jc w:val="both"/>
        <w:rPr>
          <w:rFonts w:ascii="Times New Roman" w:eastAsia="Times New Roman" w:hAnsi="Times New Roman" w:cs="Times New Roman"/>
          <w:sz w:val="24"/>
          <w:szCs w:val="24"/>
        </w:rPr>
      </w:pPr>
      <w:r w:rsidRPr="00060E63">
        <w:rPr>
          <w:rFonts w:ascii="Times New Roman" w:eastAsia="Times New Roman" w:hAnsi="Times New Roman" w:cs="Times New Roman"/>
          <w:sz w:val="24"/>
          <w:szCs w:val="24"/>
        </w:rPr>
        <w:t xml:space="preserve">Since its foundation, the classical theory of international trade theory has hinged on three premises; markets are perfectly competitive and producers operate at constant returns to scale, an industry consists of homogeneous producers, and countries trade only final products. </w:t>
      </w:r>
    </w:p>
    <w:p w:rsidR="00060E63" w:rsidRPr="00060E63" w:rsidRDefault="00060E63" w:rsidP="00060E63">
      <w:pPr>
        <w:autoSpaceDE w:val="0"/>
        <w:autoSpaceDN w:val="0"/>
        <w:adjustRightInd w:val="0"/>
        <w:spacing w:after="0" w:line="360" w:lineRule="auto"/>
        <w:ind w:left="360"/>
        <w:contextualSpacing/>
        <w:jc w:val="both"/>
        <w:rPr>
          <w:rFonts w:ascii="Times New Roman" w:eastAsia="Times New Roman" w:hAnsi="Times New Roman" w:cs="Times New Roman"/>
          <w:sz w:val="24"/>
          <w:szCs w:val="24"/>
        </w:rPr>
      </w:pPr>
    </w:p>
    <w:p w:rsidR="00060E63" w:rsidRPr="00060E63" w:rsidRDefault="00060E63" w:rsidP="00060E63">
      <w:pPr>
        <w:autoSpaceDE w:val="0"/>
        <w:autoSpaceDN w:val="0"/>
        <w:adjustRightInd w:val="0"/>
        <w:spacing w:after="0" w:line="360" w:lineRule="auto"/>
        <w:jc w:val="both"/>
        <w:rPr>
          <w:rFonts w:ascii="Times New Roman" w:eastAsia="Times New Roman" w:hAnsi="Times New Roman" w:cs="Times New Roman"/>
          <w:sz w:val="24"/>
          <w:szCs w:val="24"/>
        </w:rPr>
      </w:pPr>
      <w:r w:rsidRPr="00060E63">
        <w:rPr>
          <w:rFonts w:ascii="Times New Roman" w:eastAsia="Times New Roman" w:hAnsi="Times New Roman" w:cs="Times New Roman"/>
          <w:sz w:val="24"/>
          <w:szCs w:val="24"/>
        </w:rPr>
        <w:lastRenderedPageBreak/>
        <w:t xml:space="preserve">The first premise was shaken in the 1970s and 1980s with the emergence of New Trade Theory. , Pioneered by Krugman (1979, 1980) and generalized by </w:t>
      </w:r>
      <w:proofErr w:type="spellStart"/>
      <w:r w:rsidRPr="00060E63">
        <w:rPr>
          <w:rFonts w:ascii="Times New Roman" w:eastAsia="Times New Roman" w:hAnsi="Times New Roman" w:cs="Times New Roman"/>
          <w:sz w:val="24"/>
          <w:szCs w:val="24"/>
        </w:rPr>
        <w:t>Helpman</w:t>
      </w:r>
      <w:proofErr w:type="spellEnd"/>
      <w:r w:rsidRPr="00060E63">
        <w:rPr>
          <w:rFonts w:ascii="Times New Roman" w:eastAsia="Times New Roman" w:hAnsi="Times New Roman" w:cs="Times New Roman"/>
          <w:sz w:val="24"/>
          <w:szCs w:val="24"/>
        </w:rPr>
        <w:t xml:space="preserve"> and Krugman (1985), a theoretical scope for considering production technology with increasing returns to scale and under imperfect competition was founded. The second classic premise of homogeneous producers was reconsidered following evidence in the late 1990s. Bernard and Jensen’s (1995, 1999) detailed examination of firm-level microdata revealed substantial heterogeneity in firm productivity between exporters and non-exporters in a given industry. Melitz (2003) pioneered an explanation for these observations, advancing in the quest for what was later called New-New Trade Theory. A third wave of reconstructing classical theory is now under way, and the literature on GVCs is generally linked to this development strand. With the dramatic advance of transportation modes and information and communication technology, production processes can now be “sliced” into several production segments, each corresponding to a particular task—such as design, parts procurement, assembly, and distribution. These segments are relocated, often across national borders, to the places where the tasks can be performed most efficiently. Thus the core subject of the literature today is not only the movement of final products, as classical theories have focused on (under the third premise), but also the cross-national transfer of tasks, or the value added generated by these tasks(Inomata, 2017)</w:t>
      </w:r>
    </w:p>
    <w:p w:rsidR="00060E63" w:rsidRPr="00060E63" w:rsidRDefault="00060E63" w:rsidP="00060E63">
      <w:pPr>
        <w:numPr>
          <w:ilvl w:val="3"/>
          <w:numId w:val="1"/>
        </w:numPr>
        <w:spacing w:line="360" w:lineRule="auto"/>
        <w:outlineLvl w:val="2"/>
        <w:rPr>
          <w:rFonts w:ascii="Times New Roman" w:eastAsia="Times New Roman" w:hAnsi="Times New Roman" w:cs="Times New Roman"/>
          <w:b/>
          <w:bCs/>
          <w:sz w:val="24"/>
          <w:szCs w:val="24"/>
        </w:rPr>
      </w:pPr>
      <w:r w:rsidRPr="00060E63">
        <w:rPr>
          <w:rFonts w:ascii="Times New Roman" w:eastAsia="Times New Roman" w:hAnsi="Times New Roman" w:cs="Times New Roman"/>
          <w:b/>
          <w:bCs/>
          <w:sz w:val="24"/>
          <w:szCs w:val="24"/>
        </w:rPr>
        <w:t xml:space="preserve"> </w:t>
      </w:r>
      <w:bookmarkStart w:id="9" w:name="_Toc131807598"/>
      <w:r w:rsidRPr="00060E63">
        <w:rPr>
          <w:rFonts w:ascii="Times New Roman" w:eastAsia="Times New Roman" w:hAnsi="Times New Roman" w:cs="Times New Roman"/>
          <w:b/>
          <w:bCs/>
          <w:sz w:val="24"/>
          <w:szCs w:val="24"/>
        </w:rPr>
        <w:t>Participation in Global Value Chains</w:t>
      </w:r>
      <w:bookmarkEnd w:id="9"/>
    </w:p>
    <w:p w:rsidR="00060E63" w:rsidRPr="00060E63" w:rsidRDefault="00060E63" w:rsidP="00060E63">
      <w:pPr>
        <w:spacing w:line="360" w:lineRule="auto"/>
        <w:jc w:val="both"/>
        <w:rPr>
          <w:rFonts w:ascii="Times New Roman" w:eastAsia="Times New Roman" w:hAnsi="Times New Roman" w:cs="Times New Roman"/>
          <w:bCs/>
          <w:sz w:val="24"/>
          <w:szCs w:val="24"/>
        </w:rPr>
      </w:pPr>
      <w:r w:rsidRPr="00060E63">
        <w:rPr>
          <w:rFonts w:ascii="Times New Roman" w:eastAsia="Times New Roman" w:hAnsi="Times New Roman" w:cs="Times New Roman"/>
          <w:bCs/>
          <w:sz w:val="24"/>
          <w:szCs w:val="24"/>
        </w:rPr>
        <w:t>National input‐output account data describes value‐chain linkages across industries within in a country, a multi‐region input‐output table allows to track all value‐added activities by industry in a country involved in global production</w:t>
      </w:r>
      <w:r w:rsidRPr="00060E63">
        <w:rPr>
          <w:rFonts w:ascii="Times New Roman" w:eastAsia="Times New Roman" w:hAnsi="Times New Roman" w:cs="Times New Roman"/>
          <w:bCs/>
          <w:sz w:val="24"/>
          <w:szCs w:val="24"/>
        </w:rPr>
        <w:fldChar w:fldCharType="begin"/>
      </w:r>
      <w:r w:rsidRPr="00060E63">
        <w:rPr>
          <w:rFonts w:ascii="Times New Roman" w:eastAsia="Times New Roman" w:hAnsi="Times New Roman" w:cs="Times New Roman"/>
          <w:bCs/>
          <w:sz w:val="24"/>
          <w:szCs w:val="24"/>
        </w:rPr>
        <w:instrText xml:space="preserve"> ADDIN ZOTERO_ITEM CSL_CITATION {"citationID":"2LE8enLO","properties":{"formattedCitation":"(Lim &amp; Kim, 2022)","plainCitation":"(Lim &amp; Kim, 2022)","noteIndex":0},"citationItems":[{"id":344,"uris":["http://zotero.org/users/local/TVJe6XJk/items/92RYU85V"],"itemData":{"id":344,"type":"article-journal","abstract":"This paper provides evidence on the job creation eﬀects in response to the expansion of agricultural global value chains (AGVCs) in agrarian economies. By using a constructed panel data set of 140 countries for the period 1991−2015, we ﬁnd that a greater AGVC participation is associated with an increase in agricultural employment growth. We uncover evidence that the positive job creation impact is mainly driven by the processed food sector downstream of GVCs rather than the raw commodity sector upstream of GVCs. We ﬁnd substantial heterogeneity of impacts that are more pronounced in lower‐middle and high‐income countries than in lowincome countries.","container-title":"Journal of the Agricultural and Applied Economics Association","DOI":"10.1002/jaa2.34","ISSN":"2769-2485, 2769-2485","issue":"4","journalAbbreviation":"J of Agr &amp;amp; App Econ Assoc","language":"en","page":"402-418","source":"DOI.org (Crossref)","title":"Global agricultural value chains and employment growth","volume":"1","author":[{"family":"Lim","given":"Sunghun"},{"family":"Kim","given":"Sie Won"}],"issued":{"date-parts":[["2022",12]]}}}],"schema":"https://github.com/citation-style-language/schema/raw/master/csl-citation.json"} </w:instrText>
      </w:r>
      <w:r w:rsidRPr="00060E63">
        <w:rPr>
          <w:rFonts w:ascii="Times New Roman" w:eastAsia="Times New Roman" w:hAnsi="Times New Roman" w:cs="Times New Roman"/>
          <w:bCs/>
          <w:sz w:val="24"/>
          <w:szCs w:val="24"/>
        </w:rPr>
        <w:fldChar w:fldCharType="separate"/>
      </w:r>
      <w:r w:rsidRPr="00060E63">
        <w:rPr>
          <w:rFonts w:ascii="Times New Roman" w:eastAsia="Times New Roman" w:hAnsi="Times New Roman" w:cs="Times New Roman"/>
          <w:sz w:val="24"/>
          <w:szCs w:val="20"/>
        </w:rPr>
        <w:t>(Lim &amp; Kim, 2022)</w:t>
      </w:r>
      <w:r w:rsidRPr="00060E63">
        <w:rPr>
          <w:rFonts w:ascii="Times New Roman" w:eastAsia="Times New Roman" w:hAnsi="Times New Roman" w:cs="Times New Roman"/>
          <w:bCs/>
          <w:sz w:val="24"/>
          <w:szCs w:val="24"/>
        </w:rPr>
        <w:fldChar w:fldCharType="end"/>
      </w:r>
      <w:r w:rsidRPr="00060E63">
        <w:rPr>
          <w:rFonts w:ascii="Times New Roman" w:eastAsia="Times New Roman" w:hAnsi="Times New Roman" w:cs="Times New Roman"/>
          <w:bCs/>
          <w:sz w:val="24"/>
          <w:szCs w:val="24"/>
        </w:rPr>
        <w:t>. AGVC participation is measured by adopting a new conceptual framework proposed by</w:t>
      </w:r>
      <w:r w:rsidRPr="00060E63">
        <w:rPr>
          <w:rFonts w:ascii="Times New Roman" w:eastAsia="Times New Roman" w:hAnsi="Times New Roman" w:cs="Times New Roman"/>
          <w:bCs/>
          <w:sz w:val="24"/>
          <w:szCs w:val="24"/>
        </w:rPr>
        <w:fldChar w:fldCharType="begin"/>
      </w:r>
      <w:r w:rsidRPr="00060E63">
        <w:rPr>
          <w:rFonts w:ascii="Times New Roman" w:eastAsia="Times New Roman" w:hAnsi="Times New Roman" w:cs="Times New Roman"/>
          <w:bCs/>
          <w:sz w:val="24"/>
          <w:szCs w:val="24"/>
        </w:rPr>
        <w:instrText xml:space="preserve"> ADDIN ZOTERO_ITEM CSL_CITATION {"citationID":"msCu8KFw","properties":{"formattedCitation":"(Borin &amp; Mancini, 2019)","plainCitation":"(Borin &amp; Mancini, 2019)","noteIndex":0},"citationItems":[{"id":226,"uris":["http://zotero.org/users/local/TVJe6XJk/items/6CVS8LUG"],"itemData":{"id":226,"type":"book","language":"en","note":"DOI: 10.1596/1813-9450-8804","publisher":"World Bank, Washington, DC","source":"DOI.org (Crossref)","title":"Measuring What Matters in Global Value Chains and Value-Added Trade","URL":"http://hdl.handle.net/10986/31533","author":[{"family":"Borin","given":"Alessandro"},{"family":"Mancini","given":"Michele"}],"accessed":{"date-parts":[["2023",3,9]]},"issued":{"date-parts":[["2019",4]]}}}],"schema":"https://github.com/citation-style-language/schema/raw/master/csl-citation.json"} </w:instrText>
      </w:r>
      <w:r w:rsidRPr="00060E63">
        <w:rPr>
          <w:rFonts w:ascii="Times New Roman" w:eastAsia="Times New Roman" w:hAnsi="Times New Roman" w:cs="Times New Roman"/>
          <w:bCs/>
          <w:sz w:val="24"/>
          <w:szCs w:val="24"/>
        </w:rPr>
        <w:fldChar w:fldCharType="separate"/>
      </w:r>
      <w:r w:rsidRPr="00060E63">
        <w:rPr>
          <w:rFonts w:ascii="Times New Roman" w:eastAsia="Times New Roman" w:hAnsi="Times New Roman" w:cs="Times New Roman"/>
          <w:sz w:val="24"/>
          <w:szCs w:val="20"/>
        </w:rPr>
        <w:t>(</w:t>
      </w:r>
      <w:proofErr w:type="spellStart"/>
      <w:r w:rsidRPr="00060E63">
        <w:rPr>
          <w:rFonts w:ascii="Times New Roman" w:eastAsia="Times New Roman" w:hAnsi="Times New Roman" w:cs="Times New Roman"/>
          <w:sz w:val="24"/>
          <w:szCs w:val="20"/>
        </w:rPr>
        <w:t>Borin</w:t>
      </w:r>
      <w:proofErr w:type="spellEnd"/>
      <w:r w:rsidRPr="00060E63">
        <w:rPr>
          <w:rFonts w:ascii="Times New Roman" w:eastAsia="Times New Roman" w:hAnsi="Times New Roman" w:cs="Times New Roman"/>
          <w:sz w:val="24"/>
          <w:szCs w:val="20"/>
        </w:rPr>
        <w:t xml:space="preserve"> &amp; Mancini, 2019)</w:t>
      </w:r>
      <w:r w:rsidRPr="00060E63">
        <w:rPr>
          <w:rFonts w:ascii="Times New Roman" w:eastAsia="Times New Roman" w:hAnsi="Times New Roman" w:cs="Times New Roman"/>
          <w:bCs/>
          <w:sz w:val="24"/>
          <w:szCs w:val="24"/>
        </w:rPr>
        <w:fldChar w:fldCharType="end"/>
      </w:r>
      <w:r w:rsidRPr="00060E63">
        <w:rPr>
          <w:rFonts w:ascii="Times New Roman" w:eastAsia="Times New Roman" w:hAnsi="Times New Roman" w:cs="Times New Roman"/>
          <w:bCs/>
          <w:sz w:val="24"/>
          <w:szCs w:val="24"/>
        </w:rPr>
        <w:t xml:space="preserve">.The framework captures all complicated sources of value‐added activities across more than two countries, which are often missing in other measures of GVCs. It also provides an empirical method to extract value‐added exports from gross exports that enable users to recover each value‐added activity by using cross‐country input‐output data. A GVC can be decomposed into forward linkages and backward linkages. Forward linkages refer to exported raw products that are later used in another country and are exported once more to a third country. Backward linkages refer to the use of imported intermediate inputs in the production of exported products. Per GVC literature </w:t>
      </w:r>
      <w:r w:rsidRPr="00060E63">
        <w:rPr>
          <w:rFonts w:ascii="Times New Roman" w:eastAsia="Times New Roman" w:hAnsi="Times New Roman" w:cs="Times New Roman"/>
          <w:bCs/>
          <w:sz w:val="24"/>
          <w:szCs w:val="24"/>
        </w:rPr>
        <w:fldChar w:fldCharType="begin"/>
      </w:r>
      <w:r w:rsidRPr="00060E63">
        <w:rPr>
          <w:rFonts w:ascii="Times New Roman" w:eastAsia="Times New Roman" w:hAnsi="Times New Roman" w:cs="Times New Roman"/>
          <w:bCs/>
          <w:sz w:val="24"/>
          <w:szCs w:val="24"/>
        </w:rPr>
        <w:instrText xml:space="preserve"> ADDIN ZOTERO_ITEM CSL_CITATION {"citationID":"24A6GeDW","properties":{"formattedCitation":"(Belotti et al., 2020; Koopman et al., 2014; Los &amp; Timmer, 2018; Wang et al., 2017)","plainCitation":"(Belotti et al., 2020; Koopman et al., 2014; Los &amp; Timmer, 2018; Wang et al., 2017)","noteIndex":0},"citationItems":[{"id":217,"uris":["http://zotero.org/users/local/TVJe6XJk/items/82DC47X6"],"itemData":{"id":217,"type":"book","language":"en","note":"DOI: 10.1596/1813-9450-9156","publisher":"World Bank, Washington, DC","source":"DOI.org (Crossref)","title":"icio: Economic Analysis with Inter-Country Input-Output Tables in Stata","title-short":"icio","URL":"http://hdl.handle.net/10986/33361","author":[{"family":"Belotti","given":"Federico"},{"family":"Borin","given":"Alessandro"},{"family":"Mancini","given":"Michele"}],"accessed":{"date-parts":[["2023",3,9]]},"issued":{"date-parts":[["2020",2]]}},"label":"page"},{"id":348,"uris":["http://zotero.org/users/local/TVJe6XJk/items/EUUI34LT"],"itemData":{"id":348,"type":"article-journal","abstract":"This paper proposes an accounting framework that breaks up a country’s gross exports into various value-added components by source and additional double-counted terms. Our parsimonious framework bridges a gap between official trade statistics (in gross value terms) and national accounts (in value-added terms), and integrates all previous measures of vertical specialization and value-added trade in the literature into a unified framework. To illustrate the potential of such a method, we present a number of applications including re-computing revealed comparative advantages and the magnifying impact of multi-stage production on trade costs. (JEL E01, E16, F14, F23, L14)","container-title":"American Economic Review","DOI":"10.1257/aer.104.2.459","ISSN":"0002-8282","issue":"2","journalAbbreviation":"American Economic Review","language":"en","page":"459-494","source":"DOI.org (Crossref)","title":"Tracing Value-Added and Double Counting in Gross Exports","volume":"104","author":[{"family":"Koopman","given":"Robert"},{"family":"Wang","given":"Zhi"},{"family":"Wei","given":"Shang-Jin"}],"issued":{"date-parts":[["2014",2,1]]}},"label":"page"},{"id":346,"uris":["http://zotero.org/users/local/TVJe6XJk/items/WI8377IT"],"itemData":{"id":346,"type":"report","abstract":"We provide a unified framework for measuring bilateral exports of value added. We outline a general methodology that encompasses the measures introduced by Johnson and Noguera (2012) (value added consumed abroad) and Los et al. (2016) (value added in exports), to which we refer as VAX-C and VAX-D, respectively. In addition we suggest a novel third measure, VAX-P, which indicates the value added used abroad in the final stage of production. We show that they can all be derived with the method of hypothetical extraction in a general input-output model. This is helpful in comparing and contrasting their characteristics. As a corollary, we show that for VAX-C and VAX-P the sum of bilateral measures is equal to the corresponding aggregate measure, but that this is generally not true for VAX-D. We illustrate all measures with empirical examples computed on the basis of the World Input-Output Database. These indicators can found at www.wiod.org.","event-place":"Cambridge, MA","language":"en","note":"DOI: 10.3386/w24896","number":"w24896","page":"w24896","publisher":"National Bureau of Economic Research","publisher-place":"Cambridge, MA","source":"DOI.org (Crossref)","title":"Measuring Bilateral Exports of Value Added: A Unified Framework","title-short":"Measuring Bilateral Exports of Value Added","URL":"http://www.nber.org/papers/w24896.pdf","author":[{"family":"Los","given":"Bart"},{"family":"Timmer","given":"Marcel"}],"accessed":{"date-parts":[["2023",4,7]]},"issued":{"date-parts":[["2018",8]]}},"label":"page"},{"id":238,"uris":["http://zotero.org/users/local/TVJe6XJk/items/ZCU2H5BY"],"itemData":{"id":238,"type":"report","abstract":"This paper makes two methodological contributions. First, it proposes a framework to decompose total production activities at the country, sector, or country-sector level, to different types, depending on whether they are for pure domestic demand, traditional international trade, simple GVC activities, and complex GVC activities. Second, it proposes a pair of GVC participation indices that improves upon the measures in the existing literature. We apply this decomposition framework to a Global Input-Output Database (WIOD) that cover 44 countries and 56 industries from 2000 to2014 to uncover evolving compositions of different production activities. We also show that complex GVC activities co-move with global GDP growth more strongly than other types of production activities.","event-place":"Cambridge, MA","language":"en","note":"DOI: 10.3386/w23222","number":"w23222","page":"w23222","publisher":"National Bureau of Economic Research","publisher-place":"Cambridge, MA","source":"DOI.org (Crossref)","title":"Measures of Participation in Global Value Chains and Global Business Cycles","URL":"http://www.nber.org/papers/w23222.pdf","author":[{"family":"Wang","given":"Zhi"},{"family":"Wei","given":"Shang-Jin"},{"family":"Yu","given":"Xinding"},{"family":"Zhu","given":"Kunfu"}],"accessed":{"date-parts":[["2023",3,9]]},"issued":{"date-parts":[["2017",3]]}},"label":"page"}],"schema":"https://github.com/citation-style-language/schema/raw/master/csl-citation.json"} </w:instrText>
      </w:r>
      <w:r w:rsidRPr="00060E63">
        <w:rPr>
          <w:rFonts w:ascii="Times New Roman" w:eastAsia="Times New Roman" w:hAnsi="Times New Roman" w:cs="Times New Roman"/>
          <w:bCs/>
          <w:sz w:val="24"/>
          <w:szCs w:val="24"/>
        </w:rPr>
        <w:fldChar w:fldCharType="separate"/>
      </w:r>
      <w:r w:rsidRPr="00060E63">
        <w:rPr>
          <w:rFonts w:ascii="Times New Roman" w:eastAsia="Times New Roman" w:hAnsi="Times New Roman" w:cs="Times New Roman"/>
          <w:sz w:val="24"/>
          <w:szCs w:val="20"/>
        </w:rPr>
        <w:t>(</w:t>
      </w:r>
      <w:proofErr w:type="spellStart"/>
      <w:r w:rsidRPr="00060E63">
        <w:rPr>
          <w:rFonts w:ascii="Times New Roman" w:eastAsia="Times New Roman" w:hAnsi="Times New Roman" w:cs="Times New Roman"/>
          <w:sz w:val="24"/>
          <w:szCs w:val="20"/>
        </w:rPr>
        <w:t>Belotti</w:t>
      </w:r>
      <w:proofErr w:type="spellEnd"/>
      <w:r w:rsidRPr="00060E63">
        <w:rPr>
          <w:rFonts w:ascii="Times New Roman" w:eastAsia="Times New Roman" w:hAnsi="Times New Roman" w:cs="Times New Roman"/>
          <w:sz w:val="24"/>
          <w:szCs w:val="20"/>
        </w:rPr>
        <w:t xml:space="preserve"> et al., 2020; </w:t>
      </w:r>
      <w:proofErr w:type="spellStart"/>
      <w:r w:rsidRPr="00060E63">
        <w:rPr>
          <w:rFonts w:ascii="Times New Roman" w:eastAsia="Times New Roman" w:hAnsi="Times New Roman" w:cs="Times New Roman"/>
          <w:sz w:val="24"/>
          <w:szCs w:val="20"/>
        </w:rPr>
        <w:t>Koopman</w:t>
      </w:r>
      <w:proofErr w:type="spellEnd"/>
      <w:r w:rsidRPr="00060E63">
        <w:rPr>
          <w:rFonts w:ascii="Times New Roman" w:eastAsia="Times New Roman" w:hAnsi="Times New Roman" w:cs="Times New Roman"/>
          <w:sz w:val="24"/>
          <w:szCs w:val="20"/>
        </w:rPr>
        <w:t xml:space="preserve"> et al., 2014; Los &amp; </w:t>
      </w:r>
      <w:proofErr w:type="spellStart"/>
      <w:r w:rsidRPr="00060E63">
        <w:rPr>
          <w:rFonts w:ascii="Times New Roman" w:eastAsia="Times New Roman" w:hAnsi="Times New Roman" w:cs="Times New Roman"/>
          <w:sz w:val="24"/>
          <w:szCs w:val="20"/>
        </w:rPr>
        <w:t>Timmer</w:t>
      </w:r>
      <w:proofErr w:type="spellEnd"/>
      <w:r w:rsidRPr="00060E63">
        <w:rPr>
          <w:rFonts w:ascii="Times New Roman" w:eastAsia="Times New Roman" w:hAnsi="Times New Roman" w:cs="Times New Roman"/>
          <w:sz w:val="24"/>
          <w:szCs w:val="20"/>
        </w:rPr>
        <w:t>, 2018; Wang et al., 2017)</w:t>
      </w:r>
      <w:r w:rsidRPr="00060E63">
        <w:rPr>
          <w:rFonts w:ascii="Times New Roman" w:eastAsia="Times New Roman" w:hAnsi="Times New Roman" w:cs="Times New Roman"/>
          <w:bCs/>
          <w:sz w:val="24"/>
          <w:szCs w:val="24"/>
        </w:rPr>
        <w:fldChar w:fldCharType="end"/>
      </w:r>
      <w:r w:rsidRPr="00060E63">
        <w:rPr>
          <w:rFonts w:ascii="Times New Roman" w:eastAsia="Times New Roman" w:hAnsi="Times New Roman" w:cs="Times New Roman"/>
          <w:bCs/>
          <w:sz w:val="24"/>
          <w:szCs w:val="24"/>
        </w:rPr>
        <w:t xml:space="preserve"> gross exports can be decomposed into three broad value‐added activities, including domestic value‐added (DVA), </w:t>
      </w:r>
      <w:r w:rsidRPr="00060E63">
        <w:rPr>
          <w:rFonts w:ascii="Times New Roman" w:eastAsia="Times New Roman" w:hAnsi="Times New Roman" w:cs="Times New Roman"/>
          <w:bCs/>
          <w:sz w:val="24"/>
          <w:szCs w:val="24"/>
        </w:rPr>
        <w:lastRenderedPageBreak/>
        <w:t>foreign value‐added(FVA), and domestic value‐added embedded in other countries' exports (DVX)</w:t>
      </w:r>
      <w:r w:rsidRPr="00060E63">
        <w:rPr>
          <w:rFonts w:ascii="Times New Roman" w:eastAsia="Times New Roman" w:hAnsi="Times New Roman" w:cs="Times New Roman"/>
          <w:bCs/>
          <w:sz w:val="24"/>
          <w:szCs w:val="24"/>
        </w:rPr>
        <w:fldChar w:fldCharType="begin"/>
      </w:r>
      <w:r w:rsidRPr="00060E63">
        <w:rPr>
          <w:rFonts w:ascii="Times New Roman" w:eastAsia="Times New Roman" w:hAnsi="Times New Roman" w:cs="Times New Roman"/>
          <w:bCs/>
          <w:sz w:val="24"/>
          <w:szCs w:val="24"/>
        </w:rPr>
        <w:instrText xml:space="preserve"> ADDIN ZOTERO_ITEM CSL_CITATION {"citationID":"Dr32Uewp","properties":{"formattedCitation":"(Lim &amp; Kim, 2022)","plainCitation":"(Lim &amp; Kim, 2022)","noteIndex":0},"citationItems":[{"id":344,"uris":["http://zotero.org/users/local/TVJe6XJk/items/92RYU85V"],"itemData":{"id":344,"type":"article-journal","abstract":"This paper provides evidence on the job creation eﬀects in response to the expansion of agricultural global value chains (AGVCs) in agrarian economies. By using a constructed panel data set of 140 countries for the period 1991−2015, we ﬁnd that a greater AGVC participation is associated with an increase in agricultural employment growth. We uncover evidence that the positive job creation impact is mainly driven by the processed food sector downstream of GVCs rather than the raw commodity sector upstream of GVCs. We ﬁnd substantial heterogeneity of impacts that are more pronounced in lower‐middle and high‐income countries than in lowincome countries.","container-title":"Journal of the Agricultural and Applied Economics Association","DOI":"10.1002/jaa2.34","ISSN":"2769-2485, 2769-2485","issue":"4","journalAbbreviation":"J of Agr &amp;amp; App Econ Assoc","language":"en","page":"402-418","source":"DOI.org (Crossref)","title":"Global agricultural value chains and employment growth","volume":"1","author":[{"family":"Lim","given":"Sunghun"},{"family":"Kim","given":"Sie Won"}],"issued":{"date-parts":[["2022",12]]}}}],"schema":"https://github.com/citation-style-language/schema/raw/master/csl-citation.json"} </w:instrText>
      </w:r>
      <w:r w:rsidRPr="00060E63">
        <w:rPr>
          <w:rFonts w:ascii="Times New Roman" w:eastAsia="Times New Roman" w:hAnsi="Times New Roman" w:cs="Times New Roman"/>
          <w:bCs/>
          <w:sz w:val="24"/>
          <w:szCs w:val="24"/>
        </w:rPr>
        <w:fldChar w:fldCharType="separate"/>
      </w:r>
      <w:r w:rsidRPr="00060E63">
        <w:rPr>
          <w:rFonts w:ascii="Times New Roman" w:eastAsia="Times New Roman" w:hAnsi="Times New Roman" w:cs="Times New Roman"/>
          <w:sz w:val="24"/>
          <w:szCs w:val="20"/>
        </w:rPr>
        <w:t>(Lim &amp; Kim, 2022)</w:t>
      </w:r>
      <w:r w:rsidRPr="00060E63">
        <w:rPr>
          <w:rFonts w:ascii="Times New Roman" w:eastAsia="Times New Roman" w:hAnsi="Times New Roman" w:cs="Times New Roman"/>
          <w:bCs/>
          <w:sz w:val="24"/>
          <w:szCs w:val="24"/>
        </w:rPr>
        <w:fldChar w:fldCharType="end"/>
      </w:r>
      <w:r w:rsidRPr="00060E63">
        <w:rPr>
          <w:rFonts w:ascii="Times New Roman" w:eastAsia="Times New Roman" w:hAnsi="Times New Roman" w:cs="Times New Roman"/>
          <w:bCs/>
          <w:sz w:val="24"/>
          <w:szCs w:val="24"/>
        </w:rPr>
        <w:t>. DVA refers to the value of exports that is created by domestic production factors and contributes to GDP for each country. FVA refers to the value of exports that originates from imported inputs and is a component measuring upstream GVC participation (i.e., backward linkages). DVX refers to the domestic value‐added in intermediate goods further re-exported by the partner country and is a component measuring downstream GVC participation (i.e., forward linkages)</w:t>
      </w:r>
      <w:r w:rsidRPr="00060E63">
        <w:rPr>
          <w:rFonts w:ascii="Times New Roman" w:eastAsia="Times New Roman" w:hAnsi="Times New Roman" w:cs="Times New Roman"/>
          <w:bCs/>
          <w:sz w:val="24"/>
          <w:szCs w:val="24"/>
        </w:rPr>
        <w:fldChar w:fldCharType="begin"/>
      </w:r>
      <w:r w:rsidRPr="00060E63">
        <w:rPr>
          <w:rFonts w:ascii="Times New Roman" w:eastAsia="Times New Roman" w:hAnsi="Times New Roman" w:cs="Times New Roman"/>
          <w:bCs/>
          <w:sz w:val="24"/>
          <w:szCs w:val="24"/>
        </w:rPr>
        <w:instrText xml:space="preserve"> ADDIN ZOTERO_ITEM CSL_CITATION {"citationID":"LSP2zPte","properties":{"formattedCitation":"(Lim &amp; Kim, 2022)","plainCitation":"(Lim &amp; Kim, 2022)","noteIndex":0},"citationItems":[{"id":344,"uris":["http://zotero.org/users/local/TVJe6XJk/items/92RYU85V"],"itemData":{"id":344,"type":"article-journal","abstract":"This paper provides evidence on the job creation eﬀects in response to the expansion of agricultural global value chains (AGVCs) in agrarian economies. By using a constructed panel data set of 140 countries for the period 1991−2015, we ﬁnd that a greater AGVC participation is associated with an increase in agricultural employment growth. We uncover evidence that the positive job creation impact is mainly driven by the processed food sector downstream of GVCs rather than the raw commodity sector upstream of GVCs. We ﬁnd substantial heterogeneity of impacts that are more pronounced in lower‐middle and high‐income countries than in lowincome countries.","container-title":"Journal of the Agricultural and Applied Economics Association","DOI":"10.1002/jaa2.34","ISSN":"2769-2485, 2769-2485","issue":"4","journalAbbreviation":"J of Agr &amp;amp; App Econ Assoc","language":"en","page":"402-418","source":"DOI.org (Crossref)","title":"Global agricultural value chains and employment growth","volume":"1","author":[{"family":"Lim","given":"Sunghun"},{"family":"Kim","given":"Sie Won"}],"issued":{"date-parts":[["2022",12]]}}}],"schema":"https://github.com/citation-style-language/schema/raw/master/csl-citation.json"} </w:instrText>
      </w:r>
      <w:r w:rsidRPr="00060E63">
        <w:rPr>
          <w:rFonts w:ascii="Times New Roman" w:eastAsia="Times New Roman" w:hAnsi="Times New Roman" w:cs="Times New Roman"/>
          <w:bCs/>
          <w:sz w:val="24"/>
          <w:szCs w:val="24"/>
        </w:rPr>
        <w:fldChar w:fldCharType="separate"/>
      </w:r>
      <w:r w:rsidRPr="00060E63">
        <w:rPr>
          <w:rFonts w:ascii="Times New Roman" w:eastAsia="Times New Roman" w:hAnsi="Times New Roman" w:cs="Times New Roman"/>
          <w:sz w:val="24"/>
          <w:szCs w:val="20"/>
        </w:rPr>
        <w:t>(Lim &amp; Kim, 2022)</w:t>
      </w:r>
      <w:r w:rsidRPr="00060E63">
        <w:rPr>
          <w:rFonts w:ascii="Times New Roman" w:eastAsia="Times New Roman" w:hAnsi="Times New Roman" w:cs="Times New Roman"/>
          <w:bCs/>
          <w:sz w:val="24"/>
          <w:szCs w:val="24"/>
        </w:rPr>
        <w:fldChar w:fldCharType="end"/>
      </w:r>
      <w:r w:rsidRPr="00060E63">
        <w:rPr>
          <w:rFonts w:ascii="Times New Roman" w:eastAsia="Times New Roman" w:hAnsi="Times New Roman" w:cs="Times New Roman"/>
          <w:bCs/>
          <w:sz w:val="24"/>
          <w:szCs w:val="24"/>
        </w:rPr>
        <w:t xml:space="preserve">. </w:t>
      </w:r>
    </w:p>
    <w:p w:rsidR="00060E63" w:rsidRPr="00060E63" w:rsidRDefault="00060E63" w:rsidP="00060E63">
      <w:pPr>
        <w:spacing w:line="360" w:lineRule="auto"/>
        <w:jc w:val="both"/>
        <w:rPr>
          <w:rFonts w:ascii="Calibri" w:eastAsia="Times New Roman" w:hAnsi="Calibri" w:cs="Times New Roman"/>
          <w:sz w:val="20"/>
          <w:szCs w:val="20"/>
        </w:rPr>
      </w:pPr>
      <w:r w:rsidRPr="00060E63">
        <w:rPr>
          <w:rFonts w:ascii="Calibri" w:eastAsia="Times New Roman" w:hAnsi="Calibri" w:cs="Times New Roman"/>
          <w:sz w:val="20"/>
          <w:szCs w:val="20"/>
        </w:rPr>
        <w:t>To measure GVC participation (</w:t>
      </w:r>
      <w:proofErr w:type="spellStart"/>
      <w:r w:rsidRPr="00060E63">
        <w:rPr>
          <w:rFonts w:ascii="Calibri" w:eastAsia="Times New Roman" w:hAnsi="Calibri" w:cs="Times New Roman"/>
          <w:sz w:val="20"/>
          <w:szCs w:val="20"/>
        </w:rPr>
        <w:t>D</w:t>
      </w:r>
      <w:r w:rsidRPr="00060E63">
        <w:rPr>
          <w:rFonts w:ascii="Calibri" w:eastAsia="Times New Roman" w:hAnsi="Calibri" w:cs="Times New Roman"/>
          <w:sz w:val="20"/>
          <w:szCs w:val="20"/>
          <w:vertAlign w:val="subscript"/>
        </w:rPr>
        <w:t>it</w:t>
      </w:r>
      <w:proofErr w:type="spellEnd"/>
      <w:r w:rsidRPr="00060E63">
        <w:rPr>
          <w:rFonts w:ascii="Calibri" w:eastAsia="Times New Roman" w:hAnsi="Calibri" w:cs="Times New Roman"/>
          <w:sz w:val="20"/>
          <w:szCs w:val="20"/>
        </w:rPr>
        <w:t xml:space="preserve">) for country </w:t>
      </w:r>
      <w:proofErr w:type="spellStart"/>
      <w:r w:rsidRPr="00060E63">
        <w:rPr>
          <w:rFonts w:ascii="Calibri" w:eastAsia="Times New Roman" w:hAnsi="Calibri" w:cs="Times New Roman"/>
          <w:i/>
          <w:sz w:val="20"/>
          <w:szCs w:val="20"/>
        </w:rPr>
        <w:t>i</w:t>
      </w:r>
      <w:proofErr w:type="spellEnd"/>
      <w:r w:rsidRPr="00060E63">
        <w:rPr>
          <w:rFonts w:ascii="Calibri" w:eastAsia="Times New Roman" w:hAnsi="Calibri" w:cs="Times New Roman"/>
          <w:sz w:val="20"/>
          <w:szCs w:val="20"/>
        </w:rPr>
        <w:t xml:space="preserve"> in year </w:t>
      </w:r>
      <w:r w:rsidRPr="00060E63">
        <w:rPr>
          <w:rFonts w:ascii="Calibri" w:eastAsia="Times New Roman" w:hAnsi="Calibri" w:cs="Times New Roman"/>
          <w:i/>
          <w:sz w:val="20"/>
          <w:szCs w:val="20"/>
        </w:rPr>
        <w:t>t</w:t>
      </w:r>
      <w:r w:rsidRPr="00060E63">
        <w:rPr>
          <w:rFonts w:ascii="Calibri" w:eastAsia="Times New Roman" w:hAnsi="Calibri" w:cs="Times New Roman"/>
          <w:sz w:val="20"/>
          <w:szCs w:val="20"/>
        </w:rPr>
        <w:t>, the study will follow</w:t>
      </w:r>
      <w:r w:rsidRPr="00060E63">
        <w:rPr>
          <w:rFonts w:ascii="Calibri" w:eastAsia="Times New Roman" w:hAnsi="Calibri" w:cs="Times New Roman"/>
          <w:sz w:val="20"/>
          <w:szCs w:val="20"/>
        </w:rPr>
        <w:fldChar w:fldCharType="begin"/>
      </w:r>
      <w:r w:rsidRPr="00060E63">
        <w:rPr>
          <w:rFonts w:ascii="Calibri" w:eastAsia="Times New Roman" w:hAnsi="Calibri" w:cs="Times New Roman"/>
          <w:sz w:val="20"/>
          <w:szCs w:val="20"/>
        </w:rPr>
        <w:instrText xml:space="preserve"> ADDIN ZOTERO_ITEM CSL_CITATION {"citationID":"CYDmRAhv","properties":{"formattedCitation":"(Borin &amp; Mancini, 2019)","plainCitation":"(Borin &amp; Mancini, 2019)","dontUpdate":true,"noteIndex":0},"citationItems":[{"id":226,"uris":["http://zotero.org/users/local/TVJe6XJk/items/6CVS8LUG"],"itemData":{"id":226,"type":"book","language":"en","note":"DOI: 10.1596/1813-9450-8804","publisher":"World Bank, Washington, DC","source":"DOI.org (Crossref)","title":"Measuring What Matters in Global Value Chains and Value-Added Trade","URL":"http://hdl.handle.net/10986/31533","author":[{"family":"Borin","given":"Alessandro"},{"family":"Mancini","given":"Michele"}],"accessed":{"date-parts":[["2023",3,9]]},"issued":{"date-parts":[["2019",4]]}}}],"schema":"https://github.com/citation-style-language/schema/raw/master/csl-citation.json"} </w:instrText>
      </w:r>
      <w:r w:rsidRPr="00060E63">
        <w:rPr>
          <w:rFonts w:ascii="Calibri" w:eastAsia="Times New Roman" w:hAnsi="Calibri" w:cs="Times New Roman"/>
          <w:sz w:val="20"/>
          <w:szCs w:val="20"/>
        </w:rPr>
        <w:fldChar w:fldCharType="separate"/>
      </w:r>
      <w:r w:rsidRPr="00060E63">
        <w:rPr>
          <w:rFonts w:ascii="Calibri" w:eastAsia="Times New Roman" w:hAnsi="Calibri" w:cs="Calibri"/>
          <w:sz w:val="20"/>
          <w:szCs w:val="20"/>
        </w:rPr>
        <w:t xml:space="preserve"> </w:t>
      </w:r>
      <w:proofErr w:type="spellStart"/>
      <w:r w:rsidRPr="00060E63">
        <w:rPr>
          <w:rFonts w:ascii="Calibri" w:eastAsia="Times New Roman" w:hAnsi="Calibri" w:cs="Calibri"/>
          <w:sz w:val="20"/>
          <w:szCs w:val="20"/>
        </w:rPr>
        <w:t>Borin</w:t>
      </w:r>
      <w:proofErr w:type="spellEnd"/>
      <w:r w:rsidRPr="00060E63">
        <w:rPr>
          <w:rFonts w:ascii="Calibri" w:eastAsia="Times New Roman" w:hAnsi="Calibri" w:cs="Calibri"/>
          <w:sz w:val="20"/>
          <w:szCs w:val="20"/>
        </w:rPr>
        <w:t xml:space="preserve"> &amp; Mancini (2019)</w:t>
      </w:r>
      <w:r w:rsidRPr="00060E63">
        <w:rPr>
          <w:rFonts w:ascii="Calibri" w:eastAsia="Times New Roman" w:hAnsi="Calibri" w:cs="Times New Roman"/>
          <w:sz w:val="20"/>
          <w:szCs w:val="20"/>
        </w:rPr>
        <w:fldChar w:fldCharType="end"/>
      </w:r>
      <w:r w:rsidRPr="00060E63">
        <w:rPr>
          <w:rFonts w:ascii="Calibri" w:eastAsia="Times New Roman" w:hAnsi="Calibri" w:cs="Times New Roman"/>
          <w:sz w:val="20"/>
          <w:szCs w:val="20"/>
        </w:rPr>
        <w:t xml:space="preserve">: </w:t>
      </w:r>
    </w:p>
    <w:p w:rsidR="00060E63" w:rsidRPr="00060E63" w:rsidRDefault="00060E63" w:rsidP="00060E63">
      <w:pPr>
        <w:spacing w:line="360" w:lineRule="auto"/>
        <w:jc w:val="both"/>
        <w:rPr>
          <w:rFonts w:ascii="Calibri" w:eastAsia="Times New Roman" w:hAnsi="Calibri" w:cs="Times New Roman"/>
          <w:b/>
          <w:sz w:val="20"/>
          <w:szCs w:val="20"/>
        </w:rPr>
      </w:pPr>
      <w:r w:rsidRPr="00060E63">
        <w:rPr>
          <w:rFonts w:ascii="Calibri" w:eastAsia="Times New Roman" w:hAnsi="Calibri" w:cs="Times New Roman"/>
          <w:sz w:val="20"/>
          <w:szCs w:val="20"/>
        </w:rPr>
        <w:t xml:space="preserve">          </w:t>
      </w:r>
      <w:r w:rsidRPr="00060E63">
        <w:rPr>
          <w:rFonts w:ascii="Calibri" w:eastAsia="Times New Roman" w:hAnsi="Calibri" w:cs="Times New Roman"/>
          <w:b/>
          <w:sz w:val="20"/>
          <w:szCs w:val="20"/>
        </w:rPr>
        <w:t xml:space="preserve">GVC </w:t>
      </w:r>
      <w:proofErr w:type="spellStart"/>
      <w:r w:rsidRPr="00060E63">
        <w:rPr>
          <w:rFonts w:ascii="Calibri" w:eastAsia="Times New Roman" w:hAnsi="Calibri" w:cs="Times New Roman"/>
          <w:b/>
          <w:sz w:val="20"/>
          <w:szCs w:val="20"/>
        </w:rPr>
        <w:t>Participation</w:t>
      </w:r>
      <w:r w:rsidRPr="00060E63">
        <w:rPr>
          <w:rFonts w:ascii="Calibri" w:eastAsia="Times New Roman" w:hAnsi="Calibri" w:cs="Times New Roman"/>
          <w:b/>
          <w:sz w:val="20"/>
          <w:szCs w:val="20"/>
          <w:vertAlign w:val="subscript"/>
        </w:rPr>
        <w:t>it</w:t>
      </w:r>
      <w:proofErr w:type="spellEnd"/>
      <w:r w:rsidRPr="00060E63">
        <w:rPr>
          <w:rFonts w:ascii="Calibri" w:eastAsia="Times New Roman" w:hAnsi="Calibri" w:cs="Times New Roman"/>
          <w:b/>
          <w:sz w:val="20"/>
          <w:szCs w:val="20"/>
        </w:rPr>
        <w:t xml:space="preserve"> = </w:t>
      </w:r>
      <w:proofErr w:type="spellStart"/>
      <w:r w:rsidRPr="00060E63">
        <w:rPr>
          <w:rFonts w:ascii="Calibri" w:eastAsia="Times New Roman" w:hAnsi="Calibri" w:cs="Times New Roman"/>
          <w:b/>
          <w:sz w:val="20"/>
          <w:szCs w:val="20"/>
        </w:rPr>
        <w:t>DVX</w:t>
      </w:r>
      <w:r w:rsidRPr="00060E63">
        <w:rPr>
          <w:rFonts w:ascii="Calibri" w:eastAsia="Times New Roman" w:hAnsi="Calibri" w:cs="Times New Roman"/>
          <w:b/>
          <w:sz w:val="20"/>
          <w:szCs w:val="20"/>
          <w:vertAlign w:val="subscript"/>
        </w:rPr>
        <w:t>it</w:t>
      </w:r>
      <w:proofErr w:type="spellEnd"/>
      <w:r w:rsidRPr="00060E63">
        <w:rPr>
          <w:rFonts w:ascii="Calibri" w:eastAsia="Times New Roman" w:hAnsi="Calibri" w:cs="Times New Roman"/>
          <w:b/>
          <w:sz w:val="20"/>
          <w:szCs w:val="20"/>
        </w:rPr>
        <w:t xml:space="preserve"> + </w:t>
      </w:r>
      <w:proofErr w:type="spellStart"/>
      <w:r w:rsidRPr="00060E63">
        <w:rPr>
          <w:rFonts w:ascii="Calibri" w:eastAsia="Times New Roman" w:hAnsi="Calibri" w:cs="Times New Roman"/>
          <w:b/>
          <w:sz w:val="20"/>
          <w:szCs w:val="20"/>
        </w:rPr>
        <w:t>FVA</w:t>
      </w:r>
      <w:r w:rsidRPr="00060E63">
        <w:rPr>
          <w:rFonts w:ascii="Calibri" w:eastAsia="Times New Roman" w:hAnsi="Calibri" w:cs="Times New Roman"/>
          <w:b/>
          <w:sz w:val="20"/>
          <w:szCs w:val="20"/>
          <w:vertAlign w:val="subscript"/>
        </w:rPr>
        <w:t>it</w:t>
      </w:r>
      <w:proofErr w:type="spellEnd"/>
      <w:r w:rsidRPr="00060E63">
        <w:rPr>
          <w:rFonts w:ascii="Calibri" w:eastAsia="Times New Roman" w:hAnsi="Calibri" w:cs="Times New Roman"/>
          <w:b/>
          <w:sz w:val="20"/>
          <w:szCs w:val="20"/>
        </w:rPr>
        <w:t xml:space="preserve"> / Gross </w:t>
      </w:r>
      <w:proofErr w:type="spellStart"/>
      <w:r w:rsidRPr="00060E63">
        <w:rPr>
          <w:rFonts w:ascii="Calibri" w:eastAsia="Times New Roman" w:hAnsi="Calibri" w:cs="Times New Roman"/>
          <w:b/>
          <w:sz w:val="20"/>
          <w:szCs w:val="20"/>
        </w:rPr>
        <w:t>Export</w:t>
      </w:r>
      <w:r w:rsidRPr="00060E63">
        <w:rPr>
          <w:rFonts w:ascii="Calibri" w:eastAsia="Times New Roman" w:hAnsi="Calibri" w:cs="Times New Roman"/>
          <w:b/>
          <w:sz w:val="20"/>
          <w:szCs w:val="20"/>
          <w:vertAlign w:val="subscript"/>
        </w:rPr>
        <w:t>it</w:t>
      </w:r>
      <w:proofErr w:type="spellEnd"/>
      <w:r w:rsidRPr="00060E63">
        <w:rPr>
          <w:rFonts w:ascii="Calibri" w:eastAsia="Times New Roman" w:hAnsi="Calibri" w:cs="Times New Roman"/>
          <w:b/>
          <w:sz w:val="20"/>
          <w:szCs w:val="20"/>
        </w:rPr>
        <w:t xml:space="preserve">  </w:t>
      </w:r>
    </w:p>
    <w:p w:rsidR="00060E63" w:rsidRPr="00060E63" w:rsidRDefault="00060E63" w:rsidP="00060E63">
      <w:pPr>
        <w:spacing w:line="360" w:lineRule="auto"/>
        <w:jc w:val="both"/>
        <w:rPr>
          <w:rFonts w:ascii="Times New Roman" w:eastAsia="Times New Roman" w:hAnsi="Times New Roman" w:cs="Times New Roman"/>
          <w:b/>
          <w:bCs/>
          <w:sz w:val="24"/>
          <w:szCs w:val="24"/>
        </w:rPr>
      </w:pPr>
      <w:r w:rsidRPr="00060E63">
        <w:rPr>
          <w:rFonts w:ascii="Calibri" w:eastAsia="Times New Roman" w:hAnsi="Calibri" w:cs="Times New Roman"/>
          <w:sz w:val="20"/>
          <w:szCs w:val="20"/>
        </w:rPr>
        <w:t xml:space="preserve"> The upstream participation is measured by </w:t>
      </w:r>
      <w:proofErr w:type="spellStart"/>
      <w:r w:rsidRPr="00060E63">
        <w:rPr>
          <w:rFonts w:ascii="Calibri" w:eastAsia="Times New Roman" w:hAnsi="Calibri" w:cs="Times New Roman"/>
          <w:b/>
          <w:sz w:val="20"/>
          <w:szCs w:val="20"/>
        </w:rPr>
        <w:t>DVX</w:t>
      </w:r>
      <w:r w:rsidRPr="00060E63">
        <w:rPr>
          <w:rFonts w:ascii="Calibri" w:eastAsia="Times New Roman" w:hAnsi="Calibri" w:cs="Times New Roman"/>
          <w:b/>
          <w:sz w:val="20"/>
          <w:szCs w:val="20"/>
          <w:vertAlign w:val="subscript"/>
        </w:rPr>
        <w:t>it</w:t>
      </w:r>
      <w:proofErr w:type="spellEnd"/>
      <w:r w:rsidRPr="00060E63">
        <w:rPr>
          <w:rFonts w:ascii="Calibri" w:eastAsia="Times New Roman" w:hAnsi="Calibri" w:cs="Times New Roman"/>
          <w:b/>
          <w:sz w:val="20"/>
          <w:szCs w:val="20"/>
        </w:rPr>
        <w:t xml:space="preserve">/Gross </w:t>
      </w:r>
      <w:proofErr w:type="spellStart"/>
      <w:r w:rsidRPr="00060E63">
        <w:rPr>
          <w:rFonts w:ascii="Calibri" w:eastAsia="Times New Roman" w:hAnsi="Calibri" w:cs="Times New Roman"/>
          <w:b/>
          <w:sz w:val="20"/>
          <w:szCs w:val="20"/>
        </w:rPr>
        <w:t>Export</w:t>
      </w:r>
      <w:r w:rsidRPr="00060E63">
        <w:rPr>
          <w:rFonts w:ascii="Calibri" w:eastAsia="Times New Roman" w:hAnsi="Calibri" w:cs="Times New Roman"/>
          <w:b/>
          <w:sz w:val="20"/>
          <w:szCs w:val="20"/>
          <w:vertAlign w:val="subscript"/>
        </w:rPr>
        <w:t>it</w:t>
      </w:r>
      <w:proofErr w:type="spellEnd"/>
      <w:r w:rsidRPr="00060E63">
        <w:rPr>
          <w:rFonts w:ascii="Calibri" w:eastAsia="Times New Roman" w:hAnsi="Calibri" w:cs="Times New Roman"/>
          <w:sz w:val="20"/>
          <w:szCs w:val="20"/>
        </w:rPr>
        <w:t xml:space="preserve"> and downstream participation is measured by </w:t>
      </w:r>
      <w:proofErr w:type="spellStart"/>
      <w:r w:rsidRPr="00060E63">
        <w:rPr>
          <w:rFonts w:ascii="Calibri" w:eastAsia="Times New Roman" w:hAnsi="Calibri" w:cs="Times New Roman"/>
          <w:b/>
          <w:sz w:val="20"/>
          <w:szCs w:val="20"/>
        </w:rPr>
        <w:t>DVX</w:t>
      </w:r>
      <w:r w:rsidRPr="00060E63">
        <w:rPr>
          <w:rFonts w:ascii="Calibri" w:eastAsia="Times New Roman" w:hAnsi="Calibri" w:cs="Times New Roman"/>
          <w:b/>
          <w:sz w:val="20"/>
          <w:szCs w:val="20"/>
          <w:vertAlign w:val="subscript"/>
        </w:rPr>
        <w:t>it</w:t>
      </w:r>
      <w:proofErr w:type="spellEnd"/>
      <w:r w:rsidRPr="00060E63">
        <w:rPr>
          <w:rFonts w:ascii="Calibri" w:eastAsia="Times New Roman" w:hAnsi="Calibri" w:cs="Times New Roman"/>
          <w:b/>
          <w:sz w:val="20"/>
          <w:szCs w:val="20"/>
        </w:rPr>
        <w:t xml:space="preserve">/Gross </w:t>
      </w:r>
      <w:proofErr w:type="spellStart"/>
      <w:r w:rsidRPr="00060E63">
        <w:rPr>
          <w:rFonts w:ascii="Calibri" w:eastAsia="Times New Roman" w:hAnsi="Calibri" w:cs="Times New Roman"/>
          <w:b/>
          <w:sz w:val="20"/>
          <w:szCs w:val="20"/>
        </w:rPr>
        <w:t>Export</w:t>
      </w:r>
      <w:r w:rsidRPr="00060E63">
        <w:rPr>
          <w:rFonts w:ascii="Calibri" w:eastAsia="Times New Roman" w:hAnsi="Calibri" w:cs="Times New Roman"/>
          <w:b/>
          <w:sz w:val="20"/>
          <w:szCs w:val="20"/>
          <w:vertAlign w:val="subscript"/>
        </w:rPr>
        <w:t>it</w:t>
      </w:r>
      <w:proofErr w:type="spellEnd"/>
      <w:r w:rsidRPr="00060E63">
        <w:rPr>
          <w:rFonts w:ascii="Calibri" w:eastAsia="Times New Roman" w:hAnsi="Calibri" w:cs="Times New Roman"/>
          <w:b/>
          <w:sz w:val="20"/>
          <w:szCs w:val="20"/>
        </w:rPr>
        <w:t>.</w:t>
      </w:r>
    </w:p>
    <w:p w:rsidR="00060E63" w:rsidRPr="00060E63" w:rsidRDefault="00060E63" w:rsidP="00060E63">
      <w:pPr>
        <w:spacing w:line="360" w:lineRule="auto"/>
        <w:jc w:val="both"/>
        <w:rPr>
          <w:rFonts w:ascii="Times New Roman" w:eastAsia="Times New Roman" w:hAnsi="Times New Roman" w:cs="Times New Roman"/>
          <w:bCs/>
          <w:sz w:val="24"/>
          <w:szCs w:val="24"/>
        </w:rPr>
      </w:pPr>
      <w:r w:rsidRPr="00060E63">
        <w:rPr>
          <w:rFonts w:ascii="Calibri" w:eastAsia="Times New Roman" w:hAnsi="Calibri" w:cs="Times New Roman"/>
          <w:sz w:val="20"/>
          <w:szCs w:val="20"/>
        </w:rPr>
        <w:t>In order to calculate total AGVC participation</w:t>
      </w:r>
      <w:proofErr w:type="gramStart"/>
      <w:r w:rsidRPr="00060E63">
        <w:rPr>
          <w:rFonts w:ascii="Calibri" w:eastAsia="Times New Roman" w:hAnsi="Calibri" w:cs="Times New Roman"/>
          <w:sz w:val="20"/>
          <w:szCs w:val="20"/>
        </w:rPr>
        <w:t>,  it</w:t>
      </w:r>
      <w:proofErr w:type="gramEnd"/>
      <w:r w:rsidRPr="00060E63">
        <w:rPr>
          <w:rFonts w:ascii="Calibri" w:eastAsia="Times New Roman" w:hAnsi="Calibri" w:cs="Times New Roman"/>
          <w:sz w:val="20"/>
          <w:szCs w:val="20"/>
        </w:rPr>
        <w:t xml:space="preserve"> will be applied the agriculture industry classification to measure agricultural GVCs and the food &amp; beverage industry classification to measure food GVCs, respectively. The total AGVC participation is defined as:</w:t>
      </w:r>
    </w:p>
    <w:p w:rsidR="00060E63" w:rsidRPr="00060E63" w:rsidRDefault="00060E63" w:rsidP="00060E63">
      <w:pPr>
        <w:tabs>
          <w:tab w:val="left" w:pos="7937"/>
        </w:tabs>
        <w:spacing w:line="360" w:lineRule="auto"/>
        <w:rPr>
          <w:rFonts w:ascii="Calibri" w:eastAsia="Times New Roman" w:hAnsi="Calibri" w:cs="Times New Roman"/>
          <w:b/>
          <w:sz w:val="20"/>
          <w:szCs w:val="20"/>
        </w:rPr>
      </w:pPr>
      <w:r w:rsidRPr="00060E63">
        <w:rPr>
          <w:rFonts w:ascii="Calibri" w:eastAsia="Times New Roman" w:hAnsi="Calibri" w:cs="Times New Roman"/>
          <w:b/>
          <w:sz w:val="20"/>
          <w:szCs w:val="20"/>
        </w:rPr>
        <w:t>(</w:t>
      </w:r>
      <w:proofErr w:type="spellStart"/>
      <w:r w:rsidRPr="00060E63">
        <w:rPr>
          <w:rFonts w:ascii="Calibri" w:eastAsia="Times New Roman" w:hAnsi="Calibri" w:cs="Times New Roman"/>
          <w:b/>
          <w:sz w:val="20"/>
          <w:szCs w:val="20"/>
        </w:rPr>
        <w:t>DVX</w:t>
      </w:r>
      <w:r w:rsidRPr="00060E63">
        <w:rPr>
          <w:rFonts w:ascii="Calibri" w:eastAsia="Times New Roman" w:hAnsi="Calibri" w:cs="Times New Roman"/>
          <w:b/>
          <w:sz w:val="20"/>
          <w:szCs w:val="20"/>
          <w:vertAlign w:val="superscript"/>
        </w:rPr>
        <w:t>agr</w:t>
      </w:r>
      <w:r w:rsidRPr="00060E63">
        <w:rPr>
          <w:rFonts w:ascii="Calibri" w:eastAsia="Times New Roman" w:hAnsi="Calibri" w:cs="Times New Roman"/>
          <w:b/>
          <w:sz w:val="20"/>
          <w:szCs w:val="20"/>
          <w:vertAlign w:val="subscript"/>
        </w:rPr>
        <w:t>it</w:t>
      </w:r>
      <w:proofErr w:type="spellEnd"/>
      <w:r w:rsidRPr="00060E63">
        <w:rPr>
          <w:rFonts w:ascii="Calibri" w:eastAsia="Times New Roman" w:hAnsi="Calibri" w:cs="Times New Roman"/>
          <w:b/>
          <w:sz w:val="20"/>
          <w:szCs w:val="20"/>
        </w:rPr>
        <w:t xml:space="preserve"> + </w:t>
      </w:r>
      <w:proofErr w:type="spellStart"/>
      <w:r w:rsidRPr="00060E63">
        <w:rPr>
          <w:rFonts w:ascii="Calibri" w:eastAsia="Times New Roman" w:hAnsi="Calibri" w:cs="Times New Roman"/>
          <w:b/>
          <w:sz w:val="20"/>
          <w:szCs w:val="20"/>
        </w:rPr>
        <w:t>DVX</w:t>
      </w:r>
      <w:r w:rsidRPr="00060E63">
        <w:rPr>
          <w:rFonts w:ascii="Calibri" w:eastAsia="Times New Roman" w:hAnsi="Calibri" w:cs="Times New Roman"/>
          <w:b/>
          <w:sz w:val="20"/>
          <w:szCs w:val="20"/>
          <w:vertAlign w:val="superscript"/>
        </w:rPr>
        <w:t>food</w:t>
      </w:r>
      <w:r w:rsidRPr="00060E63">
        <w:rPr>
          <w:rFonts w:ascii="Calibri" w:eastAsia="Times New Roman" w:hAnsi="Calibri" w:cs="Times New Roman"/>
          <w:b/>
          <w:sz w:val="20"/>
          <w:szCs w:val="20"/>
          <w:vertAlign w:val="subscript"/>
        </w:rPr>
        <w:t>it</w:t>
      </w:r>
      <w:proofErr w:type="spellEnd"/>
      <w:r w:rsidRPr="00060E63">
        <w:rPr>
          <w:rFonts w:ascii="Calibri" w:eastAsia="Times New Roman" w:hAnsi="Calibri" w:cs="Times New Roman"/>
          <w:b/>
          <w:sz w:val="20"/>
          <w:szCs w:val="20"/>
        </w:rPr>
        <w:t xml:space="preserve"> + </w:t>
      </w:r>
      <w:proofErr w:type="spellStart"/>
      <w:r w:rsidRPr="00060E63">
        <w:rPr>
          <w:rFonts w:ascii="Calibri" w:eastAsia="Times New Roman" w:hAnsi="Calibri" w:cs="Times New Roman"/>
          <w:b/>
          <w:sz w:val="20"/>
          <w:szCs w:val="20"/>
        </w:rPr>
        <w:t>FVA</w:t>
      </w:r>
      <w:r w:rsidRPr="00060E63">
        <w:rPr>
          <w:rFonts w:ascii="Calibri" w:eastAsia="Times New Roman" w:hAnsi="Calibri" w:cs="Times New Roman"/>
          <w:b/>
          <w:sz w:val="20"/>
          <w:szCs w:val="20"/>
          <w:vertAlign w:val="superscript"/>
        </w:rPr>
        <w:t>agr</w:t>
      </w:r>
      <w:r w:rsidRPr="00060E63">
        <w:rPr>
          <w:rFonts w:ascii="Calibri" w:eastAsia="Times New Roman" w:hAnsi="Calibri" w:cs="Times New Roman"/>
          <w:b/>
          <w:sz w:val="20"/>
          <w:szCs w:val="20"/>
          <w:vertAlign w:val="subscript"/>
        </w:rPr>
        <w:t>it</w:t>
      </w:r>
      <w:proofErr w:type="spellEnd"/>
      <w:r w:rsidRPr="00060E63">
        <w:rPr>
          <w:rFonts w:ascii="Calibri" w:eastAsia="Times New Roman" w:hAnsi="Calibri" w:cs="Times New Roman"/>
          <w:b/>
          <w:sz w:val="20"/>
          <w:szCs w:val="20"/>
          <w:vertAlign w:val="subscript"/>
        </w:rPr>
        <w:t xml:space="preserve"> </w:t>
      </w:r>
      <w:r w:rsidRPr="00060E63">
        <w:rPr>
          <w:rFonts w:ascii="Calibri" w:eastAsia="Times New Roman" w:hAnsi="Calibri" w:cs="Times New Roman"/>
          <w:b/>
          <w:sz w:val="20"/>
          <w:szCs w:val="20"/>
        </w:rPr>
        <w:t xml:space="preserve">+ </w:t>
      </w:r>
      <w:proofErr w:type="spellStart"/>
      <w:proofErr w:type="gramStart"/>
      <w:r w:rsidRPr="00060E63">
        <w:rPr>
          <w:rFonts w:ascii="Calibri" w:eastAsia="Times New Roman" w:hAnsi="Calibri" w:cs="Times New Roman"/>
          <w:b/>
          <w:sz w:val="20"/>
          <w:szCs w:val="20"/>
        </w:rPr>
        <w:t>FVA</w:t>
      </w:r>
      <w:r w:rsidRPr="00060E63">
        <w:rPr>
          <w:rFonts w:ascii="Calibri" w:eastAsia="Times New Roman" w:hAnsi="Calibri" w:cs="Times New Roman"/>
          <w:b/>
          <w:sz w:val="20"/>
          <w:szCs w:val="20"/>
          <w:vertAlign w:val="superscript"/>
        </w:rPr>
        <w:t>food</w:t>
      </w:r>
      <w:r w:rsidRPr="00060E63">
        <w:rPr>
          <w:rFonts w:ascii="Calibri" w:eastAsia="Times New Roman" w:hAnsi="Calibri" w:cs="Times New Roman"/>
          <w:b/>
          <w:sz w:val="20"/>
          <w:szCs w:val="20"/>
          <w:vertAlign w:val="subscript"/>
        </w:rPr>
        <w:t>it</w:t>
      </w:r>
      <w:proofErr w:type="spellEnd"/>
      <w:r w:rsidRPr="00060E63">
        <w:rPr>
          <w:rFonts w:ascii="Calibri" w:eastAsia="Times New Roman" w:hAnsi="Calibri" w:cs="Times New Roman"/>
          <w:b/>
          <w:sz w:val="20"/>
          <w:szCs w:val="20"/>
        </w:rPr>
        <w:t xml:space="preserve"> )/(</w:t>
      </w:r>
      <w:proofErr w:type="gramEnd"/>
      <w:r w:rsidRPr="00060E63">
        <w:rPr>
          <w:rFonts w:ascii="Calibri" w:eastAsia="Times New Roman" w:hAnsi="Calibri" w:cs="Times New Roman"/>
          <w:b/>
          <w:sz w:val="20"/>
          <w:szCs w:val="20"/>
        </w:rPr>
        <w:t xml:space="preserve">Gross </w:t>
      </w:r>
      <w:proofErr w:type="spellStart"/>
      <w:r w:rsidRPr="00060E63">
        <w:rPr>
          <w:rFonts w:ascii="Calibri" w:eastAsia="Times New Roman" w:hAnsi="Calibri" w:cs="Times New Roman"/>
          <w:b/>
          <w:sz w:val="20"/>
          <w:szCs w:val="20"/>
        </w:rPr>
        <w:t>Export</w:t>
      </w:r>
      <w:r w:rsidRPr="00060E63">
        <w:rPr>
          <w:rFonts w:ascii="Calibri" w:eastAsia="Times New Roman" w:hAnsi="Calibri" w:cs="Times New Roman"/>
          <w:b/>
          <w:sz w:val="20"/>
          <w:szCs w:val="20"/>
          <w:vertAlign w:val="superscript"/>
        </w:rPr>
        <w:t>agr</w:t>
      </w:r>
      <w:r w:rsidRPr="00060E63">
        <w:rPr>
          <w:rFonts w:ascii="Calibri" w:eastAsia="Times New Roman" w:hAnsi="Calibri" w:cs="Times New Roman"/>
          <w:b/>
          <w:sz w:val="20"/>
          <w:szCs w:val="20"/>
          <w:vertAlign w:val="subscript"/>
        </w:rPr>
        <w:t>it</w:t>
      </w:r>
      <w:proofErr w:type="spellEnd"/>
      <w:r w:rsidRPr="00060E63">
        <w:rPr>
          <w:rFonts w:ascii="Calibri" w:eastAsia="Times New Roman" w:hAnsi="Calibri" w:cs="Times New Roman"/>
          <w:b/>
          <w:sz w:val="20"/>
          <w:szCs w:val="20"/>
        </w:rPr>
        <w:t xml:space="preserve"> + Gross </w:t>
      </w:r>
      <w:proofErr w:type="spellStart"/>
      <w:r w:rsidRPr="00060E63">
        <w:rPr>
          <w:rFonts w:ascii="Calibri" w:eastAsia="Times New Roman" w:hAnsi="Calibri" w:cs="Times New Roman"/>
          <w:b/>
          <w:sz w:val="20"/>
          <w:szCs w:val="20"/>
        </w:rPr>
        <w:t>Export</w:t>
      </w:r>
      <w:r w:rsidRPr="00060E63">
        <w:rPr>
          <w:rFonts w:ascii="Calibri" w:eastAsia="Times New Roman" w:hAnsi="Calibri" w:cs="Times New Roman"/>
          <w:b/>
          <w:sz w:val="20"/>
          <w:szCs w:val="20"/>
          <w:vertAlign w:val="superscript"/>
        </w:rPr>
        <w:t>food</w:t>
      </w:r>
      <w:r w:rsidRPr="00060E63">
        <w:rPr>
          <w:rFonts w:ascii="Calibri" w:eastAsia="Times New Roman" w:hAnsi="Calibri" w:cs="Times New Roman"/>
          <w:b/>
          <w:sz w:val="20"/>
          <w:szCs w:val="20"/>
          <w:vertAlign w:val="subscript"/>
        </w:rPr>
        <w:t>it</w:t>
      </w:r>
      <w:proofErr w:type="spellEnd"/>
      <w:r w:rsidRPr="00060E63">
        <w:rPr>
          <w:rFonts w:ascii="Calibri" w:eastAsia="Times New Roman" w:hAnsi="Calibri" w:cs="Times New Roman"/>
          <w:b/>
          <w:sz w:val="20"/>
          <w:szCs w:val="20"/>
          <w:vertAlign w:val="subscript"/>
        </w:rPr>
        <w:t xml:space="preserve"> </w:t>
      </w:r>
      <w:r w:rsidRPr="00060E63">
        <w:rPr>
          <w:rFonts w:ascii="Calibri" w:eastAsia="Times New Roman" w:hAnsi="Calibri" w:cs="Times New Roman"/>
          <w:b/>
          <w:sz w:val="20"/>
          <w:szCs w:val="20"/>
        </w:rPr>
        <w:t>)</w:t>
      </w:r>
    </w:p>
    <w:p w:rsidR="00060E63" w:rsidRPr="00060E63" w:rsidRDefault="00060E63" w:rsidP="00060E63">
      <w:pPr>
        <w:spacing w:line="360" w:lineRule="auto"/>
        <w:rPr>
          <w:rFonts w:ascii="Times New Roman" w:eastAsia="Times New Roman" w:hAnsi="Times New Roman" w:cs="Times New Roman"/>
          <w:bCs/>
          <w:sz w:val="24"/>
          <w:szCs w:val="24"/>
        </w:rPr>
      </w:pPr>
      <w:r w:rsidRPr="00060E63">
        <w:rPr>
          <w:rFonts w:ascii="Calibri" w:eastAsia="Times New Roman" w:hAnsi="Calibri" w:cs="Times New Roman"/>
          <w:sz w:val="20"/>
          <w:szCs w:val="20"/>
        </w:rPr>
        <w:t xml:space="preserve">Using the general cross-country input-output table from the UNCTAD-Eora Global Value Chain Database, country-level GVC participation for Ethiopia will be measured in the given period. </w:t>
      </w:r>
    </w:p>
    <w:p w:rsidR="00060E63" w:rsidRPr="00060E63" w:rsidRDefault="00060E63" w:rsidP="00060E63">
      <w:pPr>
        <w:numPr>
          <w:ilvl w:val="2"/>
          <w:numId w:val="1"/>
        </w:numPr>
        <w:contextualSpacing/>
        <w:outlineLvl w:val="2"/>
        <w:rPr>
          <w:rFonts w:ascii="Times New Roman" w:eastAsia="Times New Roman" w:hAnsi="Times New Roman" w:cs="Times New Roman"/>
          <w:b/>
          <w:bCs/>
          <w:sz w:val="24"/>
          <w:szCs w:val="24"/>
        </w:rPr>
      </w:pPr>
      <w:bookmarkStart w:id="10" w:name="_Toc131807599"/>
      <w:r w:rsidRPr="00060E63">
        <w:rPr>
          <w:rFonts w:ascii="Times New Roman" w:eastAsia="Times New Roman" w:hAnsi="Times New Roman" w:cs="Times New Roman"/>
          <w:b/>
          <w:bCs/>
          <w:sz w:val="24"/>
          <w:szCs w:val="24"/>
        </w:rPr>
        <w:t>Agricultural Productivity</w:t>
      </w:r>
      <w:bookmarkEnd w:id="10"/>
      <w:r w:rsidRPr="00060E63">
        <w:rPr>
          <w:rFonts w:ascii="Times New Roman" w:eastAsia="Times New Roman" w:hAnsi="Times New Roman" w:cs="Times New Roman"/>
          <w:b/>
          <w:bCs/>
          <w:sz w:val="24"/>
          <w:szCs w:val="24"/>
        </w:rPr>
        <w:t xml:space="preserve"> </w:t>
      </w:r>
    </w:p>
    <w:p w:rsidR="00060E63" w:rsidRPr="00060E63" w:rsidRDefault="00060E63" w:rsidP="00060E63">
      <w:pPr>
        <w:numPr>
          <w:ilvl w:val="3"/>
          <w:numId w:val="1"/>
        </w:numPr>
        <w:contextualSpacing/>
        <w:outlineLvl w:val="2"/>
        <w:rPr>
          <w:rFonts w:ascii="Times New Roman" w:eastAsia="Times New Roman" w:hAnsi="Times New Roman" w:cs="Times New Roman"/>
          <w:b/>
          <w:bCs/>
          <w:sz w:val="24"/>
          <w:szCs w:val="24"/>
        </w:rPr>
      </w:pPr>
      <w:r w:rsidRPr="00060E63">
        <w:rPr>
          <w:rFonts w:ascii="Times New Roman" w:eastAsia="Times New Roman" w:hAnsi="Times New Roman" w:cs="Times New Roman"/>
          <w:b/>
          <w:bCs/>
          <w:sz w:val="24"/>
          <w:szCs w:val="24"/>
        </w:rPr>
        <w:t xml:space="preserve"> </w:t>
      </w:r>
      <w:bookmarkStart w:id="11" w:name="_Toc131807600"/>
      <w:r w:rsidRPr="00060E63">
        <w:rPr>
          <w:rFonts w:ascii="Times New Roman" w:eastAsia="Times New Roman" w:hAnsi="Times New Roman" w:cs="Times New Roman"/>
          <w:b/>
          <w:bCs/>
          <w:sz w:val="24"/>
          <w:szCs w:val="24"/>
        </w:rPr>
        <w:t>Theories and Concepts</w:t>
      </w:r>
      <w:bookmarkEnd w:id="11"/>
    </w:p>
    <w:p w:rsidR="00060E63" w:rsidRPr="00060E63" w:rsidRDefault="00060E63" w:rsidP="00060E63">
      <w:pPr>
        <w:jc w:val="both"/>
        <w:rPr>
          <w:rFonts w:ascii="Calibri" w:eastAsia="Times New Roman" w:hAnsi="Calibri" w:cs="Times New Roman"/>
        </w:rPr>
      </w:pPr>
      <w:r w:rsidRPr="00060E63">
        <w:rPr>
          <w:rFonts w:ascii="Calibri" w:eastAsia="Times New Roman" w:hAnsi="Calibri" w:cs="Times New Roman"/>
        </w:rPr>
        <w:t>Agricultural development can be characterized according to the following models: the frontier; the urban industrial impact; the diffusion; the high pay-of; the induced innovation; and the conservation</w:t>
      </w:r>
      <w:r w:rsidRPr="00060E63">
        <w:rPr>
          <w:rFonts w:ascii="Calibri" w:eastAsia="Times New Roman" w:hAnsi="Calibri" w:cs="Times New Roman"/>
        </w:rPr>
        <w:fldChar w:fldCharType="begin"/>
      </w:r>
      <w:r w:rsidRPr="00060E63">
        <w:rPr>
          <w:rFonts w:ascii="Calibri" w:eastAsia="Times New Roman" w:hAnsi="Calibri" w:cs="Times New Roman"/>
        </w:rPr>
        <w:instrText xml:space="preserve"> ADDIN ZOTERO_ITEM CSL_CITATION {"citationID":"fab1Hmax","properties":{"formattedCitation":"(Jc &amp; Eg, 2018)","plainCitation":"(Jc &amp; Eg, 2018)","noteIndex":0},"citationItems":[{"id":350,"uris":["http://zotero.org/users/local/TVJe6XJk/items/DS4AVVHN"],"itemData":{"id":350,"type":"article-journal","abstract":"Agricultural development is a sub-set of rural development. However, rural areas cannot attain development without its agriculture being developed because majority of the rural dwellers are engaged in agricultural practices as their major source of income. The main objectives of agricultural development are the improvement of material and social welfare of the people. Therefore, creating a sustainable agricultural development path means improving the quality of life in rural areas, ensuring enough food for present and future generations and generating sufficient income for farmers. Supporting sustainable agricultural development also involves ensuring and maintaining productive capacity for the future and increasing productivity without damaging the environment or jeopardizing natural resources. In the light of this, this paper employed available literature to review agricultural development and theories of agricultural development such as frontier model, conservation model, the urban-industrial impact model, diffusion model and high-pay off input model.","language":"en","source":"Zotero","title":"Theories and Models of Agricultural Development","author":[{"family":"Jc","given":"Udemezue"},{"family":"Eg","given":"Osegbue"}],"issued":{"date-parts":[["2018"]]}}}],"schema":"https://github.com/citation-style-language/schema/raw/master/csl-citation.json"} </w:instrText>
      </w:r>
      <w:r w:rsidRPr="00060E63">
        <w:rPr>
          <w:rFonts w:ascii="Calibri" w:eastAsia="Times New Roman" w:hAnsi="Calibri" w:cs="Times New Roman"/>
        </w:rPr>
        <w:fldChar w:fldCharType="separate"/>
      </w:r>
      <w:r w:rsidRPr="00060E63">
        <w:rPr>
          <w:rFonts w:ascii="Calibri" w:eastAsia="Times New Roman" w:hAnsi="Calibri" w:cs="Calibri"/>
        </w:rPr>
        <w:t>(</w:t>
      </w:r>
      <w:proofErr w:type="spellStart"/>
      <w:r w:rsidRPr="00060E63">
        <w:rPr>
          <w:rFonts w:ascii="Calibri" w:eastAsia="Times New Roman" w:hAnsi="Calibri" w:cs="Calibri"/>
        </w:rPr>
        <w:t>Jc</w:t>
      </w:r>
      <w:proofErr w:type="spellEnd"/>
      <w:r w:rsidRPr="00060E63">
        <w:rPr>
          <w:rFonts w:ascii="Calibri" w:eastAsia="Times New Roman" w:hAnsi="Calibri" w:cs="Calibri"/>
        </w:rPr>
        <w:t xml:space="preserve"> &amp; </w:t>
      </w:r>
      <w:proofErr w:type="spellStart"/>
      <w:r w:rsidRPr="00060E63">
        <w:rPr>
          <w:rFonts w:ascii="Calibri" w:eastAsia="Times New Roman" w:hAnsi="Calibri" w:cs="Calibri"/>
        </w:rPr>
        <w:t>Eg</w:t>
      </w:r>
      <w:proofErr w:type="spellEnd"/>
      <w:r w:rsidRPr="00060E63">
        <w:rPr>
          <w:rFonts w:ascii="Calibri" w:eastAsia="Times New Roman" w:hAnsi="Calibri" w:cs="Calibri"/>
        </w:rPr>
        <w:t>, 2018)</w:t>
      </w:r>
      <w:r w:rsidRPr="00060E63">
        <w:rPr>
          <w:rFonts w:ascii="Calibri" w:eastAsia="Times New Roman" w:hAnsi="Calibri" w:cs="Times New Roman"/>
        </w:rPr>
        <w:fldChar w:fldCharType="end"/>
      </w:r>
      <w:r w:rsidRPr="00060E63">
        <w:rPr>
          <w:rFonts w:ascii="Calibri" w:eastAsia="Times New Roman" w:hAnsi="Calibri" w:cs="Times New Roman"/>
        </w:rPr>
        <w:t xml:space="preserve">. The frontier model or the resource exploitation model involves an approach to agricultural growth through the expansion of the area cultivated or grazed. </w:t>
      </w:r>
    </w:p>
    <w:p w:rsidR="00060E63" w:rsidRPr="00060E63" w:rsidRDefault="00060E63" w:rsidP="00060E63">
      <w:pPr>
        <w:jc w:val="both"/>
        <w:rPr>
          <w:rFonts w:ascii="Calibri" w:eastAsia="Times New Roman" w:hAnsi="Calibri" w:cs="Times New Roman"/>
        </w:rPr>
      </w:pPr>
      <w:r w:rsidRPr="00060E63">
        <w:rPr>
          <w:rFonts w:ascii="Calibri" w:eastAsia="Times New Roman" w:hAnsi="Calibri" w:cs="Times New Roman"/>
        </w:rPr>
        <w:t xml:space="preserve">Initially, the </w:t>
      </w:r>
      <w:proofErr w:type="spellStart"/>
      <w:r w:rsidRPr="00060E63">
        <w:rPr>
          <w:rFonts w:ascii="Calibri" w:eastAsia="Times New Roman" w:hAnsi="Calibri" w:cs="Times New Roman"/>
        </w:rPr>
        <w:t>urbanindustrial</w:t>
      </w:r>
      <w:proofErr w:type="spellEnd"/>
      <w:r w:rsidRPr="00060E63">
        <w:rPr>
          <w:rFonts w:ascii="Calibri" w:eastAsia="Times New Roman" w:hAnsi="Calibri" w:cs="Times New Roman"/>
        </w:rPr>
        <w:t xml:space="preserve"> impact model was formulated (by Von </w:t>
      </w:r>
      <w:proofErr w:type="spellStart"/>
      <w:r w:rsidRPr="00060E63">
        <w:rPr>
          <w:rFonts w:ascii="Calibri" w:eastAsia="Times New Roman" w:hAnsi="Calibri" w:cs="Times New Roman"/>
        </w:rPr>
        <w:t>Thunen</w:t>
      </w:r>
      <w:proofErr w:type="spellEnd"/>
      <w:r w:rsidRPr="00060E63">
        <w:rPr>
          <w:rFonts w:ascii="Calibri" w:eastAsia="Times New Roman" w:hAnsi="Calibri" w:cs="Times New Roman"/>
        </w:rPr>
        <w:t xml:space="preserve">) to explain geographic variations in the intensity of farming system and in the productivity of </w:t>
      </w:r>
      <w:proofErr w:type="spellStart"/>
      <w:r w:rsidRPr="00060E63">
        <w:rPr>
          <w:rFonts w:ascii="Calibri" w:eastAsia="Times New Roman" w:hAnsi="Calibri" w:cs="Times New Roman"/>
        </w:rPr>
        <w:t>labour</w:t>
      </w:r>
      <w:proofErr w:type="spellEnd"/>
      <w:r w:rsidRPr="00060E63">
        <w:rPr>
          <w:rFonts w:ascii="Calibri" w:eastAsia="Times New Roman" w:hAnsi="Calibri" w:cs="Times New Roman"/>
        </w:rPr>
        <w:t xml:space="preserve"> in an industrialized society. Later this model was expanded to explain the more effective performance of the factor and product markets linking the agricultural and nonagricultural sectors in regions characterized by rapid urban-industrial development</w:t>
      </w:r>
    </w:p>
    <w:p w:rsidR="00060E63" w:rsidRPr="00060E63" w:rsidRDefault="00060E63" w:rsidP="00060E63">
      <w:pPr>
        <w:jc w:val="both"/>
        <w:rPr>
          <w:rFonts w:ascii="Calibri" w:eastAsia="Times New Roman" w:hAnsi="Calibri" w:cs="Times New Roman"/>
        </w:rPr>
      </w:pPr>
      <w:r w:rsidRPr="00060E63">
        <w:rPr>
          <w:rFonts w:ascii="Calibri" w:eastAsia="Times New Roman" w:hAnsi="Calibri" w:cs="Times New Roman"/>
        </w:rPr>
        <w:t xml:space="preserve">The diffusion approach to agricultural development rests on the empirical observation of substantial differences in land and </w:t>
      </w:r>
      <w:proofErr w:type="spellStart"/>
      <w:r w:rsidRPr="00060E63">
        <w:rPr>
          <w:rFonts w:ascii="Calibri" w:eastAsia="Times New Roman" w:hAnsi="Calibri" w:cs="Times New Roman"/>
        </w:rPr>
        <w:t>labour</w:t>
      </w:r>
      <w:proofErr w:type="spellEnd"/>
      <w:r w:rsidRPr="00060E63">
        <w:rPr>
          <w:rFonts w:ascii="Calibri" w:eastAsia="Times New Roman" w:hAnsi="Calibri" w:cs="Times New Roman"/>
        </w:rPr>
        <w:t xml:space="preserve"> productivity among farmers and regions. The route to agricultural </w:t>
      </w:r>
      <w:r w:rsidRPr="00060E63">
        <w:rPr>
          <w:rFonts w:ascii="Calibri" w:eastAsia="Times New Roman" w:hAnsi="Calibri" w:cs="Times New Roman"/>
        </w:rPr>
        <w:lastRenderedPageBreak/>
        <w:t>development, in this view is through more effective dissemination of technical knowledge and a narrowing of the productivity differences among farmers and among regions.</w:t>
      </w:r>
    </w:p>
    <w:p w:rsidR="00060E63" w:rsidRPr="00060E63" w:rsidRDefault="00060E63" w:rsidP="00060E63">
      <w:pPr>
        <w:jc w:val="both"/>
        <w:rPr>
          <w:rFonts w:ascii="Calibri" w:eastAsia="Times New Roman" w:hAnsi="Calibri" w:cs="Times New Roman"/>
        </w:rPr>
      </w:pPr>
      <w:r w:rsidRPr="00060E63">
        <w:rPr>
          <w:rFonts w:ascii="Calibri" w:eastAsia="Times New Roman" w:hAnsi="Calibri" w:cs="Times New Roman"/>
        </w:rPr>
        <w:t>The high pay-of model, which is also known as “the transformation approach” or “the quick-</w:t>
      </w:r>
      <w:proofErr w:type="spellStart"/>
      <w:r w:rsidRPr="00060E63">
        <w:rPr>
          <w:rFonts w:ascii="Calibri" w:eastAsia="Times New Roman" w:hAnsi="Calibri" w:cs="Times New Roman"/>
        </w:rPr>
        <w:t>fx</w:t>
      </w:r>
      <w:proofErr w:type="spellEnd"/>
      <w:r w:rsidRPr="00060E63">
        <w:rPr>
          <w:rFonts w:ascii="Calibri" w:eastAsia="Times New Roman" w:hAnsi="Calibri" w:cs="Times New Roman"/>
        </w:rPr>
        <w:t xml:space="preserve"> approach”, is based upon investment designed to expand the diffusion and adoption of the high-yielding varieties. </w:t>
      </w:r>
    </w:p>
    <w:p w:rsidR="00060E63" w:rsidRPr="00060E63" w:rsidRDefault="00060E63" w:rsidP="00060E63">
      <w:pPr>
        <w:jc w:val="both"/>
        <w:rPr>
          <w:rFonts w:ascii="Calibri" w:eastAsia="Times New Roman" w:hAnsi="Calibri" w:cs="Times New Roman"/>
        </w:rPr>
      </w:pPr>
      <w:r w:rsidRPr="00060E63">
        <w:rPr>
          <w:rFonts w:ascii="Calibri" w:eastAsia="Times New Roman" w:hAnsi="Calibri" w:cs="Times New Roman"/>
        </w:rPr>
        <w:t xml:space="preserve">The conservation model of agricultural development, according to </w:t>
      </w:r>
      <w:proofErr w:type="spellStart"/>
      <w:r w:rsidRPr="00060E63">
        <w:rPr>
          <w:rFonts w:ascii="Calibri" w:eastAsia="Times New Roman" w:hAnsi="Calibri" w:cs="Times New Roman"/>
        </w:rPr>
        <w:t>Ruttan</w:t>
      </w:r>
      <w:proofErr w:type="spellEnd"/>
      <w:r w:rsidRPr="00060E63">
        <w:rPr>
          <w:rFonts w:ascii="Calibri" w:eastAsia="Times New Roman" w:hAnsi="Calibri" w:cs="Times New Roman"/>
        </w:rPr>
        <w:t xml:space="preserve"> [14], “evolved from advances in crop and livestock husbandry associated with the English agricultural revolution and the notions of soil exhaustion suggested by the early German chemists and soil scientists. It was reinforced by the application to land of the concept, developed in the English classical school of economics, of diminishing returns to </w:t>
      </w:r>
      <w:proofErr w:type="spellStart"/>
      <w:r w:rsidRPr="00060E63">
        <w:rPr>
          <w:rFonts w:ascii="Calibri" w:eastAsia="Times New Roman" w:hAnsi="Calibri" w:cs="Times New Roman"/>
        </w:rPr>
        <w:t>labour</w:t>
      </w:r>
      <w:proofErr w:type="spellEnd"/>
      <w:r w:rsidRPr="00060E63">
        <w:rPr>
          <w:rFonts w:ascii="Calibri" w:eastAsia="Times New Roman" w:hAnsi="Calibri" w:cs="Times New Roman"/>
        </w:rPr>
        <w:t xml:space="preserve"> and capital”. </w:t>
      </w:r>
      <w:proofErr w:type="spellStart"/>
      <w:r w:rsidRPr="00060E63">
        <w:rPr>
          <w:rFonts w:ascii="Calibri" w:eastAsia="Times New Roman" w:hAnsi="Calibri" w:cs="Times New Roman"/>
        </w:rPr>
        <w:t>Te</w:t>
      </w:r>
      <w:proofErr w:type="spellEnd"/>
      <w:r w:rsidRPr="00060E63">
        <w:rPr>
          <w:rFonts w:ascii="Calibri" w:eastAsia="Times New Roman" w:hAnsi="Calibri" w:cs="Times New Roman"/>
        </w:rPr>
        <w:t xml:space="preserve"> essence of this model is explained by the evolution of a sequence of increasingly complex land- and labor-intensive cropping systems, the production and use of organic manures, and labor-intensive capital formation in the form of drainage, irrigation and other physical facilities to more effectively utilize land and water resources [14]. </w:t>
      </w:r>
      <w:proofErr w:type="spellStart"/>
      <w:r w:rsidRPr="00060E63">
        <w:rPr>
          <w:rFonts w:ascii="Calibri" w:eastAsia="Times New Roman" w:hAnsi="Calibri" w:cs="Times New Roman"/>
        </w:rPr>
        <w:t>Te</w:t>
      </w:r>
      <w:proofErr w:type="spellEnd"/>
      <w:r w:rsidRPr="00060E63">
        <w:rPr>
          <w:rFonts w:ascii="Calibri" w:eastAsia="Times New Roman" w:hAnsi="Calibri" w:cs="Times New Roman"/>
        </w:rPr>
        <w:t xml:space="preserve"> strength of this model emanates primarily from the fact that “the inputs used in this conservation system of farming (the plant nutrients, animal power, land improvements, physical capital and agricultural </w:t>
      </w:r>
      <w:proofErr w:type="spellStart"/>
      <w:r w:rsidRPr="00060E63">
        <w:rPr>
          <w:rFonts w:ascii="Calibri" w:eastAsia="Times New Roman" w:hAnsi="Calibri" w:cs="Times New Roman"/>
        </w:rPr>
        <w:t>labour</w:t>
      </w:r>
      <w:proofErr w:type="spellEnd"/>
      <w:r w:rsidRPr="00060E63">
        <w:rPr>
          <w:rFonts w:ascii="Calibri" w:eastAsia="Times New Roman" w:hAnsi="Calibri" w:cs="Times New Roman"/>
        </w:rPr>
        <w:t xml:space="preserve"> force) were largely produced or supplied by the agricultural sector itself”</w:t>
      </w:r>
      <w:r w:rsidRPr="00060E63">
        <w:rPr>
          <w:rFonts w:ascii="Calibri" w:eastAsia="Times New Roman" w:hAnsi="Calibri" w:cs="Times New Roman"/>
        </w:rPr>
        <w:fldChar w:fldCharType="begin"/>
      </w:r>
      <w:r w:rsidRPr="00060E63">
        <w:rPr>
          <w:rFonts w:ascii="Calibri" w:eastAsia="Times New Roman" w:hAnsi="Calibri" w:cs="Times New Roman"/>
        </w:rPr>
        <w:instrText xml:space="preserve"> ADDIN ZOTERO_ITEM CSL_CITATION {"citationID":"MTOv1d4s","properties":{"formattedCitation":"(Welteji, 2018)","plainCitation":"(Welteji, 2018)","noteIndex":0},"citationItems":[{"id":332,"uris":["http://zotero.org/users/local/TVJe6XJk/items/VK2ET6GW"],"itemData":{"id":332,"type":"article-journal","abstract":"Agriculture is the mainstay of Ethiopian economy involving major source of employment and gross national product. By African, standard rural development programme has long history in Ethiopia. It has also enjoyed a considerable attention by the government. However, the expected level was not achieved. The main objective of this review is to indicate the policy gaps in terms of access, utilization and coverage of rural development policy programme packages by different segments of people in rural areas. The programme packages of rural development policy of the country were reviewed over the past three regimes. It was indicated that there were significant gaps in access, utilization and coverage due to wrong policy priority, institutional and technological variables.","container-title":"Agriculture &amp; Food Security","DOI":"10.1186/s40066-018-0208-y","ISSN":"2048-7010","issue":"1","journalAbbreviation":"Agric &amp; Food Secur","language":"en","page":"55","source":"DOI.org (Crossref)","title":"A critical review of rural development policy of Ethiopia: access, utilization and coverage","title-short":"A critical review of rural development policy of Ethiopia","volume":"7","author":[{"family":"Welteji","given":"Diriba"}],"issued":{"date-parts":[["2018",12]]}}}],"schema":"https://github.com/citation-style-language/schema/raw/master/csl-citation.json"} </w:instrText>
      </w:r>
      <w:r w:rsidRPr="00060E63">
        <w:rPr>
          <w:rFonts w:ascii="Calibri" w:eastAsia="Times New Roman" w:hAnsi="Calibri" w:cs="Times New Roman"/>
        </w:rPr>
        <w:fldChar w:fldCharType="separate"/>
      </w:r>
      <w:r w:rsidRPr="00060E63">
        <w:rPr>
          <w:rFonts w:ascii="Calibri" w:eastAsia="Times New Roman" w:hAnsi="Calibri" w:cs="Calibri"/>
        </w:rPr>
        <w:t>(</w:t>
      </w:r>
      <w:proofErr w:type="spellStart"/>
      <w:r w:rsidRPr="00060E63">
        <w:rPr>
          <w:rFonts w:ascii="Calibri" w:eastAsia="Times New Roman" w:hAnsi="Calibri" w:cs="Calibri"/>
        </w:rPr>
        <w:t>Welteji</w:t>
      </w:r>
      <w:proofErr w:type="spellEnd"/>
      <w:r w:rsidRPr="00060E63">
        <w:rPr>
          <w:rFonts w:ascii="Calibri" w:eastAsia="Times New Roman" w:hAnsi="Calibri" w:cs="Calibri"/>
        </w:rPr>
        <w:t>, 2018)</w:t>
      </w:r>
      <w:r w:rsidRPr="00060E63">
        <w:rPr>
          <w:rFonts w:ascii="Calibri" w:eastAsia="Times New Roman" w:hAnsi="Calibri" w:cs="Times New Roman"/>
        </w:rPr>
        <w:fldChar w:fldCharType="end"/>
      </w:r>
      <w:r w:rsidRPr="00060E63">
        <w:rPr>
          <w:rFonts w:ascii="Calibri" w:eastAsia="Times New Roman" w:hAnsi="Calibri" w:cs="Times New Roman"/>
        </w:rPr>
        <w:t xml:space="preserve"> </w:t>
      </w:r>
    </w:p>
    <w:p w:rsidR="00060E63" w:rsidRPr="00060E63" w:rsidRDefault="00060E63" w:rsidP="00060E63">
      <w:pPr>
        <w:numPr>
          <w:ilvl w:val="3"/>
          <w:numId w:val="1"/>
        </w:numPr>
        <w:contextualSpacing/>
        <w:outlineLvl w:val="2"/>
        <w:rPr>
          <w:rFonts w:ascii="Times New Roman" w:eastAsia="Times New Roman" w:hAnsi="Times New Roman" w:cs="Times New Roman"/>
          <w:b/>
          <w:bCs/>
          <w:sz w:val="24"/>
          <w:szCs w:val="24"/>
        </w:rPr>
      </w:pPr>
      <w:bookmarkStart w:id="12" w:name="_Toc131807601"/>
      <w:r w:rsidRPr="00060E63">
        <w:rPr>
          <w:rFonts w:ascii="Times New Roman" w:eastAsia="Times New Roman" w:hAnsi="Times New Roman" w:cs="Times New Roman"/>
          <w:b/>
          <w:bCs/>
          <w:sz w:val="24"/>
          <w:szCs w:val="24"/>
        </w:rPr>
        <w:t>Measuring Agricultural Productivity</w:t>
      </w:r>
      <w:bookmarkEnd w:id="12"/>
    </w:p>
    <w:p w:rsidR="00060E63" w:rsidRPr="00060E63" w:rsidRDefault="00060E63" w:rsidP="00060E63">
      <w:pPr>
        <w:numPr>
          <w:ilvl w:val="2"/>
          <w:numId w:val="1"/>
        </w:numPr>
        <w:contextualSpacing/>
        <w:outlineLvl w:val="2"/>
        <w:rPr>
          <w:rFonts w:ascii="Times New Roman" w:eastAsia="Times New Roman" w:hAnsi="Times New Roman" w:cs="Times New Roman"/>
          <w:b/>
          <w:bCs/>
          <w:sz w:val="24"/>
          <w:szCs w:val="24"/>
        </w:rPr>
      </w:pPr>
      <w:bookmarkStart w:id="13" w:name="_Toc131807602"/>
      <w:r w:rsidRPr="00060E63">
        <w:rPr>
          <w:rFonts w:ascii="Times New Roman" w:eastAsia="Times New Roman" w:hAnsi="Times New Roman" w:cs="Times New Roman"/>
          <w:b/>
          <w:bCs/>
          <w:sz w:val="24"/>
          <w:szCs w:val="24"/>
        </w:rPr>
        <w:t>Economic Growth</w:t>
      </w:r>
      <w:bookmarkEnd w:id="13"/>
    </w:p>
    <w:p w:rsidR="00060E63" w:rsidRPr="00060E63" w:rsidRDefault="00060E63" w:rsidP="00060E63">
      <w:pPr>
        <w:ind w:left="720"/>
        <w:contextualSpacing/>
        <w:outlineLvl w:val="2"/>
        <w:rPr>
          <w:rFonts w:ascii="Times New Roman" w:eastAsia="Times New Roman" w:hAnsi="Times New Roman" w:cs="Times New Roman"/>
          <w:b/>
          <w:bCs/>
          <w:sz w:val="24"/>
          <w:szCs w:val="24"/>
        </w:rPr>
      </w:pPr>
    </w:p>
    <w:p w:rsidR="00060E63" w:rsidRPr="00060E63" w:rsidRDefault="00060E63" w:rsidP="00060E63">
      <w:pPr>
        <w:jc w:val="both"/>
        <w:rPr>
          <w:rFonts w:ascii="Times New Roman" w:eastAsia="Times New Roman" w:hAnsi="Times New Roman" w:cs="Times New Roman"/>
          <w:sz w:val="24"/>
          <w:szCs w:val="24"/>
        </w:rPr>
      </w:pPr>
      <w:r w:rsidRPr="00060E63">
        <w:rPr>
          <w:rFonts w:ascii="Times New Roman" w:eastAsia="Times New Roman" w:hAnsi="Times New Roman" w:cs="Times New Roman"/>
          <w:sz w:val="24"/>
          <w:szCs w:val="24"/>
        </w:rPr>
        <w:t>According to</w:t>
      </w:r>
      <w:r w:rsidRPr="00060E63">
        <w:rPr>
          <w:rFonts w:ascii="Times New Roman" w:eastAsia="Times New Roman" w:hAnsi="Times New Roman" w:cs="Times New Roman"/>
          <w:sz w:val="24"/>
          <w:szCs w:val="24"/>
        </w:rPr>
        <w:fldChar w:fldCharType="begin"/>
      </w:r>
      <w:r w:rsidRPr="00060E63">
        <w:rPr>
          <w:rFonts w:ascii="Times New Roman" w:eastAsia="Times New Roman" w:hAnsi="Times New Roman" w:cs="Times New Roman"/>
          <w:sz w:val="24"/>
          <w:szCs w:val="24"/>
        </w:rPr>
        <w:instrText xml:space="preserve"> ADDIN ZOTERO_ITEM CSL_CITATION {"citationID":"tunn7L2j","properties":{"formattedCitation":"(Thirtle et al., 2003)","plainCitation":"(Thirtle et al., 2003)","noteIndex":0},"citationItems":[{"id":339,"uris":["http://zotero.org/users/local/TVJe6XJk/items/UC9L7F4Q"],"itemData":{"id":339,"type":"article-journal","abstract":"Twenty-percent of the world’s population, or 1.2 billion live on less than $1 per day; 70% of these are rural and 90% are in Asia and sub-Saharan Africa. Research-led technological change in agriculture generates suﬃcient productivity growth to give high rates of return in Africa and Asia and has a substantial impact on poverty, currently reducing this number by 27 million per annum, whereas productivity growth in industry and services has no impact. The per capita ‘‘cost’’ of poverty reduction by means of agricultural research expenditures in Africa is $144 and in Asia $180, or 50 cents per day, but this is covered by output growth. By contrast, the per capita cost for the richer countries of Latin America is over $11,000.","container-title":"World Development","DOI":"10.1016/j.worlddev.2003.07.001","ISSN":"0305750X","issue":"12","journalAbbreviation":"World Development","language":"en","page":"1959-1975","source":"DOI.org (Crossref)","title":"The Impact of Research-Led Agricultural Productivity Growth on Poverty Reduction in Africa, Asia and Latin America","volume":"31","author":[{"family":"Thirtle","given":"Colin"},{"family":"Lin","given":"Lin"},{"family":"Piesse","given":"Jenifer"}],"issued":{"date-parts":[["2003",12]]}}}],"schema":"https://github.com/citation-style-language/schema/raw/master/csl-citation.json"} </w:instrText>
      </w:r>
      <w:r w:rsidRPr="00060E63">
        <w:rPr>
          <w:rFonts w:ascii="Times New Roman" w:eastAsia="Times New Roman" w:hAnsi="Times New Roman" w:cs="Times New Roman"/>
          <w:sz w:val="24"/>
          <w:szCs w:val="24"/>
        </w:rPr>
        <w:fldChar w:fldCharType="separate"/>
      </w:r>
      <w:r w:rsidRPr="00060E63">
        <w:rPr>
          <w:rFonts w:ascii="Times New Roman" w:eastAsia="Times New Roman" w:hAnsi="Times New Roman" w:cs="Times New Roman"/>
          <w:sz w:val="24"/>
        </w:rPr>
        <w:t>(</w:t>
      </w:r>
      <w:proofErr w:type="spellStart"/>
      <w:r w:rsidRPr="00060E63">
        <w:rPr>
          <w:rFonts w:ascii="Times New Roman" w:eastAsia="Times New Roman" w:hAnsi="Times New Roman" w:cs="Times New Roman"/>
          <w:sz w:val="24"/>
        </w:rPr>
        <w:t>Thirtle</w:t>
      </w:r>
      <w:proofErr w:type="spellEnd"/>
      <w:r w:rsidRPr="00060E63">
        <w:rPr>
          <w:rFonts w:ascii="Times New Roman" w:eastAsia="Times New Roman" w:hAnsi="Times New Roman" w:cs="Times New Roman"/>
          <w:sz w:val="24"/>
        </w:rPr>
        <w:t xml:space="preserve"> et al., 2003)</w:t>
      </w:r>
      <w:r w:rsidRPr="00060E63">
        <w:rPr>
          <w:rFonts w:ascii="Times New Roman" w:eastAsia="Times New Roman" w:hAnsi="Times New Roman" w:cs="Times New Roman"/>
          <w:sz w:val="24"/>
          <w:szCs w:val="24"/>
        </w:rPr>
        <w:fldChar w:fldCharType="end"/>
      </w:r>
      <w:r w:rsidRPr="00060E63">
        <w:rPr>
          <w:rFonts w:ascii="Times New Roman" w:eastAsia="Times New Roman" w:hAnsi="Times New Roman" w:cs="Times New Roman"/>
          <w:sz w:val="24"/>
          <w:szCs w:val="24"/>
        </w:rPr>
        <w:t>, agriculture contributes to the economic growth and development through five inter-sectorial linkages. These linkages are (</w:t>
      </w:r>
      <w:proofErr w:type="spellStart"/>
      <w:r w:rsidRPr="00060E63">
        <w:rPr>
          <w:rFonts w:ascii="Times New Roman" w:eastAsia="Times New Roman" w:hAnsi="Times New Roman" w:cs="Times New Roman"/>
          <w:sz w:val="24"/>
          <w:szCs w:val="24"/>
        </w:rPr>
        <w:t>i</w:t>
      </w:r>
      <w:proofErr w:type="spellEnd"/>
      <w:r w:rsidRPr="00060E63">
        <w:rPr>
          <w:rFonts w:ascii="Times New Roman" w:eastAsia="Times New Roman" w:hAnsi="Times New Roman" w:cs="Times New Roman"/>
          <w:sz w:val="24"/>
          <w:szCs w:val="24"/>
        </w:rPr>
        <w:t xml:space="preserve">) supply of surplus </w:t>
      </w:r>
      <w:proofErr w:type="spellStart"/>
      <w:r w:rsidRPr="00060E63">
        <w:rPr>
          <w:rFonts w:ascii="Times New Roman" w:eastAsia="Times New Roman" w:hAnsi="Times New Roman" w:cs="Times New Roman"/>
          <w:sz w:val="24"/>
          <w:szCs w:val="24"/>
        </w:rPr>
        <w:t>labour</w:t>
      </w:r>
      <w:proofErr w:type="spellEnd"/>
      <w:r w:rsidRPr="00060E63">
        <w:rPr>
          <w:rFonts w:ascii="Times New Roman" w:eastAsia="Times New Roman" w:hAnsi="Times New Roman" w:cs="Times New Roman"/>
          <w:sz w:val="24"/>
          <w:szCs w:val="24"/>
        </w:rPr>
        <w:t xml:space="preserve"> to firm in the industrial sector, (ii) supply of food for domestic consumption, (iii) provision of market for industrial output, </w:t>
      </w:r>
      <w:proofErr w:type="gramStart"/>
      <w:r w:rsidRPr="00060E63">
        <w:rPr>
          <w:rFonts w:ascii="Times New Roman" w:eastAsia="Times New Roman" w:hAnsi="Times New Roman" w:cs="Times New Roman"/>
          <w:sz w:val="24"/>
          <w:szCs w:val="24"/>
        </w:rPr>
        <w:t>(iv) supply</w:t>
      </w:r>
      <w:proofErr w:type="gramEnd"/>
      <w:r w:rsidRPr="00060E63">
        <w:rPr>
          <w:rFonts w:ascii="Times New Roman" w:eastAsia="Times New Roman" w:hAnsi="Times New Roman" w:cs="Times New Roman"/>
          <w:sz w:val="24"/>
          <w:szCs w:val="24"/>
        </w:rPr>
        <w:t xml:space="preserve"> of domestic savings and industrial investment and (v) supply of foreign exchange from agriculture export earnings to finance import intermediate and capital goods.  </w:t>
      </w:r>
      <w:r w:rsidRPr="00060E63">
        <w:rPr>
          <w:rFonts w:ascii="Times New Roman" w:eastAsia="Times New Roman" w:hAnsi="Times New Roman" w:cs="Times New Roman"/>
          <w:sz w:val="24"/>
          <w:szCs w:val="24"/>
        </w:rPr>
        <w:fldChar w:fldCharType="begin"/>
      </w:r>
      <w:r w:rsidRPr="00060E63">
        <w:rPr>
          <w:rFonts w:ascii="Times New Roman" w:eastAsia="Times New Roman" w:hAnsi="Times New Roman" w:cs="Times New Roman"/>
          <w:sz w:val="24"/>
          <w:szCs w:val="24"/>
        </w:rPr>
        <w:instrText xml:space="preserve"> ADDIN ZOTERO_ITEM CSL_CITATION {"citationID":"QyklMTPb","properties":{"formattedCitation":"(Timmer, 1995)","plainCitation":"(Timmer, 1995)","noteIndex":0},"citationItems":[{"id":341,"uris":["http://zotero.org/users/local/TVJe6XJk/items/ULLQ334R"],"itemData":{"id":341,"type":"article-journal","abstract":"Political discrimination has often pushed the domestic value of agriculture in developing countries below its value in markets at the border. This paper seeks to explain the reasons why border prices themselves undervalue the linkages that agriculture has to economic growth in the early stages of development. If agriculture is critically important to stimulating and sustaining rapid economic growth, those countries that fail to correct this discrimination exact a heavy toll in economic performance. Furthermore, the poorest countries will suffer the most. Agricultural development and development of the non-agricultural economy are closely linked. The traditional market-mediated linkages form the core of economic analysis of the role of agriculture in economic development: providing labour for an industrial work-force, food for an expanding population with higher incomes, savings for industrial investments, markets for industrial output, export earnings to pay for imported capital goods, and raw materials for agro-processing industries. A second category of linkages is not well mediated by market forces, even when markets are working well. The impact of agricultural growth on the rest of the economy through non-market linkages can be traced using a simple growth-accounting framework that examines contributions to the labour force, capital investment and the productivity with which these two physical factors are utilised. Several linkages stand out as likely to be important and potentially measurable because they draw on the efficiency of decision making in rural households, the low opportunity cost of their labour resources, the opportunity for farm investment without financial intermediaries, the potential to earn high rates of return on public investments that correct for urban bias, the contribution of food price stability to increased efficiency in investment decisions, and the impact of growth in food production on widespread improvement in nutrient intake and labour productivity. Each of these factors alone, as public investment and favourable policy stimulate growth in the agricultural sector, should cause an increase in the efficiency of resource allocation and thus higher total factor productivity. Several of these mechanisms will also serve to speed factor accumulation by increasing the savings rate or improving factor mobility.","container-title":"Food Policy","DOI":"10.1016/0306-9192(95)00038-G","ISSN":"03069192","issue":"5","journalAbbreviation":"Food Policy","language":"en","page":"455-472","source":"DOI.org (Crossref)","title":"Getting agriculture moving: do markets provide the right signals?","title-short":"Getting agriculture moving","volume":"20","author":[{"family":"Timmer","given":"C.Peter"}],"issued":{"date-parts":[["1995",10]]}}}],"schema":"https://github.com/citation-style-language/schema/raw/master/csl-citation.json"} </w:instrText>
      </w:r>
      <w:r w:rsidRPr="00060E63">
        <w:rPr>
          <w:rFonts w:ascii="Times New Roman" w:eastAsia="Times New Roman" w:hAnsi="Times New Roman" w:cs="Times New Roman"/>
          <w:sz w:val="24"/>
          <w:szCs w:val="24"/>
        </w:rPr>
        <w:fldChar w:fldCharType="separate"/>
      </w:r>
      <w:r w:rsidRPr="00060E63">
        <w:rPr>
          <w:rFonts w:ascii="Times New Roman" w:eastAsia="Times New Roman" w:hAnsi="Times New Roman" w:cs="Times New Roman"/>
          <w:sz w:val="24"/>
        </w:rPr>
        <w:t>(</w:t>
      </w:r>
      <w:proofErr w:type="spellStart"/>
      <w:r w:rsidRPr="00060E63">
        <w:rPr>
          <w:rFonts w:ascii="Times New Roman" w:eastAsia="Times New Roman" w:hAnsi="Times New Roman" w:cs="Times New Roman"/>
          <w:sz w:val="24"/>
        </w:rPr>
        <w:t>Timmer</w:t>
      </w:r>
      <w:proofErr w:type="spellEnd"/>
      <w:r w:rsidRPr="00060E63">
        <w:rPr>
          <w:rFonts w:ascii="Times New Roman" w:eastAsia="Times New Roman" w:hAnsi="Times New Roman" w:cs="Times New Roman"/>
          <w:sz w:val="24"/>
        </w:rPr>
        <w:t>, 1995)</w:t>
      </w:r>
      <w:r w:rsidRPr="00060E63">
        <w:rPr>
          <w:rFonts w:ascii="Times New Roman" w:eastAsia="Times New Roman" w:hAnsi="Times New Roman" w:cs="Times New Roman"/>
          <w:sz w:val="24"/>
          <w:szCs w:val="24"/>
        </w:rPr>
        <w:fldChar w:fldCharType="end"/>
      </w:r>
      <w:r w:rsidRPr="00060E63">
        <w:rPr>
          <w:rFonts w:ascii="Times New Roman" w:eastAsia="Times New Roman" w:hAnsi="Times New Roman" w:cs="Times New Roman"/>
          <w:sz w:val="24"/>
          <w:szCs w:val="24"/>
        </w:rPr>
        <w:t xml:space="preserve"> adds to the five sectorial linkages that agriculture indirectly enhance economic growth via its provision of improved caloric intake by the poor, food availability, food price stability and poverty reduction.</w:t>
      </w:r>
    </w:p>
    <w:p w:rsidR="00060E63" w:rsidRPr="00060E63" w:rsidRDefault="00060E63" w:rsidP="00060E63">
      <w:pPr>
        <w:numPr>
          <w:ilvl w:val="3"/>
          <w:numId w:val="1"/>
        </w:numPr>
        <w:contextualSpacing/>
        <w:outlineLvl w:val="2"/>
        <w:rPr>
          <w:rFonts w:ascii="Times New Roman" w:eastAsia="Times New Roman" w:hAnsi="Times New Roman" w:cs="Times New Roman"/>
          <w:b/>
          <w:bCs/>
          <w:sz w:val="24"/>
          <w:szCs w:val="24"/>
        </w:rPr>
      </w:pPr>
      <w:bookmarkStart w:id="14" w:name="_Toc131807603"/>
      <w:r w:rsidRPr="00060E63">
        <w:rPr>
          <w:rFonts w:ascii="Times New Roman" w:eastAsia="Times New Roman" w:hAnsi="Times New Roman" w:cs="Times New Roman"/>
          <w:b/>
          <w:bCs/>
          <w:sz w:val="24"/>
          <w:szCs w:val="24"/>
        </w:rPr>
        <w:t>Theories and Concept of Economic Growth</w:t>
      </w:r>
      <w:bookmarkEnd w:id="14"/>
    </w:p>
    <w:p w:rsidR="00060E63" w:rsidRPr="00060E63" w:rsidRDefault="00060E63" w:rsidP="00060E63">
      <w:pPr>
        <w:autoSpaceDE w:val="0"/>
        <w:autoSpaceDN w:val="0"/>
        <w:adjustRightInd w:val="0"/>
        <w:spacing w:after="0" w:line="360" w:lineRule="auto"/>
        <w:jc w:val="both"/>
        <w:rPr>
          <w:rFonts w:ascii="Times New Roman" w:eastAsia="Times New Roman" w:hAnsi="Times New Roman" w:cs="Times New Roman"/>
          <w:sz w:val="24"/>
          <w:szCs w:val="24"/>
        </w:rPr>
      </w:pPr>
      <w:r w:rsidRPr="00060E63">
        <w:rPr>
          <w:rFonts w:ascii="Times New Roman" w:eastAsia="Times New Roman" w:hAnsi="Times New Roman" w:cs="Times New Roman"/>
          <w:sz w:val="24"/>
          <w:szCs w:val="24"/>
        </w:rPr>
        <w:t xml:space="preserve">Early growth theories emphasized on different factors that lead to economic growth. Mercantilists underscored surplus balance of trade, </w:t>
      </w:r>
      <w:proofErr w:type="spellStart"/>
      <w:r w:rsidRPr="00060E63">
        <w:rPr>
          <w:rFonts w:ascii="Times New Roman" w:eastAsia="Times New Roman" w:hAnsi="Times New Roman" w:cs="Times New Roman"/>
          <w:sz w:val="24"/>
          <w:szCs w:val="24"/>
        </w:rPr>
        <w:t>Physiocrats</w:t>
      </w:r>
      <w:proofErr w:type="spellEnd"/>
      <w:r w:rsidRPr="00060E63">
        <w:rPr>
          <w:rFonts w:ascii="Times New Roman" w:eastAsia="Times New Roman" w:hAnsi="Times New Roman" w:cs="Times New Roman"/>
          <w:sz w:val="24"/>
          <w:szCs w:val="24"/>
        </w:rPr>
        <w:t xml:space="preserve"> prioritized agriculture as growth and wealth. Under the classical models of Smith and Malthus, economic growth is explained by fixed land and growing population. Mainstream growth models follow </w:t>
      </w:r>
      <w:proofErr w:type="spellStart"/>
      <w:r w:rsidRPr="00060E63">
        <w:rPr>
          <w:rFonts w:ascii="Times New Roman" w:eastAsia="Times New Roman" w:hAnsi="Times New Roman" w:cs="Times New Roman"/>
          <w:sz w:val="24"/>
          <w:szCs w:val="24"/>
        </w:rPr>
        <w:t>Say‟s</w:t>
      </w:r>
      <w:proofErr w:type="spellEnd"/>
      <w:r w:rsidRPr="00060E63">
        <w:rPr>
          <w:rFonts w:ascii="Times New Roman" w:eastAsia="Times New Roman" w:hAnsi="Times New Roman" w:cs="Times New Roman"/>
          <w:sz w:val="24"/>
          <w:szCs w:val="24"/>
        </w:rPr>
        <w:t xml:space="preserve"> Law and focus on the supply side of income growth through some engine of growth. In such framework, however, there is no fundamental role for aggregate demand since, from the beginning it is assumed that supply creates its own demand (</w:t>
      </w:r>
      <w:proofErr w:type="spellStart"/>
      <w:r w:rsidRPr="00060E63">
        <w:rPr>
          <w:rFonts w:ascii="Times New Roman" w:eastAsia="Times New Roman" w:hAnsi="Times New Roman" w:cs="Times New Roman"/>
          <w:sz w:val="24"/>
          <w:szCs w:val="24"/>
        </w:rPr>
        <w:t>Jarra</w:t>
      </w:r>
      <w:proofErr w:type="spellEnd"/>
      <w:r w:rsidRPr="00060E63">
        <w:rPr>
          <w:rFonts w:ascii="Times New Roman" w:eastAsia="Times New Roman" w:hAnsi="Times New Roman" w:cs="Times New Roman"/>
          <w:sz w:val="24"/>
          <w:szCs w:val="24"/>
        </w:rPr>
        <w:t>, 2013).</w:t>
      </w:r>
    </w:p>
    <w:p w:rsidR="00060E63" w:rsidRPr="00060E63" w:rsidRDefault="00060E63" w:rsidP="00060E63">
      <w:pPr>
        <w:autoSpaceDE w:val="0"/>
        <w:autoSpaceDN w:val="0"/>
        <w:adjustRightInd w:val="0"/>
        <w:spacing w:after="0" w:line="360" w:lineRule="auto"/>
        <w:jc w:val="both"/>
        <w:rPr>
          <w:rFonts w:ascii="Times New Roman" w:eastAsia="Times New Roman" w:hAnsi="Times New Roman" w:cs="Times New Roman"/>
          <w:sz w:val="24"/>
          <w:szCs w:val="24"/>
        </w:rPr>
      </w:pPr>
    </w:p>
    <w:p w:rsidR="00060E63" w:rsidRPr="00060E63" w:rsidRDefault="00060E63" w:rsidP="00060E63">
      <w:pPr>
        <w:autoSpaceDE w:val="0"/>
        <w:autoSpaceDN w:val="0"/>
        <w:adjustRightInd w:val="0"/>
        <w:spacing w:after="0" w:line="360" w:lineRule="auto"/>
        <w:jc w:val="both"/>
        <w:rPr>
          <w:rFonts w:ascii="Times New Roman" w:eastAsia="Times New Roman" w:hAnsi="Times New Roman" w:cs="Times New Roman"/>
          <w:sz w:val="24"/>
          <w:szCs w:val="24"/>
        </w:rPr>
      </w:pPr>
      <w:r w:rsidRPr="00060E63">
        <w:rPr>
          <w:rFonts w:ascii="Times New Roman" w:eastAsia="Times New Roman" w:hAnsi="Times New Roman" w:cs="Times New Roman"/>
          <w:sz w:val="24"/>
          <w:szCs w:val="24"/>
        </w:rPr>
        <w:lastRenderedPageBreak/>
        <w:t xml:space="preserve">In contrast to the above, Keynesian models gives great value for effective demand and, therefore, weight to sources of aggregate demand. It is clear that in Keynesian models, growth is a demand-led process. This demand is classified into external and domestic demand. In economics literature domestic demand is best </w:t>
      </w:r>
      <w:proofErr w:type="spellStart"/>
      <w:r w:rsidRPr="00060E63">
        <w:rPr>
          <w:rFonts w:ascii="Times New Roman" w:eastAsia="Times New Roman" w:hAnsi="Times New Roman" w:cs="Times New Roman"/>
          <w:sz w:val="24"/>
          <w:szCs w:val="24"/>
        </w:rPr>
        <w:t>proxied</w:t>
      </w:r>
      <w:proofErr w:type="spellEnd"/>
      <w:r w:rsidRPr="00060E63">
        <w:rPr>
          <w:rFonts w:ascii="Times New Roman" w:eastAsia="Times New Roman" w:hAnsi="Times New Roman" w:cs="Times New Roman"/>
          <w:sz w:val="24"/>
          <w:szCs w:val="24"/>
        </w:rPr>
        <w:t xml:space="preserve"> by household and government consumption. Export-led growth follows a high rate of export to achieve a high growth in GDP. Domestic demand-led growth hypothesis advocates that, it is an increase in domestic demand that needs to be considered as major driving force for economic growth (</w:t>
      </w:r>
      <w:proofErr w:type="spellStart"/>
      <w:r w:rsidRPr="00060E63">
        <w:rPr>
          <w:rFonts w:ascii="Times New Roman" w:eastAsia="Times New Roman" w:hAnsi="Times New Roman" w:cs="Times New Roman"/>
          <w:sz w:val="24"/>
          <w:szCs w:val="24"/>
        </w:rPr>
        <w:t>Jarra</w:t>
      </w:r>
      <w:proofErr w:type="spellEnd"/>
      <w:r w:rsidRPr="00060E63">
        <w:rPr>
          <w:rFonts w:ascii="Times New Roman" w:eastAsia="Times New Roman" w:hAnsi="Times New Roman" w:cs="Times New Roman"/>
          <w:sz w:val="24"/>
          <w:szCs w:val="24"/>
        </w:rPr>
        <w:t>, 2013).</w:t>
      </w:r>
    </w:p>
    <w:p w:rsidR="00060E63" w:rsidRPr="00060E63" w:rsidRDefault="00060E63" w:rsidP="00060E63">
      <w:pPr>
        <w:ind w:left="720"/>
        <w:contextualSpacing/>
        <w:outlineLvl w:val="2"/>
        <w:rPr>
          <w:rFonts w:ascii="Times New Roman" w:eastAsia="Times New Roman" w:hAnsi="Times New Roman" w:cs="Times New Roman"/>
          <w:b/>
          <w:bCs/>
          <w:sz w:val="24"/>
          <w:szCs w:val="24"/>
        </w:rPr>
      </w:pPr>
    </w:p>
    <w:p w:rsidR="00060E63" w:rsidRPr="00060E63" w:rsidRDefault="00060E63" w:rsidP="00060E63">
      <w:pPr>
        <w:numPr>
          <w:ilvl w:val="3"/>
          <w:numId w:val="1"/>
        </w:numPr>
        <w:contextualSpacing/>
        <w:outlineLvl w:val="2"/>
        <w:rPr>
          <w:rFonts w:ascii="Times New Roman" w:eastAsia="Times New Roman" w:hAnsi="Times New Roman" w:cs="Times New Roman"/>
          <w:b/>
          <w:bCs/>
          <w:sz w:val="24"/>
          <w:szCs w:val="24"/>
        </w:rPr>
      </w:pPr>
      <w:bookmarkStart w:id="15" w:name="_Toc131807604"/>
      <w:r w:rsidRPr="00060E63">
        <w:rPr>
          <w:rFonts w:ascii="Times New Roman" w:eastAsia="Times New Roman" w:hAnsi="Times New Roman" w:cs="Times New Roman"/>
          <w:b/>
          <w:bCs/>
          <w:sz w:val="24"/>
          <w:szCs w:val="24"/>
        </w:rPr>
        <w:t>Measuring Economic Growth</w:t>
      </w:r>
      <w:bookmarkEnd w:id="15"/>
    </w:p>
    <w:p w:rsidR="00060E63" w:rsidRPr="00060E63" w:rsidRDefault="00060E63" w:rsidP="00060E63">
      <w:pPr>
        <w:jc w:val="both"/>
        <w:outlineLvl w:val="2"/>
        <w:rPr>
          <w:rFonts w:ascii="Calibri" w:eastAsia="Times New Roman" w:hAnsi="Calibri" w:cs="Times New Roman"/>
        </w:rPr>
      </w:pPr>
      <w:r w:rsidRPr="00060E63">
        <w:rPr>
          <w:rFonts w:ascii="Calibri" w:eastAsia="Times New Roman" w:hAnsi="Calibri" w:cs="Times New Roman"/>
        </w:rPr>
        <w:t xml:space="preserve">Economic growth is defined as the increase in a country’s Gross Domestic Product, GDP from one year to another. Seeing that GDP is a measure of the value of the total productivity in a country it therefore illustrates the total national income, - the wealth of a country. The economic growth is always displayed a percentage of the annual change in GDP and indicates how fast the wealth increases (Hansson 2010). </w:t>
      </w:r>
    </w:p>
    <w:p w:rsidR="00060E63" w:rsidRPr="00060E63" w:rsidRDefault="00060E63" w:rsidP="00060E63">
      <w:pPr>
        <w:jc w:val="both"/>
        <w:outlineLvl w:val="2"/>
        <w:rPr>
          <w:rFonts w:ascii="Times New Roman" w:eastAsia="Times New Roman" w:hAnsi="Times New Roman" w:cs="Times New Roman"/>
          <w:b/>
          <w:bCs/>
          <w:sz w:val="24"/>
          <w:szCs w:val="24"/>
        </w:rPr>
      </w:pPr>
      <w:r w:rsidRPr="00060E63">
        <w:rPr>
          <w:rFonts w:ascii="Calibri" w:eastAsia="Times New Roman" w:hAnsi="Calibri" w:cs="Times New Roman"/>
        </w:rPr>
        <w:t>However, the annual growth rate may fluctuate depending on where the economy is situated in the conjuncture cycle. If the economy of the country is experiencing some bad years, the growth slows down and can even become negative. The opposite then occur when experiencing some good years. The size of the conjuncture is measured as the total divergence from the potential GDP, which is an estimation of how the economy would have grown if no conjunctures accrued (Hansson 2010). Because the conjuncture fluctuations only reflect resent policies or shocks it is necessary to leave them out when trying to understand growth and determining what causes growth in the long run. For this reason economic growth is seen, in the long run, as a change in the potential GDP. In the economic growth literature and when modeling economic growth it is consequently the long run potential GDP that is being used (ibid).</w:t>
      </w:r>
    </w:p>
    <w:p w:rsidR="00060E63" w:rsidRPr="00060E63" w:rsidRDefault="00060E63" w:rsidP="00060E63">
      <w:pPr>
        <w:numPr>
          <w:ilvl w:val="2"/>
          <w:numId w:val="1"/>
        </w:numPr>
        <w:spacing w:line="360" w:lineRule="auto"/>
        <w:outlineLvl w:val="2"/>
        <w:rPr>
          <w:rFonts w:ascii="Times New Roman" w:eastAsia="Times New Roman" w:hAnsi="Times New Roman" w:cs="Times New Roman"/>
          <w:b/>
          <w:bCs/>
          <w:sz w:val="24"/>
          <w:szCs w:val="24"/>
        </w:rPr>
      </w:pPr>
      <w:bookmarkStart w:id="16" w:name="_Toc131807605"/>
      <w:r w:rsidRPr="00060E63">
        <w:rPr>
          <w:rFonts w:ascii="Times New Roman" w:eastAsia="Times New Roman" w:hAnsi="Times New Roman" w:cs="Times New Roman"/>
          <w:b/>
          <w:bCs/>
          <w:sz w:val="24"/>
          <w:szCs w:val="24"/>
        </w:rPr>
        <w:t>Domestic Consumption</w:t>
      </w:r>
      <w:bookmarkEnd w:id="16"/>
      <w:r w:rsidRPr="00060E63">
        <w:rPr>
          <w:rFonts w:ascii="Times New Roman" w:eastAsia="Times New Roman" w:hAnsi="Times New Roman" w:cs="Times New Roman"/>
          <w:b/>
          <w:bCs/>
          <w:sz w:val="24"/>
          <w:szCs w:val="24"/>
        </w:rPr>
        <w:t xml:space="preserve">  </w:t>
      </w:r>
    </w:p>
    <w:p w:rsidR="00060E63" w:rsidRPr="00060E63" w:rsidRDefault="00060E63" w:rsidP="00060E63">
      <w:pPr>
        <w:numPr>
          <w:ilvl w:val="3"/>
          <w:numId w:val="1"/>
        </w:numPr>
        <w:spacing w:line="360" w:lineRule="auto"/>
        <w:outlineLvl w:val="2"/>
        <w:rPr>
          <w:rFonts w:ascii="Times New Roman" w:eastAsia="Times New Roman" w:hAnsi="Times New Roman" w:cs="Times New Roman"/>
          <w:b/>
          <w:bCs/>
          <w:sz w:val="24"/>
          <w:szCs w:val="24"/>
        </w:rPr>
      </w:pPr>
      <w:bookmarkStart w:id="17" w:name="_Toc131807606"/>
      <w:r w:rsidRPr="00060E63">
        <w:rPr>
          <w:rFonts w:ascii="Times New Roman" w:eastAsia="Times New Roman" w:hAnsi="Times New Roman" w:cs="Times New Roman"/>
          <w:b/>
          <w:bCs/>
          <w:sz w:val="24"/>
          <w:szCs w:val="24"/>
        </w:rPr>
        <w:t>Theories and Concepts</w:t>
      </w:r>
      <w:bookmarkEnd w:id="17"/>
    </w:p>
    <w:p w:rsidR="00060E63" w:rsidRPr="00060E63" w:rsidRDefault="00060E63" w:rsidP="00060E63">
      <w:pPr>
        <w:spacing w:line="360" w:lineRule="auto"/>
        <w:jc w:val="both"/>
        <w:outlineLvl w:val="2"/>
        <w:rPr>
          <w:rFonts w:ascii="Calibri" w:eastAsia="Times New Roman" w:hAnsi="Calibri" w:cs="Times New Roman"/>
          <w:sz w:val="20"/>
          <w:szCs w:val="20"/>
        </w:rPr>
      </w:pPr>
      <w:r w:rsidRPr="00060E63">
        <w:rPr>
          <w:rFonts w:ascii="Calibri" w:eastAsia="Times New Roman" w:hAnsi="Calibri" w:cs="Times New Roman"/>
          <w:sz w:val="20"/>
          <w:szCs w:val="20"/>
        </w:rPr>
        <w:t>Household consumption expenditures comprise of the market prices of all goods and services purchased by the households to satisfy the household’s needs and wants that includes all durable and non-durable goods. This consumption expenditures excludes purchases of residences but includes owner-occupied residences imputed rent. It has a share of two-thirds in GDP, so changes in consumption are important elements of booms and recessions of the business cycle. The decision of households’ on consumption is also essential for long-run analysis because of its role in economic growth due to the fact that consumption expenditures, investment, public expenditures and net export are the components of GDP</w:t>
      </w:r>
      <w:r w:rsidRPr="00060E63">
        <w:rPr>
          <w:rFonts w:ascii="Calibri" w:eastAsia="Times New Roman" w:hAnsi="Calibri" w:cs="Times New Roman"/>
          <w:sz w:val="20"/>
          <w:szCs w:val="20"/>
        </w:rPr>
        <w:fldChar w:fldCharType="begin"/>
      </w:r>
      <w:r w:rsidRPr="00060E63">
        <w:rPr>
          <w:rFonts w:ascii="Calibri" w:eastAsia="Times New Roman" w:hAnsi="Calibri" w:cs="Times New Roman"/>
          <w:sz w:val="20"/>
          <w:szCs w:val="20"/>
        </w:rPr>
        <w:instrText xml:space="preserve"> ADDIN ZOTERO_ITEM CSL_CITATION {"citationID":"gD2PkdI8","properties":{"formattedCitation":"(Hone &amp; Marisennayya, 2019)","plainCitation":"(Hone &amp; Marisennayya, 2019)","noteIndex":0},"citationItems":[{"id":417,"uris":["http://zotero.org/users/local/TVJe6XJk/items/2EV7ZDH9"],"itemData":{"id":417,"type":"article-journal","abstract":"Household consumption expenditure is the desired amount incurred to meet out their basic needs such as food, clothing, housing, transport, etc to fulfill their day to day life. Household‟s decision on how much to consume or save is a microeconomic question as it deals with the individual units of the economy. The main objectives of the research study were to assess and to evaluate consumption expenditure of the households at Debremarkos town in Amhara region of Ethiopia. A total of 100 respondents, were randomly selected to administer the interview schedule for data collection. The data were described using means and histograms .The multiple linear regression model was applied to identify determinants for consumption expenditure of a household. The descriptive result shows minimum monthly consumption level of respondents is 683 Birr and maximum is 16,433 Birr. The mean monthly consumption level is 5777 Birr. Households expend more for food and next to other basic needs like cloth. The mean consumption value of those who are working in Governmental institutions was less than self-employed households. The econometric model pointed disposable income and family size are directly related to consumption; and saving amount is negatively related with consumption. Disposable income is also found to be most determinant factor to determine household consumption. Finally, the study recommends that a household should practice family planning and aware to develop saving habit rather than spending more to irrelevant activities.","issue":"1","language":"en","source":"Zotero","title":"Determinants of Household Consumption Expenditure in Debremarkos Town, Amhara Region, Ethiopia","volume":"62","author":[{"family":"Hone","given":"Zehiwot"},{"family":"Marisennayya","given":"Senapathy"}],"issued":{"date-parts":[["2019"]]}}}],"schema":"https://github.com/citation-style-language/schema/raw/master/csl-citation.json"} </w:instrText>
      </w:r>
      <w:r w:rsidRPr="00060E63">
        <w:rPr>
          <w:rFonts w:ascii="Calibri" w:eastAsia="Times New Roman" w:hAnsi="Calibri" w:cs="Times New Roman"/>
          <w:sz w:val="20"/>
          <w:szCs w:val="20"/>
        </w:rPr>
        <w:fldChar w:fldCharType="separate"/>
      </w:r>
      <w:r w:rsidRPr="00060E63">
        <w:rPr>
          <w:rFonts w:ascii="Calibri" w:eastAsia="Times New Roman" w:hAnsi="Calibri" w:cs="Calibri"/>
          <w:sz w:val="20"/>
          <w:szCs w:val="20"/>
        </w:rPr>
        <w:t xml:space="preserve">(Hone &amp; </w:t>
      </w:r>
      <w:proofErr w:type="spellStart"/>
      <w:r w:rsidRPr="00060E63">
        <w:rPr>
          <w:rFonts w:ascii="Calibri" w:eastAsia="Times New Roman" w:hAnsi="Calibri" w:cs="Calibri"/>
          <w:sz w:val="20"/>
          <w:szCs w:val="20"/>
        </w:rPr>
        <w:t>Marisennayya</w:t>
      </w:r>
      <w:proofErr w:type="spellEnd"/>
      <w:r w:rsidRPr="00060E63">
        <w:rPr>
          <w:rFonts w:ascii="Calibri" w:eastAsia="Times New Roman" w:hAnsi="Calibri" w:cs="Calibri"/>
          <w:sz w:val="20"/>
          <w:szCs w:val="20"/>
        </w:rPr>
        <w:t>, 2019)</w:t>
      </w:r>
      <w:r w:rsidRPr="00060E63">
        <w:rPr>
          <w:rFonts w:ascii="Calibri" w:eastAsia="Times New Roman" w:hAnsi="Calibri" w:cs="Times New Roman"/>
          <w:sz w:val="20"/>
          <w:szCs w:val="20"/>
        </w:rPr>
        <w:fldChar w:fldCharType="end"/>
      </w:r>
      <w:r w:rsidRPr="00060E63">
        <w:rPr>
          <w:rFonts w:ascii="Calibri" w:eastAsia="Times New Roman" w:hAnsi="Calibri" w:cs="Times New Roman"/>
          <w:sz w:val="20"/>
          <w:szCs w:val="20"/>
        </w:rPr>
        <w:t>.</w:t>
      </w:r>
    </w:p>
    <w:p w:rsidR="00060E63" w:rsidRPr="00060E63" w:rsidRDefault="00060E63" w:rsidP="00060E63">
      <w:pPr>
        <w:spacing w:line="360" w:lineRule="auto"/>
        <w:jc w:val="both"/>
        <w:outlineLvl w:val="2"/>
        <w:rPr>
          <w:rFonts w:ascii="Calibri" w:eastAsia="Times New Roman" w:hAnsi="Calibri" w:cs="Times New Roman"/>
          <w:sz w:val="20"/>
          <w:szCs w:val="20"/>
        </w:rPr>
      </w:pPr>
      <w:r w:rsidRPr="00060E63">
        <w:rPr>
          <w:rFonts w:ascii="Calibri" w:eastAsia="Times New Roman" w:hAnsi="Calibri" w:cs="Times New Roman"/>
          <w:sz w:val="20"/>
          <w:szCs w:val="20"/>
        </w:rPr>
        <w:t xml:space="preserve">The Domestic Demand-Driven Growth hypothesis expansion of private investment, government expenditure, consumption, etc. would lead to an economic growth.  It emphasizes that economic growth can sustain with the </w:t>
      </w:r>
      <w:r w:rsidRPr="00060E63">
        <w:rPr>
          <w:rFonts w:ascii="Calibri" w:eastAsia="Times New Roman" w:hAnsi="Calibri" w:cs="Times New Roman"/>
          <w:sz w:val="20"/>
          <w:szCs w:val="20"/>
        </w:rPr>
        <w:lastRenderedPageBreak/>
        <w:t xml:space="preserve">developing and increase of domestic demand. According to this hypothesis, growth in output can be triggered by growth of aggregate demand. The main theme of this approach is to enhance production capacity that is </w:t>
      </w:r>
      <w:proofErr w:type="spellStart"/>
      <w:r w:rsidRPr="00060E63">
        <w:rPr>
          <w:rFonts w:ascii="Calibri" w:eastAsia="Times New Roman" w:hAnsi="Calibri" w:cs="Times New Roman"/>
          <w:sz w:val="20"/>
          <w:szCs w:val="20"/>
        </w:rPr>
        <w:t>parallele</w:t>
      </w:r>
      <w:proofErr w:type="spellEnd"/>
      <w:r w:rsidRPr="00060E63">
        <w:rPr>
          <w:rFonts w:ascii="Calibri" w:eastAsia="Times New Roman" w:hAnsi="Calibri" w:cs="Times New Roman"/>
          <w:sz w:val="20"/>
          <w:szCs w:val="20"/>
        </w:rPr>
        <w:t xml:space="preserve"> with effective demand</w:t>
      </w:r>
      <w:r w:rsidRPr="00060E63">
        <w:rPr>
          <w:rFonts w:ascii="Calibri" w:eastAsia="Times New Roman" w:hAnsi="Calibri" w:cs="Times New Roman"/>
          <w:sz w:val="20"/>
          <w:szCs w:val="20"/>
        </w:rPr>
        <w:fldChar w:fldCharType="begin"/>
      </w:r>
      <w:r w:rsidRPr="00060E63">
        <w:rPr>
          <w:rFonts w:ascii="Calibri" w:eastAsia="Times New Roman" w:hAnsi="Calibri" w:cs="Times New Roman"/>
          <w:sz w:val="20"/>
          <w:szCs w:val="20"/>
        </w:rPr>
        <w:instrText xml:space="preserve"> ADDIN ZOTERO_ITEM CSL_CITATION {"citationID":"cXUt9jvL","properties":{"formattedCitation":"(Mohanty, 2012)","plainCitation":"(Mohanty, 2012)","noteIndex":0},"citationItems":[{"id":452,"uris":["http://zotero.org/users/local/TVJe6XJk/items/FRH6BUXP"],"itemData":{"id":452,"type":"article-journal","abstract":"Since the 1970s, several developing countries have witnessed remarkable transformation of their economies with Export-Led Growth (ELG) as a major development paradigm. Considering the latent limitation of the ELG to meet eminent stagnation in the long run, there were strong sentiments expressed by the East Asian countries towards switching over to alternative DDLG strategy after the ‘Asian Crisis’. It was debated in the literature that large countries like China and India pursued the policies of ELG and DDLG policies in different phases of global business cycle to ensure sustainability of high growth during the 2000s and after. The empirical evidence on this issue of examining ELG-DDLG hypothesis using cointegration in the VECM framework for the period 1974-2010 suggests that India has been using the twin development strategies alternatively in different periods to evade adverse effects of the global business cycle and to maintain sustained economic growth. India’s new version of export-led growth stance will continue as long as it has not exhausted its global competitiveness and becoming the part of the upper middle-income country. Considering India’s trade becoming ‘Asia Centric’, concentrating on imports for new phase of industrialisation and consolidating of its ‘Look East Policy’, Country’s integration with the EAS process would increase its trade dependence with the region.","language":"en","source":"Zotero","title":"Economic Growth, Exports and Domestic Demand in India: In Search of a New Paradigm of Development","author":[{"family":"Mohanty","given":"Saroj Kumar"}],"issued":{"date-parts":[["2012"]]}}}],"schema":"https://github.com/citation-style-language/schema/raw/master/csl-citation.json"} </w:instrText>
      </w:r>
      <w:r w:rsidRPr="00060E63">
        <w:rPr>
          <w:rFonts w:ascii="Calibri" w:eastAsia="Times New Roman" w:hAnsi="Calibri" w:cs="Times New Roman"/>
          <w:sz w:val="20"/>
          <w:szCs w:val="20"/>
        </w:rPr>
        <w:fldChar w:fldCharType="separate"/>
      </w:r>
      <w:r w:rsidRPr="00060E63">
        <w:rPr>
          <w:rFonts w:ascii="Calibri" w:eastAsia="Times New Roman" w:hAnsi="Calibri" w:cs="Calibri"/>
          <w:sz w:val="20"/>
          <w:szCs w:val="20"/>
        </w:rPr>
        <w:t>(</w:t>
      </w:r>
      <w:proofErr w:type="spellStart"/>
      <w:r w:rsidRPr="00060E63">
        <w:rPr>
          <w:rFonts w:ascii="Calibri" w:eastAsia="Times New Roman" w:hAnsi="Calibri" w:cs="Calibri"/>
          <w:sz w:val="20"/>
          <w:szCs w:val="20"/>
        </w:rPr>
        <w:t>Mohanty</w:t>
      </w:r>
      <w:proofErr w:type="spellEnd"/>
      <w:r w:rsidRPr="00060E63">
        <w:rPr>
          <w:rFonts w:ascii="Calibri" w:eastAsia="Times New Roman" w:hAnsi="Calibri" w:cs="Calibri"/>
          <w:sz w:val="20"/>
          <w:szCs w:val="20"/>
        </w:rPr>
        <w:t>, 2012)</w:t>
      </w:r>
      <w:r w:rsidRPr="00060E63">
        <w:rPr>
          <w:rFonts w:ascii="Calibri" w:eastAsia="Times New Roman" w:hAnsi="Calibri" w:cs="Times New Roman"/>
          <w:sz w:val="20"/>
          <w:szCs w:val="20"/>
        </w:rPr>
        <w:fldChar w:fldCharType="end"/>
      </w:r>
      <w:r w:rsidRPr="00060E63">
        <w:rPr>
          <w:rFonts w:ascii="Calibri" w:eastAsia="Times New Roman" w:hAnsi="Calibri" w:cs="Times New Roman"/>
          <w:sz w:val="20"/>
          <w:szCs w:val="20"/>
        </w:rPr>
        <w:t>.</w:t>
      </w:r>
    </w:p>
    <w:p w:rsidR="00060E63" w:rsidRPr="00060E63" w:rsidRDefault="00060E63" w:rsidP="00060E63">
      <w:pPr>
        <w:numPr>
          <w:ilvl w:val="3"/>
          <w:numId w:val="1"/>
        </w:numPr>
        <w:spacing w:line="360" w:lineRule="auto"/>
        <w:outlineLvl w:val="2"/>
        <w:rPr>
          <w:rFonts w:ascii="Times New Roman" w:eastAsia="Times New Roman" w:hAnsi="Times New Roman" w:cs="Times New Roman"/>
          <w:b/>
          <w:bCs/>
          <w:sz w:val="24"/>
          <w:szCs w:val="24"/>
        </w:rPr>
      </w:pPr>
      <w:bookmarkStart w:id="18" w:name="_Toc131807607"/>
      <w:r w:rsidRPr="00060E63">
        <w:rPr>
          <w:rFonts w:ascii="Times New Roman" w:eastAsia="Times New Roman" w:hAnsi="Times New Roman" w:cs="Times New Roman"/>
          <w:b/>
          <w:bCs/>
          <w:sz w:val="24"/>
          <w:szCs w:val="24"/>
        </w:rPr>
        <w:t>Agricultural Finance and Domestic Consumption</w:t>
      </w:r>
      <w:bookmarkEnd w:id="18"/>
    </w:p>
    <w:p w:rsidR="00060E63" w:rsidRPr="00060E63" w:rsidRDefault="00060E63" w:rsidP="00060E63">
      <w:pPr>
        <w:numPr>
          <w:ilvl w:val="2"/>
          <w:numId w:val="1"/>
        </w:numPr>
        <w:spacing w:line="360" w:lineRule="auto"/>
        <w:outlineLvl w:val="2"/>
        <w:rPr>
          <w:rFonts w:ascii="Times New Roman" w:eastAsia="Times New Roman" w:hAnsi="Times New Roman" w:cs="Times New Roman"/>
          <w:b/>
          <w:bCs/>
          <w:sz w:val="24"/>
          <w:szCs w:val="24"/>
        </w:rPr>
      </w:pPr>
      <w:bookmarkStart w:id="19" w:name="_Toc131807608"/>
      <w:r w:rsidRPr="00060E63">
        <w:rPr>
          <w:rFonts w:ascii="Times New Roman" w:eastAsia="Times New Roman" w:hAnsi="Times New Roman" w:cs="Times New Roman"/>
          <w:b/>
          <w:bCs/>
          <w:sz w:val="24"/>
          <w:szCs w:val="24"/>
        </w:rPr>
        <w:t>Poverty and Income Inequality</w:t>
      </w:r>
      <w:bookmarkEnd w:id="19"/>
      <w:r w:rsidRPr="00060E63">
        <w:rPr>
          <w:rFonts w:ascii="Times New Roman" w:eastAsia="Times New Roman" w:hAnsi="Times New Roman" w:cs="Times New Roman"/>
          <w:b/>
          <w:bCs/>
          <w:sz w:val="24"/>
          <w:szCs w:val="24"/>
        </w:rPr>
        <w:t xml:space="preserve"> </w:t>
      </w:r>
    </w:p>
    <w:p w:rsidR="00060E63" w:rsidRPr="00060E63" w:rsidRDefault="00060E63" w:rsidP="00060E63">
      <w:pPr>
        <w:numPr>
          <w:ilvl w:val="3"/>
          <w:numId w:val="1"/>
        </w:numPr>
        <w:spacing w:line="360" w:lineRule="auto"/>
        <w:outlineLvl w:val="2"/>
        <w:rPr>
          <w:rFonts w:ascii="Times New Roman" w:eastAsia="Times New Roman" w:hAnsi="Times New Roman" w:cs="Times New Roman"/>
          <w:b/>
          <w:bCs/>
          <w:sz w:val="24"/>
          <w:szCs w:val="24"/>
        </w:rPr>
      </w:pPr>
      <w:r w:rsidRPr="00060E63">
        <w:rPr>
          <w:rFonts w:ascii="Times New Roman" w:eastAsia="Times New Roman" w:hAnsi="Times New Roman" w:cs="Times New Roman"/>
          <w:b/>
          <w:bCs/>
          <w:sz w:val="24"/>
          <w:szCs w:val="24"/>
        </w:rPr>
        <w:t xml:space="preserve"> </w:t>
      </w:r>
      <w:bookmarkStart w:id="20" w:name="_Toc131807609"/>
      <w:r w:rsidRPr="00060E63">
        <w:rPr>
          <w:rFonts w:ascii="Times New Roman" w:eastAsia="Times New Roman" w:hAnsi="Times New Roman" w:cs="Times New Roman"/>
          <w:b/>
          <w:bCs/>
          <w:sz w:val="24"/>
          <w:szCs w:val="24"/>
        </w:rPr>
        <w:t>Poverty and Income Inequality in Developing Countries</w:t>
      </w:r>
      <w:bookmarkEnd w:id="20"/>
    </w:p>
    <w:p w:rsidR="00060E63" w:rsidRPr="00060E63" w:rsidRDefault="00060E63" w:rsidP="00060E63">
      <w:pPr>
        <w:numPr>
          <w:ilvl w:val="3"/>
          <w:numId w:val="1"/>
        </w:numPr>
        <w:spacing w:line="360" w:lineRule="auto"/>
        <w:outlineLvl w:val="2"/>
        <w:rPr>
          <w:rFonts w:ascii="Times New Roman" w:eastAsia="Times New Roman" w:hAnsi="Times New Roman" w:cs="Times New Roman"/>
          <w:b/>
          <w:bCs/>
          <w:sz w:val="24"/>
          <w:szCs w:val="24"/>
        </w:rPr>
      </w:pPr>
      <w:bookmarkStart w:id="21" w:name="_Toc131807610"/>
      <w:r w:rsidRPr="00060E63">
        <w:rPr>
          <w:rFonts w:ascii="Times New Roman" w:eastAsia="Times New Roman" w:hAnsi="Times New Roman" w:cs="Times New Roman"/>
          <w:b/>
          <w:bCs/>
          <w:sz w:val="24"/>
          <w:szCs w:val="24"/>
        </w:rPr>
        <w:t>Poverty Level and Measurement</w:t>
      </w:r>
      <w:bookmarkEnd w:id="21"/>
      <w:r w:rsidRPr="00060E63">
        <w:rPr>
          <w:rFonts w:ascii="Times New Roman" w:eastAsia="Times New Roman" w:hAnsi="Times New Roman" w:cs="Times New Roman"/>
          <w:b/>
          <w:bCs/>
          <w:sz w:val="24"/>
          <w:szCs w:val="24"/>
        </w:rPr>
        <w:t xml:space="preserve"> </w:t>
      </w:r>
    </w:p>
    <w:p w:rsidR="00060E63" w:rsidRPr="00060E63" w:rsidRDefault="00060E63" w:rsidP="00060E63">
      <w:pPr>
        <w:spacing w:line="360" w:lineRule="auto"/>
        <w:outlineLvl w:val="2"/>
        <w:rPr>
          <w:rFonts w:ascii="Calibri" w:eastAsia="Times New Roman" w:hAnsi="Calibri" w:cs="Times New Roman"/>
          <w:sz w:val="20"/>
          <w:szCs w:val="20"/>
        </w:rPr>
      </w:pPr>
      <w:r w:rsidRPr="00060E63">
        <w:rPr>
          <w:rFonts w:ascii="Calibri" w:eastAsia="Times New Roman" w:hAnsi="Calibri" w:cs="Times New Roman"/>
          <w:sz w:val="20"/>
          <w:szCs w:val="20"/>
        </w:rPr>
        <w:t>Conceptualizing Poverty and Its Measurement</w:t>
      </w:r>
    </w:p>
    <w:p w:rsidR="00060E63" w:rsidRPr="00060E63" w:rsidRDefault="00060E63" w:rsidP="00060E63">
      <w:pPr>
        <w:spacing w:line="360" w:lineRule="auto"/>
        <w:outlineLvl w:val="2"/>
        <w:rPr>
          <w:rFonts w:ascii="Calibri" w:eastAsia="Times New Roman" w:hAnsi="Calibri" w:cs="Times New Roman"/>
          <w:sz w:val="20"/>
          <w:szCs w:val="20"/>
        </w:rPr>
      </w:pPr>
      <w:r w:rsidRPr="00060E63">
        <w:rPr>
          <w:rFonts w:ascii="Calibri" w:eastAsia="Times New Roman" w:hAnsi="Calibri" w:cs="Times New Roman"/>
          <w:sz w:val="20"/>
          <w:szCs w:val="20"/>
        </w:rPr>
        <w:t xml:space="preserve"> There is no universally accepted definition of poverty. Scholars agree that poverty is a phenomenon that is complex and has multidimensional features and dimensions. It involves people experiencing various degrees of deprived access and possessions. The concept is used to cover a wide-ranging set of interrelated needs in life. There is great variation in the manner in which poverty is being defined and measured in developing countries (May</w:t>
      </w:r>
      <w:proofErr w:type="gramStart"/>
      <w:r w:rsidRPr="00060E63">
        <w:rPr>
          <w:rFonts w:ascii="Calibri" w:eastAsia="Times New Roman" w:hAnsi="Calibri" w:cs="Times New Roman"/>
          <w:sz w:val="20"/>
          <w:szCs w:val="20"/>
        </w:rPr>
        <w:t>,2001</w:t>
      </w:r>
      <w:proofErr w:type="gramEnd"/>
      <w:r w:rsidRPr="00060E63">
        <w:rPr>
          <w:rFonts w:ascii="Calibri" w:eastAsia="Times New Roman" w:hAnsi="Calibri" w:cs="Times New Roman"/>
          <w:sz w:val="20"/>
          <w:szCs w:val="20"/>
        </w:rPr>
        <w:t xml:space="preserve">). </w:t>
      </w:r>
    </w:p>
    <w:p w:rsidR="00060E63" w:rsidRPr="00060E63" w:rsidRDefault="00060E63" w:rsidP="00060E63">
      <w:pPr>
        <w:spacing w:line="360" w:lineRule="auto"/>
        <w:outlineLvl w:val="2"/>
        <w:rPr>
          <w:rFonts w:ascii="Calibri" w:eastAsia="Times New Roman" w:hAnsi="Calibri" w:cs="Times New Roman"/>
          <w:sz w:val="20"/>
          <w:szCs w:val="20"/>
        </w:rPr>
      </w:pPr>
      <w:r w:rsidRPr="00060E63">
        <w:rPr>
          <w:rFonts w:ascii="Calibri" w:eastAsia="Times New Roman" w:hAnsi="Calibri" w:cs="Times New Roman"/>
          <w:sz w:val="20"/>
          <w:szCs w:val="20"/>
        </w:rPr>
        <w:t>Poverty is a persistent feature of socioeconomic stratification throughout the world. Over the last three decades, the understanding of poverty has advanced and become more holistic (</w:t>
      </w:r>
      <w:proofErr w:type="spellStart"/>
      <w:r w:rsidRPr="00060E63">
        <w:rPr>
          <w:rFonts w:ascii="Calibri" w:eastAsia="Times New Roman" w:hAnsi="Calibri" w:cs="Times New Roman"/>
          <w:sz w:val="20"/>
          <w:szCs w:val="20"/>
        </w:rPr>
        <w:t>Dercon</w:t>
      </w:r>
      <w:proofErr w:type="spellEnd"/>
      <w:r w:rsidRPr="00060E63">
        <w:rPr>
          <w:rFonts w:ascii="Calibri" w:eastAsia="Times New Roman" w:hAnsi="Calibri" w:cs="Times New Roman"/>
          <w:sz w:val="20"/>
          <w:szCs w:val="20"/>
        </w:rPr>
        <w:t xml:space="preserve"> et al., 2005). From having been understood almost exclusively as inadequacy of income, consumption and wealth with the use of monetary approach, multiple dimensions of poverty and their complex interactions are now widely recognized in relation to the global development </w:t>
      </w:r>
      <w:proofErr w:type="spellStart"/>
      <w:r w:rsidRPr="00060E63">
        <w:rPr>
          <w:rFonts w:ascii="Calibri" w:eastAsia="Times New Roman" w:hAnsi="Calibri" w:cs="Times New Roman"/>
          <w:sz w:val="20"/>
          <w:szCs w:val="20"/>
        </w:rPr>
        <w:t>programmes</w:t>
      </w:r>
      <w:proofErr w:type="spellEnd"/>
      <w:r w:rsidRPr="00060E63">
        <w:rPr>
          <w:rFonts w:ascii="Calibri" w:eastAsia="Times New Roman" w:hAnsi="Calibri" w:cs="Times New Roman"/>
          <w:sz w:val="20"/>
          <w:szCs w:val="20"/>
        </w:rPr>
        <w:t xml:space="preserve"> like MDGs and the present sustainable development goals which target diverse dimensions other than the monetary tool. </w:t>
      </w:r>
    </w:p>
    <w:p w:rsidR="00060E63" w:rsidRPr="00060E63" w:rsidRDefault="00060E63" w:rsidP="00060E63">
      <w:pPr>
        <w:spacing w:line="360" w:lineRule="auto"/>
        <w:outlineLvl w:val="2"/>
        <w:rPr>
          <w:rFonts w:ascii="Calibri" w:eastAsia="Times New Roman" w:hAnsi="Calibri" w:cs="Times New Roman"/>
          <w:sz w:val="20"/>
          <w:szCs w:val="20"/>
        </w:rPr>
      </w:pPr>
      <w:r w:rsidRPr="00060E63">
        <w:rPr>
          <w:rFonts w:ascii="Calibri" w:eastAsia="Times New Roman" w:hAnsi="Calibri" w:cs="Times New Roman"/>
          <w:sz w:val="20"/>
          <w:szCs w:val="20"/>
        </w:rPr>
        <w:t>In defining poverty (</w:t>
      </w:r>
      <w:proofErr w:type="spellStart"/>
      <w:r w:rsidRPr="00060E63">
        <w:rPr>
          <w:rFonts w:ascii="Calibri" w:eastAsia="Times New Roman" w:hAnsi="Calibri" w:cs="Times New Roman"/>
          <w:sz w:val="20"/>
          <w:szCs w:val="20"/>
        </w:rPr>
        <w:t>Dercon</w:t>
      </w:r>
      <w:proofErr w:type="spellEnd"/>
      <w:r w:rsidRPr="00060E63">
        <w:rPr>
          <w:rFonts w:ascii="Calibri" w:eastAsia="Times New Roman" w:hAnsi="Calibri" w:cs="Times New Roman"/>
          <w:sz w:val="20"/>
          <w:szCs w:val="20"/>
        </w:rPr>
        <w:t xml:space="preserve"> et al., 2005b), we usually make distinctions between absolute and relative poverty. Relative poverty measures the extent to which a household’s income falls below an average income threshold for the economy. And, absolute poverty measures the number of people below a certain income threshold or unable to afford certain basic goods and services. Absolute poverty is a state in which one’s very survival is threatened by lack of resources. </w:t>
      </w:r>
    </w:p>
    <w:p w:rsidR="00060E63" w:rsidRPr="00060E63" w:rsidRDefault="00060E63" w:rsidP="00060E63">
      <w:pPr>
        <w:spacing w:line="360" w:lineRule="auto"/>
        <w:outlineLvl w:val="2"/>
        <w:rPr>
          <w:rFonts w:ascii="Calibri" w:eastAsia="Times New Roman" w:hAnsi="Calibri" w:cs="Times New Roman"/>
          <w:sz w:val="20"/>
          <w:szCs w:val="20"/>
        </w:rPr>
      </w:pPr>
      <w:r w:rsidRPr="00060E63">
        <w:rPr>
          <w:rFonts w:ascii="Calibri" w:eastAsia="Times New Roman" w:hAnsi="Calibri" w:cs="Times New Roman"/>
          <w:sz w:val="20"/>
          <w:szCs w:val="20"/>
        </w:rPr>
        <w:t xml:space="preserve">From this concept, poverty measurement assumes that there is a well-defined level of standard of living, called the “poverty line,” below which a person is deemed to be poor (Foster et al., 1984). A welfare-approach sets this in terms of a reference utility level that can be thought of as a poverty line in utility space. In consumption space, the poverty line is the point on the consumer’s cost function corresponding to that reference utility that is the minimum expenditure needed to attain 4 that utility (Ravallion,1992). Accordingly, the identification of a criterion of poverty to select “poverty line” in terms of real income per head, and then ascertaining this to satisfy the </w:t>
      </w:r>
      <w:r w:rsidRPr="00060E63">
        <w:rPr>
          <w:rFonts w:ascii="Calibri" w:eastAsia="Times New Roman" w:hAnsi="Calibri" w:cs="Times New Roman"/>
          <w:sz w:val="20"/>
          <w:szCs w:val="20"/>
        </w:rPr>
        <w:lastRenderedPageBreak/>
        <w:t>criterion to show fall below the “poverty line”) and those who do not” will be done (Sen 1976). This choice takes a lot of processes to identify the basic elements which need to be combined to obtain an assessment of poverty.</w:t>
      </w:r>
    </w:p>
    <w:p w:rsidR="00060E63" w:rsidRPr="00060E63" w:rsidRDefault="00060E63" w:rsidP="00060E63">
      <w:pPr>
        <w:spacing w:line="360" w:lineRule="auto"/>
        <w:outlineLvl w:val="2"/>
        <w:rPr>
          <w:rFonts w:ascii="Calibri" w:eastAsia="Times New Roman" w:hAnsi="Calibri" w:cs="Times New Roman"/>
          <w:sz w:val="20"/>
          <w:szCs w:val="20"/>
        </w:rPr>
      </w:pPr>
    </w:p>
    <w:p w:rsidR="00060E63" w:rsidRPr="00060E63" w:rsidRDefault="00060E63" w:rsidP="00060E63">
      <w:pPr>
        <w:spacing w:line="360" w:lineRule="auto"/>
        <w:outlineLvl w:val="2"/>
        <w:rPr>
          <w:rFonts w:ascii="Calibri" w:eastAsia="Times New Roman" w:hAnsi="Calibri" w:cs="Times New Roman"/>
          <w:sz w:val="20"/>
          <w:szCs w:val="20"/>
        </w:rPr>
      </w:pPr>
    </w:p>
    <w:p w:rsidR="00060E63" w:rsidRPr="00060E63" w:rsidRDefault="00060E63" w:rsidP="00060E63">
      <w:pPr>
        <w:spacing w:line="360" w:lineRule="auto"/>
        <w:outlineLvl w:val="2"/>
        <w:rPr>
          <w:rFonts w:ascii="Times New Roman" w:eastAsia="Times New Roman" w:hAnsi="Times New Roman" w:cs="Times New Roman"/>
          <w:b/>
          <w:bCs/>
          <w:sz w:val="24"/>
          <w:szCs w:val="24"/>
        </w:rPr>
      </w:pPr>
      <w:r w:rsidRPr="00060E63">
        <w:rPr>
          <w:rFonts w:ascii="Calibri" w:eastAsia="Times New Roman" w:hAnsi="Calibri" w:cs="Times New Roman"/>
          <w:sz w:val="20"/>
          <w:szCs w:val="20"/>
        </w:rPr>
        <w:t>Monetary Approach to Poverty Measurement: The Basics The monetary approach has conventionally been used to identify and measure monetary poverty (Booth, 1887; Rowntree, 1902). Using this approach, an individual is considered to be living in absolute poverty if one is unable to obtain the minimum necessities to maintain a physical existence (Rowntree, 1902). The most important component of a basic needs’ poverty line is the food expenditure necessary to obtain some recommended food energy intake and a modest allowance for non-food goods (</w:t>
      </w:r>
      <w:proofErr w:type="spellStart"/>
      <w:r w:rsidRPr="00060E63">
        <w:rPr>
          <w:rFonts w:ascii="Calibri" w:eastAsia="Times New Roman" w:hAnsi="Calibri" w:cs="Times New Roman"/>
          <w:sz w:val="20"/>
          <w:szCs w:val="20"/>
        </w:rPr>
        <w:t>Ravallion</w:t>
      </w:r>
      <w:proofErr w:type="spellEnd"/>
      <w:r w:rsidRPr="00060E63">
        <w:rPr>
          <w:rFonts w:ascii="Calibri" w:eastAsia="Times New Roman" w:hAnsi="Calibri" w:cs="Times New Roman"/>
          <w:sz w:val="20"/>
          <w:szCs w:val="20"/>
        </w:rPr>
        <w:t>, 1992:25-26). Monetary approach bases its measurement of poverty on a measure of income, consumption or expenditures, and are underpinned by the rationale that if individuals have a certain degree of purchasing power they will be able to fulfil their basic needs (</w:t>
      </w:r>
      <w:proofErr w:type="spellStart"/>
      <w:r w:rsidRPr="00060E63">
        <w:rPr>
          <w:rFonts w:ascii="Calibri" w:eastAsia="Times New Roman" w:hAnsi="Calibri" w:cs="Times New Roman"/>
          <w:sz w:val="20"/>
          <w:szCs w:val="20"/>
        </w:rPr>
        <w:t>Thorbecke</w:t>
      </w:r>
      <w:proofErr w:type="spellEnd"/>
      <w:r w:rsidRPr="00060E63">
        <w:rPr>
          <w:rFonts w:ascii="Calibri" w:eastAsia="Times New Roman" w:hAnsi="Calibri" w:cs="Times New Roman"/>
          <w:sz w:val="20"/>
          <w:szCs w:val="20"/>
        </w:rPr>
        <w:t>, 2008). Money-metric definitions and measures of poverty are the most recognized methods in the world. In fact, they are the basis by which official poverty rates are calculated on global and national levels.</w:t>
      </w:r>
    </w:p>
    <w:p w:rsidR="00060E63" w:rsidRPr="00060E63" w:rsidRDefault="00060E63" w:rsidP="00060E63">
      <w:pPr>
        <w:numPr>
          <w:ilvl w:val="3"/>
          <w:numId w:val="1"/>
        </w:numPr>
        <w:spacing w:line="360" w:lineRule="auto"/>
        <w:outlineLvl w:val="2"/>
        <w:rPr>
          <w:rFonts w:ascii="Times New Roman" w:eastAsia="Times New Roman" w:hAnsi="Times New Roman" w:cs="Times New Roman"/>
          <w:b/>
          <w:bCs/>
          <w:sz w:val="24"/>
          <w:szCs w:val="24"/>
        </w:rPr>
      </w:pPr>
      <w:bookmarkStart w:id="22" w:name="_Toc131807611"/>
      <w:r w:rsidRPr="00060E63">
        <w:rPr>
          <w:rFonts w:ascii="Times New Roman" w:eastAsia="Times New Roman" w:hAnsi="Times New Roman" w:cs="Times New Roman"/>
          <w:b/>
          <w:bCs/>
          <w:sz w:val="24"/>
          <w:szCs w:val="24"/>
        </w:rPr>
        <w:t>Income Inequality and Measurement</w:t>
      </w:r>
      <w:bookmarkEnd w:id="22"/>
    </w:p>
    <w:p w:rsidR="00060E63" w:rsidRPr="00060E63" w:rsidRDefault="00060E63" w:rsidP="00060E63">
      <w:pPr>
        <w:spacing w:line="360" w:lineRule="auto"/>
        <w:outlineLvl w:val="2"/>
        <w:rPr>
          <w:rFonts w:ascii="Calibri" w:eastAsia="Times New Roman" w:hAnsi="Calibri" w:cs="Times New Roman"/>
          <w:sz w:val="20"/>
          <w:szCs w:val="20"/>
        </w:rPr>
      </w:pPr>
      <w:r w:rsidRPr="00060E63">
        <w:rPr>
          <w:rFonts w:ascii="Calibri" w:eastAsia="Times New Roman" w:hAnsi="Calibri" w:cs="Times New Roman"/>
          <w:sz w:val="20"/>
          <w:szCs w:val="20"/>
        </w:rPr>
        <w:t xml:space="preserve">The Gini coefficient is widely used to measure inequality in the distribution of income, consumption, and other welfare proxies. Decomposing this measure can help you understand the determinants of inequality. The techniques used more often decompose inequality either by subpopulations or by income source. This article describes a </w:t>
      </w:r>
      <w:proofErr w:type="spellStart"/>
      <w:r w:rsidRPr="00060E63">
        <w:rPr>
          <w:rFonts w:ascii="Calibri" w:eastAsia="Times New Roman" w:hAnsi="Calibri" w:cs="Times New Roman"/>
          <w:sz w:val="20"/>
          <w:szCs w:val="20"/>
        </w:rPr>
        <w:t>userwritten</w:t>
      </w:r>
      <w:proofErr w:type="spellEnd"/>
      <w:r w:rsidRPr="00060E63">
        <w:rPr>
          <w:rFonts w:ascii="Calibri" w:eastAsia="Times New Roman" w:hAnsi="Calibri" w:cs="Times New Roman"/>
          <w:sz w:val="20"/>
          <w:szCs w:val="20"/>
        </w:rPr>
        <w:t xml:space="preserve"> command, </w:t>
      </w:r>
      <w:proofErr w:type="spellStart"/>
      <w:proofErr w:type="gramStart"/>
      <w:r w:rsidRPr="00060E63">
        <w:rPr>
          <w:rFonts w:ascii="Calibri" w:eastAsia="Times New Roman" w:hAnsi="Calibri" w:cs="Times New Roman"/>
          <w:sz w:val="20"/>
          <w:szCs w:val="20"/>
        </w:rPr>
        <w:t>descogini</w:t>
      </w:r>
      <w:proofErr w:type="spellEnd"/>
      <w:r w:rsidRPr="00060E63">
        <w:rPr>
          <w:rFonts w:ascii="Calibri" w:eastAsia="Times New Roman" w:hAnsi="Calibri" w:cs="Times New Roman"/>
          <w:sz w:val="20"/>
          <w:szCs w:val="20"/>
        </w:rPr>
        <w:t>, that</w:t>
      </w:r>
      <w:proofErr w:type="gramEnd"/>
      <w:r w:rsidRPr="00060E63">
        <w:rPr>
          <w:rFonts w:ascii="Calibri" w:eastAsia="Times New Roman" w:hAnsi="Calibri" w:cs="Times New Roman"/>
          <w:sz w:val="20"/>
          <w:szCs w:val="20"/>
        </w:rPr>
        <w:t xml:space="preserve"> decomposes the Gini coefficient by income source and allows the calculation of the impact that a marginal change in a particular income source will have on inequality. </w:t>
      </w:r>
    </w:p>
    <w:p w:rsidR="00060E63" w:rsidRPr="00060E63" w:rsidRDefault="00060E63" w:rsidP="00060E63">
      <w:pPr>
        <w:spacing w:line="360" w:lineRule="auto"/>
        <w:outlineLvl w:val="2"/>
        <w:rPr>
          <w:rFonts w:ascii="Times New Roman" w:eastAsia="Times New Roman" w:hAnsi="Times New Roman" w:cs="Times New Roman"/>
          <w:b/>
          <w:bCs/>
          <w:sz w:val="24"/>
          <w:szCs w:val="24"/>
        </w:rPr>
      </w:pPr>
      <w:r w:rsidRPr="00060E63">
        <w:rPr>
          <w:rFonts w:ascii="Calibri" w:eastAsia="Times New Roman" w:hAnsi="Calibri" w:cs="Times New Roman"/>
          <w:sz w:val="20"/>
          <w:szCs w:val="20"/>
        </w:rPr>
        <w:t xml:space="preserve">There are other user-written commands available for Stata that decompose inequality. For example, </w:t>
      </w:r>
      <w:proofErr w:type="spellStart"/>
      <w:r w:rsidRPr="00060E63">
        <w:rPr>
          <w:rFonts w:ascii="Calibri" w:eastAsia="Times New Roman" w:hAnsi="Calibri" w:cs="Times New Roman"/>
          <w:sz w:val="20"/>
          <w:szCs w:val="20"/>
        </w:rPr>
        <w:t>ineqdeco</w:t>
      </w:r>
      <w:proofErr w:type="spellEnd"/>
      <w:r w:rsidRPr="00060E63">
        <w:rPr>
          <w:rFonts w:ascii="Calibri" w:eastAsia="Times New Roman" w:hAnsi="Calibri" w:cs="Times New Roman"/>
          <w:sz w:val="20"/>
          <w:szCs w:val="20"/>
        </w:rPr>
        <w:t xml:space="preserve"> and </w:t>
      </w:r>
      <w:proofErr w:type="spellStart"/>
      <w:r w:rsidRPr="00060E63">
        <w:rPr>
          <w:rFonts w:ascii="Calibri" w:eastAsia="Times New Roman" w:hAnsi="Calibri" w:cs="Times New Roman"/>
          <w:sz w:val="20"/>
          <w:szCs w:val="20"/>
        </w:rPr>
        <w:t>ginidesc</w:t>
      </w:r>
      <w:proofErr w:type="spellEnd"/>
      <w:r w:rsidRPr="00060E63">
        <w:rPr>
          <w:rFonts w:ascii="Calibri" w:eastAsia="Times New Roman" w:hAnsi="Calibri" w:cs="Times New Roman"/>
          <w:sz w:val="20"/>
          <w:szCs w:val="20"/>
        </w:rPr>
        <w:t xml:space="preserve"> decompose inequality by subpopulation groups, whereas </w:t>
      </w:r>
      <w:proofErr w:type="spellStart"/>
      <w:r w:rsidRPr="00060E63">
        <w:rPr>
          <w:rFonts w:ascii="Calibri" w:eastAsia="Times New Roman" w:hAnsi="Calibri" w:cs="Times New Roman"/>
          <w:sz w:val="20"/>
          <w:szCs w:val="20"/>
        </w:rPr>
        <w:t>ineqfac</w:t>
      </w:r>
      <w:proofErr w:type="spellEnd"/>
      <w:r w:rsidRPr="00060E63">
        <w:rPr>
          <w:rFonts w:ascii="Calibri" w:eastAsia="Times New Roman" w:hAnsi="Calibri" w:cs="Times New Roman"/>
          <w:sz w:val="20"/>
          <w:szCs w:val="20"/>
        </w:rPr>
        <w:t xml:space="preserve"> does so by factor components of total income. </w:t>
      </w:r>
      <w:proofErr w:type="spellStart"/>
      <w:proofErr w:type="gramStart"/>
      <w:r w:rsidRPr="00060E63">
        <w:rPr>
          <w:rFonts w:ascii="Calibri" w:eastAsia="Times New Roman" w:hAnsi="Calibri" w:cs="Times New Roman"/>
          <w:sz w:val="20"/>
          <w:szCs w:val="20"/>
        </w:rPr>
        <w:t>descogini</w:t>
      </w:r>
      <w:proofErr w:type="spellEnd"/>
      <w:proofErr w:type="gramEnd"/>
      <w:r w:rsidRPr="00060E63">
        <w:rPr>
          <w:rFonts w:ascii="Calibri" w:eastAsia="Times New Roman" w:hAnsi="Calibri" w:cs="Times New Roman"/>
          <w:sz w:val="20"/>
          <w:szCs w:val="20"/>
        </w:rPr>
        <w:t xml:space="preserve"> complements the commands that do subpopulation decompositions and is an alternative to </w:t>
      </w:r>
      <w:proofErr w:type="spellStart"/>
      <w:r w:rsidRPr="00060E63">
        <w:rPr>
          <w:rFonts w:ascii="Calibri" w:eastAsia="Times New Roman" w:hAnsi="Calibri" w:cs="Times New Roman"/>
          <w:sz w:val="20"/>
          <w:szCs w:val="20"/>
        </w:rPr>
        <w:t>ineqfac</w:t>
      </w:r>
      <w:proofErr w:type="spellEnd"/>
      <w:r w:rsidRPr="00060E63">
        <w:rPr>
          <w:rFonts w:ascii="Calibri" w:eastAsia="Times New Roman" w:hAnsi="Calibri" w:cs="Times New Roman"/>
          <w:sz w:val="20"/>
          <w:szCs w:val="20"/>
        </w:rPr>
        <w:t xml:space="preserve">. The main difference between </w:t>
      </w:r>
      <w:proofErr w:type="spellStart"/>
      <w:r w:rsidRPr="00060E63">
        <w:rPr>
          <w:rFonts w:ascii="Calibri" w:eastAsia="Times New Roman" w:hAnsi="Calibri" w:cs="Times New Roman"/>
          <w:sz w:val="20"/>
          <w:szCs w:val="20"/>
        </w:rPr>
        <w:t>ineqfac</w:t>
      </w:r>
      <w:proofErr w:type="spellEnd"/>
      <w:r w:rsidRPr="00060E63">
        <w:rPr>
          <w:rFonts w:ascii="Calibri" w:eastAsia="Times New Roman" w:hAnsi="Calibri" w:cs="Times New Roman"/>
          <w:sz w:val="20"/>
          <w:szCs w:val="20"/>
        </w:rPr>
        <w:t xml:space="preserve"> and </w:t>
      </w:r>
      <w:proofErr w:type="spellStart"/>
      <w:r w:rsidRPr="00060E63">
        <w:rPr>
          <w:rFonts w:ascii="Calibri" w:eastAsia="Times New Roman" w:hAnsi="Calibri" w:cs="Times New Roman"/>
          <w:sz w:val="20"/>
          <w:szCs w:val="20"/>
        </w:rPr>
        <w:t>descogini</w:t>
      </w:r>
      <w:proofErr w:type="spellEnd"/>
      <w:r w:rsidRPr="00060E63">
        <w:rPr>
          <w:rFonts w:ascii="Calibri" w:eastAsia="Times New Roman" w:hAnsi="Calibri" w:cs="Times New Roman"/>
          <w:sz w:val="20"/>
          <w:szCs w:val="20"/>
        </w:rPr>
        <w:t xml:space="preserve"> is that </w:t>
      </w:r>
      <w:proofErr w:type="spellStart"/>
      <w:r w:rsidRPr="00060E63">
        <w:rPr>
          <w:rFonts w:ascii="Calibri" w:eastAsia="Times New Roman" w:hAnsi="Calibri" w:cs="Times New Roman"/>
          <w:sz w:val="20"/>
          <w:szCs w:val="20"/>
        </w:rPr>
        <w:t>descogini</w:t>
      </w:r>
      <w:proofErr w:type="spellEnd"/>
      <w:r w:rsidRPr="00060E63">
        <w:rPr>
          <w:rFonts w:ascii="Calibri" w:eastAsia="Times New Roman" w:hAnsi="Calibri" w:cs="Times New Roman"/>
          <w:sz w:val="20"/>
          <w:szCs w:val="20"/>
        </w:rPr>
        <w:t xml:space="preserve"> allows the estimation of the marginal effects that every income source has on inequality by using the approach proposed by </w:t>
      </w:r>
      <w:proofErr w:type="spellStart"/>
      <w:r w:rsidRPr="00060E63">
        <w:rPr>
          <w:rFonts w:ascii="Calibri" w:eastAsia="Times New Roman" w:hAnsi="Calibri" w:cs="Times New Roman"/>
          <w:sz w:val="20"/>
          <w:szCs w:val="20"/>
        </w:rPr>
        <w:t>Lerman</w:t>
      </w:r>
      <w:proofErr w:type="spellEnd"/>
      <w:r w:rsidRPr="00060E63">
        <w:rPr>
          <w:rFonts w:ascii="Calibri" w:eastAsia="Times New Roman" w:hAnsi="Calibri" w:cs="Times New Roman"/>
          <w:sz w:val="20"/>
          <w:szCs w:val="20"/>
        </w:rPr>
        <w:t xml:space="preserve"> and </w:t>
      </w:r>
      <w:proofErr w:type="spellStart"/>
      <w:r w:rsidRPr="00060E63">
        <w:rPr>
          <w:rFonts w:ascii="Calibri" w:eastAsia="Times New Roman" w:hAnsi="Calibri" w:cs="Times New Roman"/>
          <w:sz w:val="20"/>
          <w:szCs w:val="20"/>
        </w:rPr>
        <w:t>Yitzhaki</w:t>
      </w:r>
      <w:proofErr w:type="spellEnd"/>
      <w:r w:rsidRPr="00060E63">
        <w:rPr>
          <w:rFonts w:ascii="Calibri" w:eastAsia="Times New Roman" w:hAnsi="Calibri" w:cs="Times New Roman"/>
          <w:sz w:val="20"/>
          <w:szCs w:val="20"/>
        </w:rPr>
        <w:t xml:space="preserve"> (1985). Furthermore, this command can be used with bootstrap to obtain standard errors and confidence intervals.</w:t>
      </w:r>
    </w:p>
    <w:p w:rsidR="00060E63" w:rsidRPr="00060E63" w:rsidRDefault="00060E63" w:rsidP="00060E63">
      <w:pPr>
        <w:numPr>
          <w:ilvl w:val="1"/>
          <w:numId w:val="2"/>
        </w:numPr>
        <w:autoSpaceDE w:val="0"/>
        <w:autoSpaceDN w:val="0"/>
        <w:adjustRightInd w:val="0"/>
        <w:spacing w:after="0" w:line="360" w:lineRule="auto"/>
        <w:contextualSpacing/>
        <w:outlineLvl w:val="1"/>
        <w:rPr>
          <w:rFonts w:ascii="Times New Roman" w:eastAsia="Times New Roman" w:hAnsi="Times New Roman" w:cs="Times New Roman"/>
          <w:b/>
          <w:sz w:val="24"/>
          <w:szCs w:val="24"/>
        </w:rPr>
      </w:pPr>
      <w:r w:rsidRPr="00060E63">
        <w:rPr>
          <w:rFonts w:ascii="Times New Roman" w:eastAsia="Times New Roman" w:hAnsi="Times New Roman" w:cs="Times New Roman"/>
          <w:b/>
          <w:sz w:val="24"/>
          <w:szCs w:val="24"/>
        </w:rPr>
        <w:t xml:space="preserve"> </w:t>
      </w:r>
      <w:bookmarkStart w:id="23" w:name="_Toc131807612"/>
      <w:r w:rsidRPr="00060E63">
        <w:rPr>
          <w:rFonts w:ascii="Times New Roman" w:eastAsia="Times New Roman" w:hAnsi="Times New Roman" w:cs="Times New Roman"/>
          <w:b/>
          <w:sz w:val="24"/>
          <w:szCs w:val="24"/>
        </w:rPr>
        <w:t>Poverty and Income Inequality in Ethiopia</w:t>
      </w:r>
      <w:bookmarkEnd w:id="23"/>
      <w:r w:rsidRPr="00060E63">
        <w:rPr>
          <w:rFonts w:ascii="Times New Roman" w:eastAsia="Times New Roman" w:hAnsi="Times New Roman" w:cs="Times New Roman"/>
          <w:b/>
          <w:sz w:val="24"/>
          <w:szCs w:val="24"/>
        </w:rPr>
        <w:t xml:space="preserve"> </w:t>
      </w:r>
    </w:p>
    <w:p w:rsidR="00060E63" w:rsidRPr="00060E63" w:rsidRDefault="00060E63" w:rsidP="00060E63">
      <w:pPr>
        <w:numPr>
          <w:ilvl w:val="2"/>
          <w:numId w:val="2"/>
        </w:numPr>
        <w:autoSpaceDE w:val="0"/>
        <w:autoSpaceDN w:val="0"/>
        <w:adjustRightInd w:val="0"/>
        <w:spacing w:after="0" w:line="360" w:lineRule="auto"/>
        <w:contextualSpacing/>
        <w:outlineLvl w:val="1"/>
        <w:rPr>
          <w:rFonts w:ascii="Times New Roman" w:eastAsia="Times New Roman" w:hAnsi="Times New Roman" w:cs="Times New Roman"/>
          <w:b/>
          <w:sz w:val="24"/>
          <w:szCs w:val="24"/>
        </w:rPr>
      </w:pPr>
      <w:bookmarkStart w:id="24" w:name="_Toc131807613"/>
      <w:r w:rsidRPr="00060E63">
        <w:rPr>
          <w:rFonts w:ascii="Times New Roman" w:eastAsia="Times New Roman" w:hAnsi="Times New Roman" w:cs="Times New Roman"/>
          <w:b/>
          <w:sz w:val="24"/>
          <w:szCs w:val="24"/>
        </w:rPr>
        <w:t>Rural Poverty and Income Inequality in Ethiopia</w:t>
      </w:r>
      <w:bookmarkEnd w:id="24"/>
    </w:p>
    <w:p w:rsidR="00060E63" w:rsidRPr="00060E63" w:rsidRDefault="00060E63" w:rsidP="00060E63">
      <w:pPr>
        <w:numPr>
          <w:ilvl w:val="1"/>
          <w:numId w:val="2"/>
        </w:numPr>
        <w:autoSpaceDE w:val="0"/>
        <w:autoSpaceDN w:val="0"/>
        <w:adjustRightInd w:val="0"/>
        <w:spacing w:after="0" w:line="360" w:lineRule="auto"/>
        <w:contextualSpacing/>
        <w:outlineLvl w:val="1"/>
        <w:rPr>
          <w:rFonts w:ascii="Times New Roman" w:eastAsia="Times New Roman" w:hAnsi="Times New Roman" w:cs="Times New Roman"/>
          <w:b/>
          <w:sz w:val="24"/>
          <w:szCs w:val="24"/>
        </w:rPr>
      </w:pPr>
      <w:bookmarkStart w:id="25" w:name="_Toc131807614"/>
      <w:r w:rsidRPr="00060E63">
        <w:rPr>
          <w:rFonts w:ascii="Times New Roman" w:eastAsia="Times New Roman" w:hAnsi="Times New Roman" w:cs="Times New Roman"/>
          <w:b/>
          <w:sz w:val="24"/>
          <w:szCs w:val="24"/>
        </w:rPr>
        <w:t>Empirical Literature Review</w:t>
      </w:r>
      <w:bookmarkEnd w:id="25"/>
      <w:r w:rsidRPr="00060E63">
        <w:rPr>
          <w:rFonts w:ascii="Times New Roman" w:eastAsia="Times New Roman" w:hAnsi="Times New Roman" w:cs="Times New Roman"/>
          <w:b/>
          <w:sz w:val="24"/>
          <w:szCs w:val="24"/>
        </w:rPr>
        <w:t xml:space="preserve"> </w:t>
      </w:r>
    </w:p>
    <w:p w:rsidR="00060E63" w:rsidRPr="00060E63" w:rsidRDefault="00060E63" w:rsidP="00060E63">
      <w:pPr>
        <w:spacing w:line="360" w:lineRule="auto"/>
        <w:jc w:val="both"/>
        <w:rPr>
          <w:rFonts w:ascii="Times New Roman" w:eastAsia="Calibri" w:hAnsi="Times New Roman" w:cs="Times New Roman"/>
          <w:sz w:val="24"/>
          <w:szCs w:val="24"/>
        </w:rPr>
      </w:pPr>
      <w:r w:rsidRPr="00060E63">
        <w:rPr>
          <w:rFonts w:ascii="Times New Roman" w:eastAsia="Calibri" w:hAnsi="Times New Roman" w:cs="Times New Roman"/>
          <w:sz w:val="24"/>
          <w:szCs w:val="24"/>
        </w:rPr>
        <w:t xml:space="preserve">According to </w:t>
      </w:r>
      <w:proofErr w:type="spellStart"/>
      <w:r w:rsidRPr="00060E63">
        <w:rPr>
          <w:rFonts w:ascii="Times New Roman" w:eastAsia="Calibri" w:hAnsi="Times New Roman" w:cs="Times New Roman"/>
          <w:sz w:val="24"/>
          <w:szCs w:val="24"/>
        </w:rPr>
        <w:t>Turvey</w:t>
      </w:r>
      <w:proofErr w:type="spellEnd"/>
      <w:r w:rsidRPr="00060E63">
        <w:rPr>
          <w:rFonts w:ascii="Times New Roman" w:eastAsia="Calibri" w:hAnsi="Times New Roman" w:cs="Times New Roman"/>
          <w:sz w:val="24"/>
          <w:szCs w:val="24"/>
        </w:rPr>
        <w:t xml:space="preserve"> (2017), both marginal and intra marginal credit provides positive returns. Access and use of credit is correlated with higher incomes and asset values, and RCTs at the </w:t>
      </w:r>
      <w:r w:rsidRPr="00060E63">
        <w:rPr>
          <w:rFonts w:ascii="Times New Roman" w:eastAsia="Calibri" w:hAnsi="Times New Roman" w:cs="Times New Roman"/>
          <w:sz w:val="24"/>
          <w:szCs w:val="24"/>
        </w:rPr>
        <w:lastRenderedPageBreak/>
        <w:t>margin indicate that the link is causal. However, there is still a way to go. The evidence through regional studies at the macro level and household studies at the micro level show that there are still small farm and gender biases. One of the key points raised was that the liberalization of financial markets did not have the desired spillover effects into rural credit, and albeit imperfect from a market-oriented perspective, there is cause for public intervention</w:t>
      </w:r>
      <w:r w:rsidRPr="00060E63">
        <w:rPr>
          <w:rFonts w:ascii="Times New Roman" w:eastAsia="Calibri" w:hAnsi="Times New Roman" w:cs="Times New Roman"/>
          <w:sz w:val="24"/>
          <w:szCs w:val="24"/>
        </w:rPr>
        <w:fldChar w:fldCharType="begin"/>
      </w:r>
      <w:r w:rsidRPr="00060E63">
        <w:rPr>
          <w:rFonts w:ascii="Times New Roman" w:eastAsia="Calibri" w:hAnsi="Times New Roman" w:cs="Times New Roman"/>
          <w:sz w:val="24"/>
          <w:szCs w:val="24"/>
        </w:rPr>
        <w:instrText xml:space="preserve"> ADDIN ZOTERO_ITEM CSL_CITATION {"citationID":"ZcdY8IHq","properties":{"formattedCitation":"(Turvey, 2017)","plainCitation":"(Turvey, 2017)","noteIndex":0},"citationItems":[{"id":"TaqXJODH/cXt29dI9","uris":["http://zotero.org/users/local/6kE9UEUg/items/2JEBD97R",["http://zotero.org/users/local/6kE9UEUg/items/2JEBD97R"]],"itemData":{"id":492,"type":"book","collection-number":"10","collection-title":"Ifad Research Series","event-place":"Rome","ISBN":"978-92-9072-709-5","language":"en","number-of-pages":"36","publisher":"IFAD","publisher-place":"Rome","source":"Library of Congress ISBN","title":"Inclusive Finance and Inclusive Rural Transformation","author":[{"family":"Turvey","given":"Calum J."}],"issued":{"date-parts":[["2017"]]}}}],"schema":"https://github.com/citation-style-language/schema/raw/master/csl-citation.json"} </w:instrText>
      </w:r>
      <w:r w:rsidRPr="00060E63">
        <w:rPr>
          <w:rFonts w:ascii="Times New Roman" w:eastAsia="Calibri" w:hAnsi="Times New Roman" w:cs="Times New Roman"/>
          <w:sz w:val="24"/>
          <w:szCs w:val="24"/>
        </w:rPr>
        <w:fldChar w:fldCharType="separate"/>
      </w:r>
      <w:r w:rsidRPr="00060E63">
        <w:rPr>
          <w:rFonts w:ascii="Times New Roman" w:eastAsia="Calibri" w:hAnsi="Times New Roman" w:cs="Times New Roman"/>
          <w:sz w:val="24"/>
          <w:szCs w:val="24"/>
        </w:rPr>
        <w:t>(</w:t>
      </w:r>
      <w:proofErr w:type="spellStart"/>
      <w:r w:rsidRPr="00060E63">
        <w:rPr>
          <w:rFonts w:ascii="Times New Roman" w:eastAsia="Calibri" w:hAnsi="Times New Roman" w:cs="Times New Roman"/>
          <w:sz w:val="24"/>
          <w:szCs w:val="24"/>
        </w:rPr>
        <w:t>Turvey</w:t>
      </w:r>
      <w:proofErr w:type="spellEnd"/>
      <w:r w:rsidRPr="00060E63">
        <w:rPr>
          <w:rFonts w:ascii="Times New Roman" w:eastAsia="Calibri" w:hAnsi="Times New Roman" w:cs="Times New Roman"/>
          <w:sz w:val="24"/>
          <w:szCs w:val="24"/>
        </w:rPr>
        <w:t>, 2017)</w:t>
      </w:r>
      <w:r w:rsidRPr="00060E63">
        <w:rPr>
          <w:rFonts w:ascii="Times New Roman" w:eastAsia="Calibri" w:hAnsi="Times New Roman" w:cs="Times New Roman"/>
          <w:sz w:val="24"/>
          <w:szCs w:val="24"/>
        </w:rPr>
        <w:fldChar w:fldCharType="end"/>
      </w:r>
    </w:p>
    <w:p w:rsidR="00060E63" w:rsidRPr="00060E63" w:rsidRDefault="00060E63" w:rsidP="00060E63">
      <w:pPr>
        <w:spacing w:line="360" w:lineRule="auto"/>
        <w:jc w:val="both"/>
        <w:rPr>
          <w:rFonts w:ascii="Times New Roman" w:eastAsia="Calibri" w:hAnsi="Times New Roman" w:cs="Times New Roman"/>
          <w:sz w:val="24"/>
          <w:szCs w:val="24"/>
        </w:rPr>
      </w:pPr>
      <w:r w:rsidRPr="00060E63">
        <w:rPr>
          <w:rFonts w:ascii="Times New Roman" w:eastAsia="Calibri" w:hAnsi="Times New Roman" w:cs="Times New Roman"/>
          <w:sz w:val="24"/>
          <w:szCs w:val="24"/>
        </w:rPr>
        <w:t>The key results are that farmers who use credit have moderately inelastic to elastic demands. This implies that farmers are generally sensitive to interest rates, implying that policies that curb interest rates or otherwise lower the cost of credit may spur on credit demand. If subsidies are required, they must be smart in the sense of minimizing distortions in the marketplace and, most likely, targeted towards lenders as incentives to increase loans in poverty or underserved communities, women borrowers or indigenous peoples. When markets, for whatever reason, fail agriculture, it was also suggested that governments consider state run government-sponsored enterprises to meet farmers’ credit demands. Lenders to farmers and rural communities, including MFIs, must reconsider their approach to disciplined savings and lending activities</w:t>
      </w:r>
      <w:r w:rsidRPr="00060E63">
        <w:rPr>
          <w:rFonts w:ascii="Times New Roman" w:eastAsia="Calibri" w:hAnsi="Times New Roman" w:cs="Times New Roman"/>
          <w:sz w:val="24"/>
          <w:szCs w:val="24"/>
        </w:rPr>
        <w:fldChar w:fldCharType="begin"/>
      </w:r>
      <w:r w:rsidRPr="00060E63">
        <w:rPr>
          <w:rFonts w:ascii="Times New Roman" w:eastAsia="Calibri" w:hAnsi="Times New Roman" w:cs="Times New Roman"/>
          <w:sz w:val="24"/>
          <w:szCs w:val="24"/>
        </w:rPr>
        <w:instrText xml:space="preserve"> ADDIN ZOTERO_ITEM CSL_CITATION {"citationID":"1kvDIdBu","properties":{"formattedCitation":"(Turvey, 2017)","plainCitation":"(Turvey, 2017)","noteIndex":0},"citationItems":[{"id":"TaqXJODH/cXt29dI9","uris":["http://zotero.org/users/local/6kE9UEUg/items/2JEBD97R",["http://zotero.org/users/local/6kE9UEUg/items/2JEBD97R"]],"itemData":{"id":492,"type":"book","collection-number":"10","collection-title":"Ifad Research Series","event-place":"Rome","ISBN":"978-92-9072-709-5","language":"en","number-of-pages":"36","publisher":"IFAD","publisher-place":"Rome","source":"Library of Congress ISBN","title":"Inclusive Finance and Inclusive Rural Transformation","author":[{"family":"Turvey","given":"Calum J."}],"issued":{"date-parts":[["2017"]]}}}],"schema":"https://github.com/citation-style-language/schema/raw/master/csl-citation.json"} </w:instrText>
      </w:r>
      <w:r w:rsidRPr="00060E63">
        <w:rPr>
          <w:rFonts w:ascii="Times New Roman" w:eastAsia="Calibri" w:hAnsi="Times New Roman" w:cs="Times New Roman"/>
          <w:sz w:val="24"/>
          <w:szCs w:val="24"/>
        </w:rPr>
        <w:fldChar w:fldCharType="separate"/>
      </w:r>
      <w:r w:rsidRPr="00060E63">
        <w:rPr>
          <w:rFonts w:ascii="Times New Roman" w:eastAsia="Calibri" w:hAnsi="Times New Roman" w:cs="Times New Roman"/>
          <w:sz w:val="24"/>
          <w:szCs w:val="24"/>
        </w:rPr>
        <w:t>(</w:t>
      </w:r>
      <w:proofErr w:type="spellStart"/>
      <w:r w:rsidRPr="00060E63">
        <w:rPr>
          <w:rFonts w:ascii="Times New Roman" w:eastAsia="Calibri" w:hAnsi="Times New Roman" w:cs="Times New Roman"/>
          <w:sz w:val="24"/>
          <w:szCs w:val="24"/>
        </w:rPr>
        <w:t>Turvey</w:t>
      </w:r>
      <w:proofErr w:type="spellEnd"/>
      <w:r w:rsidRPr="00060E63">
        <w:rPr>
          <w:rFonts w:ascii="Times New Roman" w:eastAsia="Calibri" w:hAnsi="Times New Roman" w:cs="Times New Roman"/>
          <w:sz w:val="24"/>
          <w:szCs w:val="24"/>
        </w:rPr>
        <w:t>, 2017)</w:t>
      </w:r>
      <w:r w:rsidRPr="00060E63">
        <w:rPr>
          <w:rFonts w:ascii="Times New Roman" w:eastAsia="Calibri" w:hAnsi="Times New Roman" w:cs="Times New Roman"/>
          <w:sz w:val="24"/>
          <w:szCs w:val="24"/>
        </w:rPr>
        <w:fldChar w:fldCharType="end"/>
      </w:r>
    </w:p>
    <w:p w:rsidR="00060E63" w:rsidRPr="00060E63" w:rsidRDefault="00060E63" w:rsidP="00060E63">
      <w:pPr>
        <w:spacing w:line="360" w:lineRule="auto"/>
        <w:jc w:val="both"/>
        <w:rPr>
          <w:rFonts w:ascii="Times New Roman" w:eastAsia="Calibri" w:hAnsi="Times New Roman" w:cs="Times New Roman"/>
          <w:sz w:val="24"/>
          <w:szCs w:val="24"/>
        </w:rPr>
      </w:pPr>
      <w:proofErr w:type="spellStart"/>
      <w:r w:rsidRPr="00060E63">
        <w:rPr>
          <w:rFonts w:ascii="Times New Roman" w:eastAsia="Calibri" w:hAnsi="Times New Roman" w:cs="Times New Roman"/>
          <w:sz w:val="24"/>
          <w:szCs w:val="24"/>
        </w:rPr>
        <w:t>Guo</w:t>
      </w:r>
      <w:proofErr w:type="spellEnd"/>
      <w:r w:rsidRPr="00060E63">
        <w:rPr>
          <w:rFonts w:ascii="Times New Roman" w:eastAsia="Calibri" w:hAnsi="Times New Roman" w:cs="Times New Roman"/>
          <w:sz w:val="24"/>
          <w:szCs w:val="24"/>
        </w:rPr>
        <w:t xml:space="preserve"> (2009) concluded that return on investment in the village or township banks as new rural financial institutions is very considerable in the conditions of starved financial needs and insufficient financial supply in the vast rural areas. The village or township banks are springing up all over the nation in the norms of national policy and market commercial interests drive. The author believes that the village or township banks in China will play an more and more important role in the rural economy with the continuous improvement of the rural financial system and the steady development of agricultural economy</w:t>
      </w:r>
      <w:r w:rsidRPr="00060E63">
        <w:rPr>
          <w:rFonts w:ascii="Times New Roman" w:eastAsia="Calibri" w:hAnsi="Times New Roman" w:cs="Times New Roman"/>
          <w:sz w:val="24"/>
          <w:szCs w:val="24"/>
        </w:rPr>
        <w:fldChar w:fldCharType="begin"/>
      </w:r>
      <w:r w:rsidRPr="00060E63">
        <w:rPr>
          <w:rFonts w:ascii="Times New Roman" w:eastAsia="Calibri" w:hAnsi="Times New Roman" w:cs="Times New Roman"/>
          <w:sz w:val="24"/>
          <w:szCs w:val="24"/>
        </w:rPr>
        <w:instrText xml:space="preserve"> ADDIN ZOTERO_ITEM CSL_CITATION {"citationID":"wEr43gff","properties":{"formattedCitation":"(Guo, 2009)","plainCitation":"(Guo, 2009)","noteIndex":0},"citationItems":[{"id":"TaqXJODH/hJBo0kRi","uris":["http://zotero.org/users/local/6kE9UEUg/items/BU78AD9B",["http://zotero.org/users/local/6kE9UEUg/items/BU78AD9B"]],"itemData":{"id":496,"type":"article-journal","abstract":"The problem of rural finance is one of key and difficult questions in Chinese finance reform. With the establishment of village or township banks, the condition on shortage of fund in rural areas will be gradually relieve. However, multi-level rural finance service should be established in order to sever for the new rural reconstruction. This article analyzes that the village or township banks have an important effect on and play an active role in rural finance service system from the connotation and characteristics of the village or township banks and the characteristics of rural economy in China.","container-title":"International Journal of Business and Management","DOI":"10.5539/ijbm.v5n1p150","ISSN":"1833-8119, 1833-3850","issue":"1","journalAbbreviation":"IJBM","language":"en","page":"p150","source":"DOI.org (Crossref)","title":"Study on Multi-level Rural Finance Service System with Establishment of Village or Township Banks","volume":"5","author":[{"family":"Guo","given":"Mugeng"}],"issued":{"date-parts":[["2009",12,19]]}}}],"schema":"https://github.com/citation-style-language/schema/raw/master/csl-citation.json"} </w:instrText>
      </w:r>
      <w:r w:rsidRPr="00060E63">
        <w:rPr>
          <w:rFonts w:ascii="Times New Roman" w:eastAsia="Calibri" w:hAnsi="Times New Roman" w:cs="Times New Roman"/>
          <w:sz w:val="24"/>
          <w:szCs w:val="24"/>
        </w:rPr>
        <w:fldChar w:fldCharType="separate"/>
      </w:r>
      <w:r w:rsidRPr="00060E63">
        <w:rPr>
          <w:rFonts w:ascii="Times New Roman" w:eastAsia="Calibri" w:hAnsi="Times New Roman" w:cs="Times New Roman"/>
          <w:sz w:val="24"/>
          <w:szCs w:val="24"/>
        </w:rPr>
        <w:t>(</w:t>
      </w:r>
      <w:proofErr w:type="spellStart"/>
      <w:r w:rsidRPr="00060E63">
        <w:rPr>
          <w:rFonts w:ascii="Times New Roman" w:eastAsia="Calibri" w:hAnsi="Times New Roman" w:cs="Times New Roman"/>
          <w:sz w:val="24"/>
          <w:szCs w:val="24"/>
        </w:rPr>
        <w:t>Guo</w:t>
      </w:r>
      <w:proofErr w:type="spellEnd"/>
      <w:r w:rsidRPr="00060E63">
        <w:rPr>
          <w:rFonts w:ascii="Times New Roman" w:eastAsia="Calibri" w:hAnsi="Times New Roman" w:cs="Times New Roman"/>
          <w:sz w:val="24"/>
          <w:szCs w:val="24"/>
        </w:rPr>
        <w:t>, 2009)</w:t>
      </w:r>
      <w:r w:rsidRPr="00060E63">
        <w:rPr>
          <w:rFonts w:ascii="Times New Roman" w:eastAsia="Calibri" w:hAnsi="Times New Roman" w:cs="Times New Roman"/>
          <w:sz w:val="24"/>
          <w:szCs w:val="24"/>
        </w:rPr>
        <w:fldChar w:fldCharType="end"/>
      </w:r>
      <w:r w:rsidRPr="00060E63">
        <w:rPr>
          <w:rFonts w:ascii="Times New Roman" w:eastAsia="Calibri" w:hAnsi="Times New Roman" w:cs="Times New Roman"/>
          <w:sz w:val="24"/>
          <w:szCs w:val="24"/>
        </w:rPr>
        <w:t xml:space="preserve">. </w:t>
      </w:r>
    </w:p>
    <w:p w:rsidR="00060E63" w:rsidRPr="00060E63" w:rsidRDefault="00060E63" w:rsidP="00060E63">
      <w:pPr>
        <w:spacing w:line="360" w:lineRule="auto"/>
        <w:jc w:val="both"/>
        <w:rPr>
          <w:rFonts w:ascii="Times New Roman" w:eastAsia="Calibri" w:hAnsi="Times New Roman" w:cs="Times New Roman"/>
          <w:sz w:val="24"/>
          <w:szCs w:val="24"/>
        </w:rPr>
      </w:pPr>
      <w:r w:rsidRPr="00060E63">
        <w:rPr>
          <w:rFonts w:ascii="Times New Roman" w:eastAsia="Calibri" w:hAnsi="Times New Roman" w:cs="Times New Roman"/>
          <w:sz w:val="24"/>
          <w:szCs w:val="24"/>
        </w:rPr>
        <w:t>Milder (2008) found that lending against movements of product and payment in the value chain requires a degree of familiarity and comfort with both borrowers and buyers; transparency and open communication on all sides are fundamental. As these players begin applying value chain finance, it is likely that they will identify and respond to market demand for a broader range of financial services, including weather and crop insurance, hedging, and equity investments. In doing so, they will close the gap by extending basic financial services to the missing middle and rural poor</w:t>
      </w:r>
      <w:r w:rsidRPr="00060E63">
        <w:rPr>
          <w:rFonts w:ascii="Times New Roman" w:eastAsia="Calibri" w:hAnsi="Times New Roman" w:cs="Times New Roman"/>
          <w:sz w:val="24"/>
          <w:szCs w:val="24"/>
        </w:rPr>
        <w:fldChar w:fldCharType="begin"/>
      </w:r>
      <w:r w:rsidRPr="00060E63">
        <w:rPr>
          <w:rFonts w:ascii="Times New Roman" w:eastAsia="Calibri" w:hAnsi="Times New Roman" w:cs="Times New Roman"/>
          <w:sz w:val="24"/>
          <w:szCs w:val="24"/>
        </w:rPr>
        <w:instrText xml:space="preserve"> ADDIN ZOTERO_ITEM CSL_CITATION {"citationID":"18czM0DQ","properties":{"formattedCitation":"(Milder, 2008)","plainCitation":"(Milder, 2008)","noteIndex":0},"citationItems":[{"id":"TaqXJODH/zCtxQ0N7","uris":["http://zotero.org/users/local/6kE9UEUg/items/YB678XHM",["http://zotero.org/users/local/6kE9UEUg/items/YB678XHM"]],"itemData":{"id":497,"type":"article-journal","abstract":"Recent gains in microfinance have yet to reach the majority of the rural poor in developing countries. Additionally, a market gap exists for small and medium enterprises (SMEs) caught between microfinance and corporate banking. Standard banking practices for analyzing risk and requirements for fixed asset collateral are critical barriers in reaching these markets. However, value chain finance – either from actors within the value chain itself or from external financial institutions – offers alternatives to these restrictive practices. This article focuses on external financial institutions operating in Africa and Latin America that are using innovative approaches to value chain finance to serve both small-scale rural producers and the SMEs that link them to urban and export markets. These unconventional methods for assessing risk and evaluating collateral present promising models for extending basic financial services to SMEs in the missing middle and to the rural poor. They also highlight opportunities for local financial institutions to enter profitable new markets and bring value chain finance models to scale, but doing so will require a change in traditional lending practices and, in some cases, policies regulating local banking industries.","container-title":"Enterprise Development and Microfinance","DOI":"10.3362/1755-1986.2008.027","ISSN":"1755-1978, 1755-1986","issue":"4","journalAbbreviation":"Enterprise Development and Microfinance","language":"en","page":"301-316","source":"DOI.org (Crossref)","title":"Closing the gap: Reaching the missing middle and rural poor through value chain finance","title-short":"Closing the gap","volume":"19","author":[{"family":"Milder","given":"Brian"}],"issued":{"date-parts":[["2008",10]]}}}],"schema":"https://github.com/citation-style-language/schema/raw/master/csl-citation.json"} </w:instrText>
      </w:r>
      <w:r w:rsidRPr="00060E63">
        <w:rPr>
          <w:rFonts w:ascii="Times New Roman" w:eastAsia="Calibri" w:hAnsi="Times New Roman" w:cs="Times New Roman"/>
          <w:sz w:val="24"/>
          <w:szCs w:val="24"/>
        </w:rPr>
        <w:fldChar w:fldCharType="separate"/>
      </w:r>
      <w:r w:rsidRPr="00060E63">
        <w:rPr>
          <w:rFonts w:ascii="Times New Roman" w:eastAsia="Calibri" w:hAnsi="Times New Roman" w:cs="Times New Roman"/>
          <w:sz w:val="24"/>
          <w:szCs w:val="24"/>
        </w:rPr>
        <w:t>(Milder, 2008)</w:t>
      </w:r>
      <w:r w:rsidRPr="00060E63">
        <w:rPr>
          <w:rFonts w:ascii="Times New Roman" w:eastAsia="Calibri" w:hAnsi="Times New Roman" w:cs="Times New Roman"/>
          <w:sz w:val="24"/>
          <w:szCs w:val="24"/>
        </w:rPr>
        <w:fldChar w:fldCharType="end"/>
      </w:r>
      <w:r w:rsidRPr="00060E63">
        <w:rPr>
          <w:rFonts w:ascii="Times New Roman" w:eastAsia="Calibri" w:hAnsi="Times New Roman" w:cs="Times New Roman"/>
          <w:sz w:val="24"/>
          <w:szCs w:val="24"/>
        </w:rPr>
        <w:t>.</w:t>
      </w:r>
    </w:p>
    <w:p w:rsidR="00060E63" w:rsidRPr="00060E63" w:rsidRDefault="00060E63" w:rsidP="00060E63">
      <w:pPr>
        <w:spacing w:line="360" w:lineRule="auto"/>
        <w:jc w:val="both"/>
        <w:rPr>
          <w:rFonts w:ascii="Times New Roman" w:eastAsia="Calibri" w:hAnsi="Times New Roman" w:cs="Times New Roman"/>
          <w:sz w:val="24"/>
          <w:szCs w:val="24"/>
        </w:rPr>
      </w:pPr>
      <w:r w:rsidRPr="00060E63">
        <w:rPr>
          <w:rFonts w:ascii="Times New Roman" w:eastAsia="Calibri" w:hAnsi="Times New Roman" w:cs="Times New Roman"/>
          <w:sz w:val="24"/>
          <w:szCs w:val="24"/>
        </w:rPr>
        <w:lastRenderedPageBreak/>
        <w:t xml:space="preserve">In Ethiopia, a study conducted in </w:t>
      </w:r>
      <w:proofErr w:type="spellStart"/>
      <w:r w:rsidRPr="00060E63">
        <w:rPr>
          <w:rFonts w:ascii="Times New Roman" w:eastAsia="Calibri" w:hAnsi="Times New Roman" w:cs="Times New Roman"/>
          <w:sz w:val="24"/>
          <w:szCs w:val="24"/>
        </w:rPr>
        <w:t>Gamo</w:t>
      </w:r>
      <w:proofErr w:type="spellEnd"/>
      <w:r w:rsidRPr="00060E63">
        <w:rPr>
          <w:rFonts w:ascii="Times New Roman" w:eastAsia="Calibri" w:hAnsi="Times New Roman" w:cs="Times New Roman"/>
          <w:sz w:val="24"/>
          <w:szCs w:val="24"/>
        </w:rPr>
        <w:t xml:space="preserve"> </w:t>
      </w:r>
      <w:proofErr w:type="spellStart"/>
      <w:r w:rsidRPr="00060E63">
        <w:rPr>
          <w:rFonts w:ascii="Times New Roman" w:eastAsia="Calibri" w:hAnsi="Times New Roman" w:cs="Times New Roman"/>
          <w:sz w:val="24"/>
          <w:szCs w:val="24"/>
        </w:rPr>
        <w:t>Gofa</w:t>
      </w:r>
      <w:proofErr w:type="spellEnd"/>
      <w:r w:rsidRPr="00060E63">
        <w:rPr>
          <w:rFonts w:ascii="Times New Roman" w:eastAsia="Calibri" w:hAnsi="Times New Roman" w:cs="Times New Roman"/>
          <w:sz w:val="24"/>
          <w:szCs w:val="24"/>
        </w:rPr>
        <w:t xml:space="preserve"> zone of SNNPR indicates that </w:t>
      </w:r>
      <w:r w:rsidRPr="00060E63">
        <w:rPr>
          <w:rFonts w:ascii="Times New Roman" w:eastAsia="Calibri" w:hAnsi="Times New Roman" w:cs="Times New Roman"/>
          <w:sz w:val="24"/>
          <w:szCs w:val="24"/>
        </w:rPr>
        <w:fldChar w:fldCharType="begin"/>
      </w:r>
      <w:r w:rsidRPr="00060E63">
        <w:rPr>
          <w:rFonts w:ascii="Times New Roman" w:eastAsia="Calibri" w:hAnsi="Times New Roman" w:cs="Times New Roman"/>
          <w:sz w:val="24"/>
          <w:szCs w:val="24"/>
        </w:rPr>
        <w:instrText xml:space="preserve"> ADDIN ZOTERO_ITEM CSL_CITATION {"citationID":"38bYehoZ","properties":{"formattedCitation":"(Amanuel &amp; Agidew, 2019)","plainCitation":"(Amanuel &amp; Agidew, 2019)","noteIndex":0},"citationItems":[{"id":"TaqXJODH/A8YTifzu","uris":["http://zotero.org/users/local/6kE9UEUg/items/BHN4NBZE",["http://zotero.org/users/local/6kE9UEUg/items/BHN4NBZE"]],"itemData":{"id":482,"type":"article-journal","abstract":"This study was to identify challenges and contribution of informal financial services on rural households’ livelihood in selected Woredas of Gamo Gofa Zone. A multistage sampling technique was employed. Primary data on households’ motives, challenges and contribution of informal financial services were collected from household heads and focus group discussants. The collected data were analysed using descriptive statistics and inferential statistics. Users reported the transaction cost to access the service in informal financial services is low while others reported that the service is responsive for immediate problems. Users also reported that the service doesn’t need any criteria to be member while and some households are using informal financial service because of no more options available in the area. Others reported that the participation in the service has social benefit as it increases social networks, connectedness and the service doesn’t need collateral. Lack of legal support, lack of trainings, administration of members, small money size, undocumented money transfer are among challenges of informal financial services. Informal finance contributed as source of money for non-farm activities partially and fully. Legal support, training and linking informal and formal financial service institutions need future intervention.","container-title":"Journal of Agricultural Extension and Rural Development","DOI":"10.5897/JAERD2018.1028","ISSN":"2141-2170","issue":"5","journalAbbreviation":"J. Agric. Ext. Rural Dev","language":"en","page":"94-105","source":"DOI.org (Crossref)","title":"Challenges and contributions of informal finance to the livelihoods of rural households in Gamo Gofa Zone, Ethiopia","volume":"11","author":[{"family":"Amanuel","given":"Shewa Toka"},{"family":"Agidew","given":"Abebe Asha"}],"issued":{"date-parts":[["2019",5,31]]}}}],"schema":"https://github.com/citation-style-language/schema/raw/master/csl-citation.json"} </w:instrText>
      </w:r>
      <w:r w:rsidRPr="00060E63">
        <w:rPr>
          <w:rFonts w:ascii="Times New Roman" w:eastAsia="Calibri" w:hAnsi="Times New Roman" w:cs="Times New Roman"/>
          <w:sz w:val="24"/>
          <w:szCs w:val="24"/>
        </w:rPr>
        <w:fldChar w:fldCharType="separate"/>
      </w:r>
      <w:r w:rsidRPr="00060E63">
        <w:rPr>
          <w:rFonts w:ascii="Times New Roman" w:eastAsia="Calibri" w:hAnsi="Times New Roman" w:cs="Times New Roman"/>
          <w:sz w:val="24"/>
        </w:rPr>
        <w:t>(</w:t>
      </w:r>
      <w:proofErr w:type="spellStart"/>
      <w:r w:rsidRPr="00060E63">
        <w:rPr>
          <w:rFonts w:ascii="Times New Roman" w:eastAsia="Calibri" w:hAnsi="Times New Roman" w:cs="Times New Roman"/>
          <w:sz w:val="24"/>
        </w:rPr>
        <w:t>Amanuel</w:t>
      </w:r>
      <w:proofErr w:type="spellEnd"/>
      <w:r w:rsidRPr="00060E63">
        <w:rPr>
          <w:rFonts w:ascii="Times New Roman" w:eastAsia="Calibri" w:hAnsi="Times New Roman" w:cs="Times New Roman"/>
          <w:sz w:val="24"/>
        </w:rPr>
        <w:t xml:space="preserve"> &amp; </w:t>
      </w:r>
      <w:proofErr w:type="spellStart"/>
      <w:r w:rsidRPr="00060E63">
        <w:rPr>
          <w:rFonts w:ascii="Times New Roman" w:eastAsia="Calibri" w:hAnsi="Times New Roman" w:cs="Times New Roman"/>
          <w:sz w:val="24"/>
        </w:rPr>
        <w:t>Agidew</w:t>
      </w:r>
      <w:proofErr w:type="spellEnd"/>
      <w:r w:rsidRPr="00060E63">
        <w:rPr>
          <w:rFonts w:ascii="Times New Roman" w:eastAsia="Calibri" w:hAnsi="Times New Roman" w:cs="Times New Roman"/>
          <w:sz w:val="24"/>
        </w:rPr>
        <w:t>, 2019)</w:t>
      </w:r>
      <w:r w:rsidRPr="00060E63">
        <w:rPr>
          <w:rFonts w:ascii="Times New Roman" w:eastAsia="Calibri" w:hAnsi="Times New Roman" w:cs="Times New Roman"/>
          <w:sz w:val="24"/>
          <w:szCs w:val="24"/>
        </w:rPr>
        <w:fldChar w:fldCharType="end"/>
      </w:r>
      <w:r w:rsidRPr="00060E63">
        <w:rPr>
          <w:rFonts w:ascii="Times New Roman" w:eastAsia="Calibri" w:hAnsi="Times New Roman" w:cs="Times New Roman"/>
          <w:sz w:val="24"/>
          <w:szCs w:val="24"/>
        </w:rPr>
        <w:t xml:space="preserve"> informal financial services are contributing for rural money saving, non-farm sector participation and livelihood diversification. They had significant contribution towards non-farm activities, especially petty trading, livestock and grains trades.</w:t>
      </w:r>
    </w:p>
    <w:p w:rsidR="00060E63" w:rsidRPr="00060E63" w:rsidRDefault="00060E63" w:rsidP="00060E63">
      <w:pPr>
        <w:spacing w:line="360" w:lineRule="auto"/>
        <w:jc w:val="both"/>
        <w:rPr>
          <w:rFonts w:ascii="Times New Roman" w:eastAsia="Calibri" w:hAnsi="Times New Roman" w:cs="Times New Roman"/>
          <w:sz w:val="24"/>
          <w:szCs w:val="24"/>
        </w:rPr>
      </w:pPr>
      <w:r w:rsidRPr="00060E63">
        <w:rPr>
          <w:rFonts w:ascii="Times New Roman" w:eastAsia="Calibri" w:hAnsi="Times New Roman" w:cs="Times New Roman"/>
          <w:sz w:val="24"/>
          <w:szCs w:val="24"/>
        </w:rPr>
        <w:fldChar w:fldCharType="begin"/>
      </w:r>
      <w:r w:rsidRPr="00060E63">
        <w:rPr>
          <w:rFonts w:ascii="Times New Roman" w:eastAsia="Calibri" w:hAnsi="Times New Roman" w:cs="Times New Roman"/>
          <w:sz w:val="24"/>
          <w:szCs w:val="24"/>
        </w:rPr>
        <w:instrText xml:space="preserve"> ADDIN ZOTERO_ITEM CSL_CITATION {"citationID":"9UuY0GxO","properties":{"formattedCitation":"(Admassie, 2004)","plainCitation":"(Admassie, 2004)","dontUpdate":true,"noteIndex":0},"citationItems":[{"id":"TaqXJODH/nDT7tSEu","uris":["http://zotero.org/users/local/TVJe6XJk/items/TK7QZVDE"],"itemData":{"id":252,"type":"article-journal","language":"en","source":"Zotero","title":"A Review of the Performance of Agricultural Finance in Ethiopia: Pre- and Post Reform Periods","author":[{"family":"Admassie","given":"Assefa"}],"issued":{"date-parts":[["2004"]]}}}],"schema":"https://github.com/citation-style-language/schema/raw/master/csl-citation.json"} </w:instrText>
      </w:r>
      <w:r w:rsidRPr="00060E63">
        <w:rPr>
          <w:rFonts w:ascii="Times New Roman" w:eastAsia="Calibri" w:hAnsi="Times New Roman" w:cs="Times New Roman"/>
          <w:sz w:val="24"/>
          <w:szCs w:val="24"/>
        </w:rPr>
        <w:fldChar w:fldCharType="separate"/>
      </w:r>
      <w:proofErr w:type="spellStart"/>
      <w:r w:rsidRPr="00060E63">
        <w:rPr>
          <w:rFonts w:ascii="Times New Roman" w:eastAsia="Calibri" w:hAnsi="Times New Roman" w:cs="Times New Roman"/>
          <w:sz w:val="24"/>
        </w:rPr>
        <w:t>Admassie</w:t>
      </w:r>
      <w:proofErr w:type="spellEnd"/>
      <w:r w:rsidRPr="00060E63">
        <w:rPr>
          <w:rFonts w:ascii="Times New Roman" w:eastAsia="Calibri" w:hAnsi="Times New Roman" w:cs="Times New Roman"/>
          <w:sz w:val="24"/>
        </w:rPr>
        <w:t xml:space="preserve"> (2004)</w:t>
      </w:r>
      <w:r w:rsidRPr="00060E63">
        <w:rPr>
          <w:rFonts w:ascii="Times New Roman" w:eastAsia="Calibri" w:hAnsi="Times New Roman" w:cs="Times New Roman"/>
          <w:sz w:val="24"/>
          <w:szCs w:val="24"/>
        </w:rPr>
        <w:fldChar w:fldCharType="end"/>
      </w:r>
      <w:r w:rsidRPr="00060E63">
        <w:rPr>
          <w:rFonts w:ascii="Times New Roman" w:eastAsia="Calibri" w:hAnsi="Times New Roman" w:cs="Times New Roman"/>
          <w:sz w:val="24"/>
          <w:szCs w:val="24"/>
        </w:rPr>
        <w:t xml:space="preserve"> reviewed performance of agricultural finance in Ethiopia: pre and post reform periods (1990s). It is indicated that lack of autonomy for financial institutions in the pre reform period was an obstacle for the effective management of the institutions and promoting competition in the financial market. This study also pointed out that the role of regional governments as financial intermediary was the weakness of the post reform financial service to the farmers. The review concluded that there is important need for a proactive role of the government in creating of a favorable macroeconomic environment</w:t>
      </w:r>
    </w:p>
    <w:p w:rsidR="000E511F" w:rsidRDefault="000E511F">
      <w:bookmarkStart w:id="26" w:name="_GoBack"/>
      <w:bookmarkEnd w:id="26"/>
    </w:p>
    <w:sectPr w:rsidR="000E5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D3B06"/>
    <w:multiLevelType w:val="multilevel"/>
    <w:tmpl w:val="113220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5F5D3DF6"/>
    <w:multiLevelType w:val="multilevel"/>
    <w:tmpl w:val="6C1C115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E63"/>
    <w:rsid w:val="00060E63"/>
    <w:rsid w:val="000E5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10216</Words>
  <Characters>58234</Characters>
  <Application>Microsoft Office Word</Application>
  <DocSecurity>0</DocSecurity>
  <Lines>485</Lines>
  <Paragraphs>136</Paragraphs>
  <ScaleCrop>false</ScaleCrop>
  <Company/>
  <LinksUpToDate>false</LinksUpToDate>
  <CharactersWithSpaces>68314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zewde</dc:creator>
  <cp:lastModifiedBy>zewde</cp:lastModifiedBy>
  <cp:revision>1</cp:revision>
  <dcterms:created xsi:type="dcterms:W3CDTF">2023-04-13T07:19:00Z</dcterms:created>
  <dcterms:modified xsi:type="dcterms:W3CDTF">2023-04-13T07:21:00Z</dcterms:modified>
</cp:coreProperties>
</file>