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6CC6B" w14:textId="77777777" w:rsidR="00F42BB4" w:rsidRDefault="0093439D">
      <w:pPr>
        <w:jc w:val="center"/>
        <w:rPr>
          <w:rFonts w:ascii="黑体" w:eastAsia="黑体" w:hAnsi="黑体"/>
          <w:sz w:val="44"/>
          <w:szCs w:val="44"/>
        </w:rPr>
      </w:pPr>
      <w:r>
        <w:rPr>
          <w:rFonts w:ascii="黑体" w:eastAsia="黑体" w:hAnsi="黑体" w:hint="eastAsia"/>
          <w:sz w:val="44"/>
          <w:szCs w:val="44"/>
        </w:rPr>
        <w:t>面向水环境新污染物的</w:t>
      </w:r>
    </w:p>
    <w:p w14:paraId="58837CC3" w14:textId="77777777" w:rsidR="00F42BB4" w:rsidRDefault="0093439D">
      <w:pPr>
        <w:jc w:val="center"/>
        <w:rPr>
          <w:rFonts w:ascii="黑体" w:eastAsia="黑体" w:hAnsi="黑体"/>
          <w:sz w:val="44"/>
          <w:szCs w:val="44"/>
        </w:rPr>
      </w:pPr>
      <w:r>
        <w:rPr>
          <w:rFonts w:ascii="黑体" w:eastAsia="黑体" w:hAnsi="黑体" w:hint="eastAsia"/>
          <w:sz w:val="44"/>
          <w:szCs w:val="44"/>
        </w:rPr>
        <w:t>便携式光学原位检测系统研究与阶段进展</w:t>
      </w:r>
    </w:p>
    <w:p w14:paraId="4F36FB9F" w14:textId="77777777" w:rsidR="00F42BB4" w:rsidRDefault="0093439D">
      <w:pPr>
        <w:jc w:val="center"/>
        <w:rPr>
          <w:rFonts w:ascii="楷体" w:eastAsia="楷体" w:hAnsi="楷体"/>
          <w:sz w:val="28"/>
          <w:szCs w:val="28"/>
        </w:rPr>
      </w:pPr>
      <w:r>
        <w:rPr>
          <w:rFonts w:ascii="楷体" w:eastAsia="楷体" w:hAnsi="楷体" w:hint="eastAsia"/>
          <w:sz w:val="28"/>
          <w:szCs w:val="28"/>
        </w:rPr>
        <w:t>北京师范大学</w:t>
      </w:r>
      <w:r>
        <w:rPr>
          <w:rFonts w:ascii="楷体" w:eastAsia="楷体" w:hAnsi="楷体"/>
          <w:sz w:val="28"/>
          <w:szCs w:val="28"/>
        </w:rPr>
        <w:t xml:space="preserve"> </w:t>
      </w:r>
      <w:r>
        <w:rPr>
          <w:rFonts w:ascii="楷体" w:eastAsia="楷体" w:hAnsi="楷体" w:hint="eastAsia"/>
          <w:sz w:val="28"/>
          <w:szCs w:val="28"/>
        </w:rPr>
        <w:t>马泽炫</w:t>
      </w:r>
      <w:r>
        <w:rPr>
          <w:rFonts w:ascii="楷体" w:eastAsia="楷体" w:hAnsi="楷体" w:cs="Times New Roman (正文 CS 字体)" w:hint="eastAsia"/>
          <w:sz w:val="28"/>
          <w:szCs w:val="28"/>
          <w:vertAlign w:val="superscript"/>
        </w:rPr>
        <w:t>1</w:t>
      </w:r>
      <w:r>
        <w:rPr>
          <w:rFonts w:ascii="楷体" w:eastAsia="楷体" w:hAnsi="楷体" w:hint="eastAsia"/>
          <w:sz w:val="28"/>
          <w:szCs w:val="28"/>
        </w:rPr>
        <w:t>，麦梓明</w:t>
      </w:r>
      <w:r>
        <w:rPr>
          <w:rFonts w:ascii="楷体" w:eastAsia="楷体" w:hAnsi="楷体" w:cs="Times New Roman (正文 CS 字体)" w:hint="eastAsia"/>
          <w:sz w:val="28"/>
          <w:szCs w:val="28"/>
          <w:vertAlign w:val="superscript"/>
        </w:rPr>
        <w:t>1</w:t>
      </w:r>
      <w:r>
        <w:rPr>
          <w:rFonts w:ascii="楷体" w:eastAsia="楷体" w:hAnsi="楷体" w:hint="eastAsia"/>
          <w:sz w:val="28"/>
          <w:szCs w:val="28"/>
        </w:rPr>
        <w:t>，高润宇</w:t>
      </w:r>
      <w:r>
        <w:rPr>
          <w:rFonts w:ascii="楷体" w:eastAsia="楷体" w:hAnsi="楷体" w:cs="Times New Roman (正文 CS 字体)" w:hint="eastAsia"/>
          <w:sz w:val="28"/>
          <w:szCs w:val="28"/>
          <w:vertAlign w:val="superscript"/>
        </w:rPr>
        <w:t>1</w:t>
      </w:r>
      <w:r>
        <w:rPr>
          <w:rFonts w:ascii="楷体" w:eastAsia="楷体" w:hAnsi="楷体" w:hint="eastAsia"/>
          <w:sz w:val="28"/>
          <w:szCs w:val="28"/>
        </w:rPr>
        <w:t>，蔡瑜婷</w:t>
      </w:r>
      <w:r>
        <w:rPr>
          <w:rFonts w:ascii="楷体" w:eastAsia="楷体" w:hAnsi="楷体" w:cs="Times New Roman (正文 CS 字体)" w:hint="eastAsia"/>
          <w:sz w:val="28"/>
          <w:szCs w:val="28"/>
          <w:vertAlign w:val="superscript"/>
        </w:rPr>
        <w:t>1</w:t>
      </w:r>
      <w:r>
        <w:rPr>
          <w:rFonts w:ascii="楷体" w:eastAsia="楷体" w:hAnsi="楷体" w:hint="eastAsia"/>
          <w:sz w:val="28"/>
          <w:szCs w:val="28"/>
        </w:rPr>
        <w:t>，朱江晟</w:t>
      </w:r>
      <w:r>
        <w:rPr>
          <w:rFonts w:ascii="楷体" w:eastAsia="楷体" w:hAnsi="楷体" w:cs="Times New Roman (正文 CS 字体)" w:hint="eastAsia"/>
          <w:sz w:val="28"/>
          <w:szCs w:val="28"/>
          <w:vertAlign w:val="superscript"/>
        </w:rPr>
        <w:t>1</w:t>
      </w:r>
    </w:p>
    <w:p w14:paraId="2362FEBF" w14:textId="77777777" w:rsidR="00F42BB4" w:rsidRDefault="0093439D">
      <w:pPr>
        <w:pStyle w:val="a5"/>
        <w:numPr>
          <w:ilvl w:val="0"/>
          <w:numId w:val="1"/>
        </w:numPr>
        <w:ind w:firstLineChars="0"/>
        <w:jc w:val="center"/>
        <w:rPr>
          <w:rFonts w:ascii="宋体" w:eastAsia="宋体" w:hAnsi="宋体"/>
          <w:szCs w:val="21"/>
        </w:rPr>
      </w:pPr>
      <w:r>
        <w:rPr>
          <w:rFonts w:ascii="宋体" w:eastAsia="宋体" w:hAnsi="宋体" w:hint="eastAsia"/>
          <w:szCs w:val="21"/>
        </w:rPr>
        <w:t>北京师范大学珠海校区文理学院，广东</w:t>
      </w:r>
      <w:r>
        <w:rPr>
          <w:rFonts w:ascii="宋体" w:eastAsia="宋体" w:hAnsi="宋体" w:hint="eastAsia"/>
          <w:szCs w:val="21"/>
        </w:rPr>
        <w:t xml:space="preserve"> </w:t>
      </w:r>
      <w:r>
        <w:rPr>
          <w:rFonts w:ascii="宋体" w:eastAsia="宋体" w:hAnsi="宋体" w:hint="eastAsia"/>
          <w:szCs w:val="21"/>
        </w:rPr>
        <w:t>珠海</w:t>
      </w:r>
      <w:r>
        <w:rPr>
          <w:rFonts w:ascii="宋体" w:eastAsia="宋体" w:hAnsi="宋体" w:hint="eastAsia"/>
          <w:szCs w:val="21"/>
        </w:rPr>
        <w:t>5</w:t>
      </w:r>
      <w:r>
        <w:rPr>
          <w:rFonts w:ascii="宋体" w:eastAsia="宋体" w:hAnsi="宋体"/>
          <w:szCs w:val="21"/>
        </w:rPr>
        <w:t>19087</w:t>
      </w:r>
      <w:r>
        <w:rPr>
          <w:rFonts w:ascii="宋体" w:eastAsia="宋体" w:hAnsi="宋体" w:hint="eastAsia"/>
          <w:szCs w:val="21"/>
        </w:rPr>
        <w:t>）</w:t>
      </w:r>
    </w:p>
    <w:p w14:paraId="4AB2FFFB" w14:textId="77777777" w:rsidR="00F42BB4" w:rsidRDefault="0093439D">
      <w:pPr>
        <w:jc w:val="center"/>
        <w:rPr>
          <w:rFonts w:ascii="楷体" w:eastAsia="楷体" w:hAnsi="楷体"/>
          <w:sz w:val="28"/>
          <w:szCs w:val="28"/>
        </w:rPr>
      </w:pPr>
      <w:r>
        <w:rPr>
          <w:rFonts w:ascii="楷体" w:eastAsia="楷体" w:hAnsi="楷体" w:hint="eastAsia"/>
          <w:sz w:val="28"/>
          <w:szCs w:val="28"/>
        </w:rPr>
        <w:t>指导教师：</w:t>
      </w:r>
      <w:r>
        <w:rPr>
          <w:rFonts w:ascii="楷体" w:eastAsia="楷体" w:hAnsi="楷体" w:hint="eastAsia"/>
          <w:sz w:val="28"/>
          <w:szCs w:val="28"/>
        </w:rPr>
        <w:t xml:space="preserve"> </w:t>
      </w:r>
      <w:r>
        <w:rPr>
          <w:rFonts w:ascii="楷体" w:eastAsia="楷体" w:hAnsi="楷体" w:hint="eastAsia"/>
          <w:sz w:val="28"/>
          <w:szCs w:val="28"/>
        </w:rPr>
        <w:t>凌力教授</w:t>
      </w:r>
    </w:p>
    <w:p w14:paraId="3BA8D1D6" w14:textId="6E8C2A3B" w:rsidR="00F42BB4" w:rsidRDefault="0093439D">
      <w:pPr>
        <w:spacing w:line="320" w:lineRule="exact"/>
        <w:ind w:firstLineChars="200" w:firstLine="361"/>
        <w:jc w:val="left"/>
        <w:rPr>
          <w:rFonts w:ascii="宋体" w:eastAsia="宋体" w:hAnsi="宋体"/>
          <w:sz w:val="18"/>
          <w:szCs w:val="18"/>
          <w:highlight w:val="yellow"/>
        </w:rPr>
      </w:pPr>
      <w:r>
        <w:rPr>
          <w:rFonts w:ascii="宋体" w:eastAsia="宋体" w:hAnsi="宋体" w:hint="eastAsia"/>
          <w:b/>
          <w:bCs/>
          <w:sz w:val="18"/>
          <w:szCs w:val="18"/>
        </w:rPr>
        <w:t>摘要</w:t>
      </w:r>
      <w:r>
        <w:rPr>
          <w:rFonts w:ascii="宋体" w:eastAsia="宋体" w:hAnsi="宋体" w:hint="eastAsia"/>
          <w:sz w:val="18"/>
          <w:szCs w:val="18"/>
        </w:rPr>
        <w:t>：</w:t>
      </w:r>
      <w:r>
        <w:rPr>
          <w:rFonts w:ascii="宋体" w:eastAsia="宋体" w:hAnsi="宋体"/>
          <w:sz w:val="18"/>
          <w:szCs w:val="18"/>
        </w:rPr>
        <w:t>新污染物具有生物毒性、环境持久性、生物累积性等特征，对生态环境或人体健康存在较大风险</w:t>
      </w:r>
      <w:r>
        <w:rPr>
          <w:rFonts w:ascii="宋体" w:eastAsia="宋体" w:hAnsi="宋体" w:hint="eastAsia"/>
          <w:sz w:val="18"/>
          <w:szCs w:val="18"/>
        </w:rPr>
        <w:t>。</w:t>
      </w:r>
      <w:r>
        <w:rPr>
          <w:rFonts w:ascii="宋体" w:eastAsia="宋体" w:hAnsi="宋体"/>
          <w:sz w:val="18"/>
          <w:szCs w:val="18"/>
        </w:rPr>
        <w:t>现行的新污染物分析方法主要基于现场采样、实验前处理和色谱</w:t>
      </w:r>
      <w:r>
        <w:rPr>
          <w:rFonts w:ascii="宋体" w:eastAsia="宋体" w:hAnsi="宋体"/>
          <w:sz w:val="18"/>
          <w:szCs w:val="18"/>
        </w:rPr>
        <w:t>-</w:t>
      </w:r>
      <w:r>
        <w:rPr>
          <w:rFonts w:ascii="宋体" w:eastAsia="宋体" w:hAnsi="宋体"/>
          <w:sz w:val="18"/>
          <w:szCs w:val="18"/>
        </w:rPr>
        <w:t>质谱联用的方法，耗时长、成本高、频率低，使得当前对新污染物的来源、区域流域尺度下中的赋存、迁移、归宿仍存在大量数据空白，缺乏对其组分特征及时空分布规律的判断，进而影响对其环境风险的评估及削减。本项目面向水体中新污染物原位监测需求</w:t>
      </w:r>
      <w:r>
        <w:rPr>
          <w:rFonts w:ascii="宋体" w:eastAsia="宋体" w:hAnsi="宋体" w:hint="eastAsia"/>
          <w:sz w:val="18"/>
          <w:szCs w:val="18"/>
        </w:rPr>
        <w:t>，</w:t>
      </w:r>
      <w:r>
        <w:rPr>
          <w:rFonts w:ascii="宋体" w:eastAsia="宋体" w:hAnsi="宋体"/>
          <w:sz w:val="18"/>
          <w:szCs w:val="18"/>
        </w:rPr>
        <w:t>围绕高灵敏度与高便携性兼</w:t>
      </w:r>
      <w:r>
        <w:rPr>
          <w:rFonts w:ascii="宋体" w:eastAsia="宋体" w:hAnsi="宋体" w:hint="eastAsia"/>
          <w:sz w:val="18"/>
          <w:szCs w:val="18"/>
        </w:rPr>
        <w:t>备的</w:t>
      </w:r>
      <w:r>
        <w:rPr>
          <w:rFonts w:ascii="宋体" w:eastAsia="宋体" w:hAnsi="宋体"/>
          <w:sz w:val="18"/>
          <w:szCs w:val="18"/>
        </w:rPr>
        <w:t>目标</w:t>
      </w:r>
      <w:r>
        <w:rPr>
          <w:rFonts w:ascii="宋体" w:eastAsia="宋体" w:hAnsi="宋体" w:hint="eastAsia"/>
          <w:sz w:val="18"/>
          <w:szCs w:val="18"/>
        </w:rPr>
        <w:t>，构建了一套面向水体新污染物的高性能便携式光学检测方案。其以光纤拉曼与</w:t>
      </w:r>
      <w:r>
        <w:rPr>
          <w:rFonts w:ascii="宋体" w:eastAsia="宋体" w:hAnsi="宋体"/>
          <w:sz w:val="18"/>
          <w:szCs w:val="18"/>
        </w:rPr>
        <w:t>量子点免疫</w:t>
      </w:r>
      <w:r>
        <w:rPr>
          <w:rFonts w:ascii="宋体" w:eastAsia="宋体" w:hAnsi="宋体" w:hint="eastAsia"/>
          <w:sz w:val="18"/>
          <w:szCs w:val="18"/>
        </w:rPr>
        <w:t>芯片技术为核心，技术上，</w:t>
      </w:r>
      <w:r>
        <w:rPr>
          <w:rFonts w:ascii="宋体" w:eastAsia="宋体" w:hAnsi="宋体"/>
          <w:sz w:val="18"/>
          <w:szCs w:val="18"/>
        </w:rPr>
        <w:t>通过</w:t>
      </w:r>
      <w:r>
        <w:rPr>
          <w:rFonts w:ascii="Times New Roman" w:eastAsia="宋体" w:hAnsi="Times New Roman" w:cs="Times New Roman"/>
          <w:sz w:val="18"/>
          <w:szCs w:val="18"/>
        </w:rPr>
        <w:t>COMSOL</w:t>
      </w:r>
      <w:r>
        <w:rPr>
          <w:rFonts w:ascii="宋体" w:eastAsia="宋体" w:hAnsi="宋体"/>
          <w:sz w:val="18"/>
          <w:szCs w:val="18"/>
        </w:rPr>
        <w:t>数值仿真系统研究光纤倏逝场与镀层结构</w:t>
      </w:r>
      <w:r>
        <w:rPr>
          <w:rFonts w:ascii="宋体" w:eastAsia="宋体" w:hAnsi="宋体" w:hint="eastAsia"/>
          <w:sz w:val="18"/>
          <w:szCs w:val="18"/>
        </w:rPr>
        <w:t>，为本课题光学算法模型提供理论基础，同时探索</w:t>
      </w:r>
      <w:r>
        <w:rPr>
          <w:rFonts w:ascii="宋体" w:eastAsia="宋体" w:hAnsi="宋体"/>
          <w:sz w:val="18"/>
          <w:szCs w:val="18"/>
        </w:rPr>
        <w:t>免疫</w:t>
      </w:r>
      <w:r>
        <w:rPr>
          <w:rFonts w:ascii="宋体" w:eastAsia="宋体" w:hAnsi="宋体" w:hint="eastAsia"/>
          <w:sz w:val="18"/>
          <w:szCs w:val="18"/>
        </w:rPr>
        <w:t>芯片</w:t>
      </w:r>
      <w:r>
        <w:rPr>
          <w:rFonts w:ascii="宋体" w:eastAsia="宋体" w:hAnsi="宋体"/>
          <w:sz w:val="18"/>
          <w:szCs w:val="18"/>
        </w:rPr>
        <w:t>量子点光场分布，优化敏感区域光场强度与能量损耗</w:t>
      </w:r>
      <w:r>
        <w:rPr>
          <w:rFonts w:ascii="宋体" w:eastAsia="宋体" w:hAnsi="宋体" w:hint="eastAsia"/>
          <w:sz w:val="18"/>
          <w:szCs w:val="18"/>
        </w:rPr>
        <w:t>。另一方面，</w:t>
      </w:r>
      <w:r>
        <w:rPr>
          <w:rFonts w:ascii="宋体" w:eastAsia="宋体" w:hAnsi="宋体"/>
          <w:sz w:val="18"/>
          <w:szCs w:val="18"/>
        </w:rPr>
        <w:t>围绕弱信号与复杂背景，开发了基于</w:t>
      </w:r>
      <w:r>
        <w:rPr>
          <w:rFonts w:ascii="宋体" w:eastAsia="宋体" w:hAnsi="宋体"/>
          <w:sz w:val="18"/>
          <w:szCs w:val="18"/>
        </w:rPr>
        <w:t xml:space="preserve"> ALSL </w:t>
      </w:r>
      <w:r>
        <w:rPr>
          <w:rFonts w:ascii="宋体" w:eastAsia="宋体" w:hAnsi="宋体"/>
          <w:sz w:val="18"/>
          <w:szCs w:val="18"/>
        </w:rPr>
        <w:t>的拉曼背景扣除、量子点免疫芯片荧光分布转移矩阵解析以及多角度反射</w:t>
      </w:r>
      <w:r>
        <w:rPr>
          <w:rFonts w:ascii="宋体" w:eastAsia="宋体" w:hAnsi="宋体"/>
          <w:sz w:val="18"/>
          <w:szCs w:val="18"/>
        </w:rPr>
        <w:t>–</w:t>
      </w:r>
      <w:r>
        <w:rPr>
          <w:rFonts w:ascii="宋体" w:eastAsia="宋体" w:hAnsi="宋体"/>
          <w:sz w:val="18"/>
          <w:szCs w:val="18"/>
        </w:rPr>
        <w:t>透射联合反演复折射率等关键算法，构建了从原始光谱到物性参数与机理解释的完整数据链条。</w:t>
      </w:r>
      <w:r>
        <w:rPr>
          <w:rFonts w:ascii="宋体" w:eastAsia="宋体" w:hAnsi="宋体" w:hint="eastAsia"/>
          <w:sz w:val="18"/>
          <w:szCs w:val="18"/>
        </w:rPr>
        <w:t>在硬件方面</w:t>
      </w:r>
      <w:r>
        <w:rPr>
          <w:rFonts w:ascii="宋体" w:eastAsia="宋体" w:hAnsi="宋体"/>
          <w:sz w:val="18"/>
          <w:szCs w:val="18"/>
        </w:rPr>
        <w:t>结合</w:t>
      </w:r>
      <w:r>
        <w:rPr>
          <w:rFonts w:ascii="宋体" w:eastAsia="宋体" w:hAnsi="宋体" w:hint="eastAsia"/>
          <w:sz w:val="18"/>
          <w:szCs w:val="18"/>
        </w:rPr>
        <w:t>凌力教授课题组王金鑫博士研究生开发的超材料光纤制备与加工平台、微流控免疫芯片以及便携式光学原位检测系统新污染物检测技术，</w:t>
      </w:r>
      <w:r>
        <w:rPr>
          <w:rFonts w:ascii="宋体" w:eastAsia="宋体" w:hAnsi="宋体"/>
          <w:sz w:val="18"/>
          <w:szCs w:val="18"/>
        </w:rPr>
        <w:t>在不增加硬件成本的前提下显著提升信噪比，完成首代便携式光学样机的设计与搭建</w:t>
      </w:r>
      <w:r>
        <w:rPr>
          <w:rFonts w:ascii="宋体" w:eastAsia="宋体" w:hAnsi="宋体"/>
          <w:sz w:val="18"/>
          <w:szCs w:val="18"/>
        </w:rPr>
        <w:t>，实现同一硬件平台下的宽谱拉曼与量子点</w:t>
      </w:r>
      <w:r>
        <w:rPr>
          <w:rFonts w:ascii="宋体" w:eastAsia="宋体" w:hAnsi="宋体" w:hint="eastAsia"/>
          <w:sz w:val="18"/>
          <w:szCs w:val="18"/>
        </w:rPr>
        <w:t>荧光</w:t>
      </w:r>
      <w:r>
        <w:rPr>
          <w:rFonts w:ascii="宋体" w:eastAsia="宋体" w:hAnsi="宋体"/>
          <w:sz w:val="18"/>
          <w:szCs w:val="18"/>
        </w:rPr>
        <w:t>双模式检测。</w:t>
      </w:r>
      <w:r w:rsidR="00244386" w:rsidRPr="00244386">
        <w:rPr>
          <w:rFonts w:ascii="宋体" w:eastAsia="宋体" w:hAnsi="宋体"/>
          <w:sz w:val="18"/>
          <w:szCs w:val="18"/>
        </w:rPr>
        <w:t>相关技术已形成1件发明专利，并在宽谱光纤拉曼原理样机基础上梳理出拟申报的新专利点，为后续工程化集成和成果转化奠定基础</w:t>
      </w:r>
      <w:r w:rsidR="00244386" w:rsidRPr="00244386">
        <w:rPr>
          <w:rFonts w:ascii="宋体" w:eastAsia="宋体" w:hAnsi="宋体" w:hint="eastAsia"/>
          <w:sz w:val="18"/>
          <w:szCs w:val="18"/>
        </w:rPr>
        <w:t>。</w:t>
      </w:r>
      <w:r>
        <w:rPr>
          <w:rFonts w:ascii="宋体" w:eastAsia="宋体" w:hAnsi="宋体"/>
          <w:sz w:val="18"/>
          <w:szCs w:val="18"/>
        </w:rPr>
        <w:t>在行业趋势与竞品分析的基础上，项目将企业定位进一步聚焦为水环境新污染物便携式检测解决方案提供商，并初步搭建出以设备为入口、试剂耗材为持续收入主体、技术与数据服务为高附加值延伸的商业模式。整体实践不仅验证了技术路线的可行性，也在问题导向、跨学科融合和工程化思维等方面有效促进了团队成员的创新能力与综合素养提升。</w:t>
      </w:r>
    </w:p>
    <w:p w14:paraId="5F5DD099" w14:textId="77777777" w:rsidR="00F42BB4" w:rsidRDefault="0093439D">
      <w:pPr>
        <w:spacing w:line="320" w:lineRule="exact"/>
        <w:ind w:firstLineChars="200" w:firstLine="361"/>
        <w:jc w:val="left"/>
        <w:rPr>
          <w:rFonts w:ascii="宋体" w:eastAsia="宋体" w:hAnsi="宋体"/>
          <w:sz w:val="18"/>
          <w:szCs w:val="18"/>
        </w:rPr>
      </w:pPr>
      <w:r>
        <w:rPr>
          <w:rFonts w:ascii="宋体" w:eastAsia="宋体" w:hAnsi="宋体" w:hint="eastAsia"/>
          <w:b/>
          <w:bCs/>
          <w:sz w:val="18"/>
          <w:szCs w:val="18"/>
        </w:rPr>
        <w:t>关键词</w:t>
      </w:r>
      <w:r>
        <w:rPr>
          <w:rFonts w:ascii="宋体" w:eastAsia="宋体" w:hAnsi="宋体" w:hint="eastAsia"/>
          <w:sz w:val="18"/>
          <w:szCs w:val="18"/>
        </w:rPr>
        <w:t>：新污染物；水环境原位监测；便携式光学检测；拉曼光谱；光场调控；信号处理算法</w:t>
      </w:r>
    </w:p>
    <w:p w14:paraId="55DFFFD2" w14:textId="77777777" w:rsidR="00F42BB4" w:rsidRDefault="00F42BB4">
      <w:pPr>
        <w:ind w:firstLineChars="150" w:firstLine="270"/>
        <w:jc w:val="left"/>
        <w:rPr>
          <w:rFonts w:ascii="宋体" w:eastAsia="宋体" w:hAnsi="宋体"/>
          <w:sz w:val="18"/>
          <w:szCs w:val="18"/>
        </w:rPr>
      </w:pPr>
    </w:p>
    <w:p w14:paraId="4B5CF5F0" w14:textId="77777777" w:rsidR="00F42BB4" w:rsidRDefault="0093439D">
      <w:pPr>
        <w:pStyle w:val="a5"/>
        <w:numPr>
          <w:ilvl w:val="0"/>
          <w:numId w:val="2"/>
        </w:numPr>
        <w:ind w:firstLineChars="0"/>
        <w:jc w:val="center"/>
        <w:rPr>
          <w:rFonts w:ascii="黑体" w:eastAsia="黑体" w:hAnsi="黑体"/>
          <w:sz w:val="28"/>
          <w:szCs w:val="28"/>
        </w:rPr>
      </w:pPr>
      <w:r>
        <w:rPr>
          <w:rFonts w:ascii="黑体" w:eastAsia="黑体" w:hAnsi="黑体" w:hint="eastAsia"/>
          <w:sz w:val="28"/>
          <w:szCs w:val="28"/>
        </w:rPr>
        <w:t>项目简介</w:t>
      </w:r>
    </w:p>
    <w:p w14:paraId="261EC9D8" w14:textId="77777777" w:rsidR="00F42BB4" w:rsidRDefault="00F42BB4">
      <w:pPr>
        <w:rPr>
          <w:rFonts w:ascii="宋体" w:eastAsia="宋体" w:hAnsi="宋体"/>
          <w:sz w:val="18"/>
          <w:szCs w:val="18"/>
        </w:rPr>
      </w:pPr>
    </w:p>
    <w:p w14:paraId="031917AC" w14:textId="77777777" w:rsidR="00F42BB4" w:rsidRDefault="0093439D">
      <w:pPr>
        <w:pStyle w:val="a5"/>
        <w:numPr>
          <w:ilvl w:val="0"/>
          <w:numId w:val="3"/>
        </w:numPr>
        <w:spacing w:line="320" w:lineRule="exact"/>
        <w:ind w:firstLineChars="0"/>
        <w:rPr>
          <w:rFonts w:ascii="宋体" w:eastAsia="宋体" w:hAnsi="宋体"/>
          <w:b/>
          <w:bCs/>
          <w:sz w:val="18"/>
          <w:szCs w:val="18"/>
        </w:rPr>
      </w:pPr>
      <w:r>
        <w:rPr>
          <w:rFonts w:ascii="宋体" w:eastAsia="宋体" w:hAnsi="宋体" w:hint="eastAsia"/>
          <w:b/>
          <w:bCs/>
          <w:sz w:val="18"/>
          <w:szCs w:val="18"/>
        </w:rPr>
        <w:t>项目背景</w:t>
      </w:r>
    </w:p>
    <w:p w14:paraId="0FF80EB9" w14:textId="21AED1CA" w:rsidR="00F42BB4" w:rsidRDefault="0093439D" w:rsidP="002152DF">
      <w:pPr>
        <w:spacing w:line="320" w:lineRule="exact"/>
        <w:ind w:firstLineChars="200" w:firstLine="360"/>
        <w:rPr>
          <w:rFonts w:ascii="宋体" w:eastAsia="宋体" w:hAnsi="宋体"/>
          <w:sz w:val="18"/>
          <w:szCs w:val="18"/>
        </w:rPr>
      </w:pPr>
      <w:r>
        <w:rPr>
          <w:rFonts w:ascii="宋体" w:eastAsia="宋体" w:hAnsi="宋体" w:hint="eastAsia"/>
          <w:sz w:val="18"/>
          <w:szCs w:val="18"/>
        </w:rPr>
        <w:t>新污染物治理已上升为国家基础研究和科技创</w:t>
      </w:r>
      <w:r>
        <w:rPr>
          <w:rFonts w:ascii="宋体" w:eastAsia="宋体" w:hAnsi="宋体" w:hint="eastAsia"/>
          <w:sz w:val="18"/>
          <w:szCs w:val="18"/>
        </w:rPr>
        <w:t>新重点方向，是保障人民健康与生态环境安全的关键领域。习近平总书记在全国生态环境保护大会上明确提出将新污染物治理纳入国家科技攻关重点，国务院也先后出台《新污染物治理行动方案》</w:t>
      </w:r>
      <w:r w:rsidR="002152DF" w:rsidRPr="002152DF">
        <w:rPr>
          <w:rFonts w:ascii="宋体" w:eastAsia="宋体" w:hAnsi="宋体" w:cs="Times New Roman (正文 CS 字体)"/>
          <w:sz w:val="18"/>
          <w:szCs w:val="18"/>
          <w:vertAlign w:val="superscript"/>
        </w:rPr>
        <w:fldChar w:fldCharType="begin"/>
      </w:r>
      <w:r w:rsidR="002152DF" w:rsidRPr="002152DF">
        <w:rPr>
          <w:rFonts w:ascii="宋体" w:eastAsia="宋体" w:hAnsi="宋体" w:cs="Times New Roman (正文 CS 字体)"/>
          <w:sz w:val="18"/>
          <w:szCs w:val="18"/>
          <w:vertAlign w:val="superscript"/>
        </w:rPr>
        <w:instrText xml:space="preserve"> </w:instrText>
      </w:r>
      <w:r w:rsidR="002152DF" w:rsidRPr="002152DF">
        <w:rPr>
          <w:rFonts w:ascii="宋体" w:eastAsia="宋体" w:hAnsi="宋体" w:cs="Times New Roman (正文 CS 字体)" w:hint="eastAsia"/>
          <w:sz w:val="18"/>
          <w:szCs w:val="18"/>
          <w:vertAlign w:val="superscript"/>
        </w:rPr>
        <w:instrText>REF _Ref216076105 \r \h</w:instrText>
      </w:r>
      <w:r w:rsidR="002152DF" w:rsidRPr="002152DF">
        <w:rPr>
          <w:rFonts w:ascii="宋体" w:eastAsia="宋体" w:hAnsi="宋体" w:cs="Times New Roman (正文 CS 字体)"/>
          <w:sz w:val="18"/>
          <w:szCs w:val="18"/>
          <w:vertAlign w:val="superscript"/>
        </w:rPr>
        <w:instrText xml:space="preserve"> </w:instrText>
      </w:r>
      <w:r w:rsidR="002152DF" w:rsidRPr="002152DF">
        <w:rPr>
          <w:rFonts w:ascii="宋体" w:eastAsia="宋体" w:hAnsi="宋体" w:cs="Times New Roman (正文 CS 字体)"/>
          <w:sz w:val="18"/>
          <w:szCs w:val="18"/>
          <w:vertAlign w:val="superscript"/>
        </w:rPr>
      </w:r>
      <w:r w:rsidR="002152DF">
        <w:rPr>
          <w:rFonts w:ascii="宋体" w:eastAsia="宋体" w:hAnsi="宋体" w:cs="Times New Roman (正文 CS 字体)"/>
          <w:sz w:val="18"/>
          <w:szCs w:val="18"/>
          <w:vertAlign w:val="superscript"/>
        </w:rPr>
        <w:instrText xml:space="preserve"> \* MERGEFORMAT </w:instrText>
      </w:r>
      <w:r w:rsidR="002152DF" w:rsidRPr="002152DF">
        <w:rPr>
          <w:rFonts w:ascii="宋体" w:eastAsia="宋体" w:hAnsi="宋体" w:cs="Times New Roman (正文 CS 字体)"/>
          <w:sz w:val="18"/>
          <w:szCs w:val="18"/>
          <w:vertAlign w:val="superscript"/>
        </w:rPr>
        <w:fldChar w:fldCharType="separate"/>
      </w:r>
      <w:r w:rsidR="002152DF" w:rsidRPr="002152DF">
        <w:rPr>
          <w:rFonts w:ascii="宋体" w:eastAsia="宋体" w:hAnsi="宋体" w:cs="Times New Roman (正文 CS 字体)"/>
          <w:sz w:val="18"/>
          <w:szCs w:val="18"/>
          <w:vertAlign w:val="superscript"/>
        </w:rPr>
        <w:t>[</w:t>
      </w:r>
      <w:r w:rsidR="002152DF" w:rsidRPr="002152DF">
        <w:rPr>
          <w:rFonts w:ascii="宋体" w:eastAsia="宋体" w:hAnsi="宋体" w:cs="Times New Roman (正文 CS 字体)"/>
          <w:sz w:val="18"/>
          <w:szCs w:val="18"/>
          <w:vertAlign w:val="superscript"/>
        </w:rPr>
        <w:t>1</w:t>
      </w:r>
      <w:r w:rsidR="002152DF" w:rsidRPr="002152DF">
        <w:rPr>
          <w:rFonts w:ascii="宋体" w:eastAsia="宋体" w:hAnsi="宋体" w:cs="Times New Roman (正文 CS 字体)"/>
          <w:sz w:val="18"/>
          <w:szCs w:val="18"/>
          <w:vertAlign w:val="superscript"/>
        </w:rPr>
        <w:t>]</w:t>
      </w:r>
      <w:r w:rsidR="002152DF" w:rsidRPr="002152DF">
        <w:rPr>
          <w:rFonts w:ascii="宋体" w:eastAsia="宋体" w:hAnsi="宋体" w:cs="Times New Roman (正文 CS 字体)"/>
          <w:sz w:val="18"/>
          <w:szCs w:val="18"/>
          <w:vertAlign w:val="superscript"/>
        </w:rPr>
        <w:fldChar w:fldCharType="end"/>
      </w:r>
      <w:r>
        <w:rPr>
          <w:rFonts w:ascii="宋体" w:eastAsia="宋体" w:hAnsi="宋体" w:hint="eastAsia"/>
          <w:sz w:val="18"/>
          <w:szCs w:val="18"/>
        </w:rPr>
        <w:t>《关于全面推进美丽中国建设的意见》</w:t>
      </w:r>
      <w:r w:rsidR="002152DF" w:rsidRPr="002152DF">
        <w:rPr>
          <w:rFonts w:ascii="宋体" w:eastAsia="宋体" w:hAnsi="宋体" w:cs="Times New Roman (正文 CS 字体)"/>
          <w:sz w:val="18"/>
          <w:szCs w:val="18"/>
          <w:vertAlign w:val="superscript"/>
        </w:rPr>
        <w:fldChar w:fldCharType="begin"/>
      </w:r>
      <w:r w:rsidR="002152DF" w:rsidRPr="002152DF">
        <w:rPr>
          <w:rFonts w:ascii="宋体" w:eastAsia="宋体" w:hAnsi="宋体" w:cs="Times New Roman (正文 CS 字体)"/>
          <w:sz w:val="18"/>
          <w:szCs w:val="18"/>
          <w:vertAlign w:val="superscript"/>
        </w:rPr>
        <w:instrText xml:space="preserve"> </w:instrText>
      </w:r>
      <w:r w:rsidR="002152DF" w:rsidRPr="002152DF">
        <w:rPr>
          <w:rFonts w:ascii="宋体" w:eastAsia="宋体" w:hAnsi="宋体" w:cs="Times New Roman (正文 CS 字体)" w:hint="eastAsia"/>
          <w:sz w:val="18"/>
          <w:szCs w:val="18"/>
          <w:vertAlign w:val="superscript"/>
        </w:rPr>
        <w:instrText>REF _Ref216076127 \r \h</w:instrText>
      </w:r>
      <w:r w:rsidR="002152DF" w:rsidRPr="002152DF">
        <w:rPr>
          <w:rFonts w:ascii="宋体" w:eastAsia="宋体" w:hAnsi="宋体" w:cs="Times New Roman (正文 CS 字体)"/>
          <w:sz w:val="18"/>
          <w:szCs w:val="18"/>
          <w:vertAlign w:val="superscript"/>
        </w:rPr>
        <w:instrText xml:space="preserve"> </w:instrText>
      </w:r>
      <w:r w:rsidR="002152DF" w:rsidRPr="002152DF">
        <w:rPr>
          <w:rFonts w:ascii="宋体" w:eastAsia="宋体" w:hAnsi="宋体" w:cs="Times New Roman (正文 CS 字体)"/>
          <w:sz w:val="18"/>
          <w:szCs w:val="18"/>
          <w:vertAlign w:val="superscript"/>
        </w:rPr>
      </w:r>
      <w:r w:rsidR="002152DF">
        <w:rPr>
          <w:rFonts w:ascii="宋体" w:eastAsia="宋体" w:hAnsi="宋体" w:cs="Times New Roman (正文 CS 字体)"/>
          <w:sz w:val="18"/>
          <w:szCs w:val="18"/>
          <w:vertAlign w:val="superscript"/>
        </w:rPr>
        <w:instrText xml:space="preserve"> \* MERGEFORMAT </w:instrText>
      </w:r>
      <w:r w:rsidR="002152DF" w:rsidRPr="002152DF">
        <w:rPr>
          <w:rFonts w:ascii="宋体" w:eastAsia="宋体" w:hAnsi="宋体" w:cs="Times New Roman (正文 CS 字体)"/>
          <w:sz w:val="18"/>
          <w:szCs w:val="18"/>
          <w:vertAlign w:val="superscript"/>
        </w:rPr>
        <w:fldChar w:fldCharType="separate"/>
      </w:r>
      <w:r w:rsidR="002152DF" w:rsidRPr="002152DF">
        <w:rPr>
          <w:rFonts w:ascii="宋体" w:eastAsia="宋体" w:hAnsi="宋体" w:cs="Times New Roman (正文 CS 字体)"/>
          <w:sz w:val="18"/>
          <w:szCs w:val="18"/>
          <w:vertAlign w:val="superscript"/>
        </w:rPr>
        <w:t>[2]</w:t>
      </w:r>
      <w:r w:rsidR="002152DF" w:rsidRPr="002152DF">
        <w:rPr>
          <w:rFonts w:ascii="宋体" w:eastAsia="宋体" w:hAnsi="宋体" w:cs="Times New Roman (正文 CS 字体)"/>
          <w:sz w:val="18"/>
          <w:szCs w:val="18"/>
          <w:vertAlign w:val="superscript"/>
        </w:rPr>
        <w:fldChar w:fldCharType="end"/>
      </w:r>
      <w:r>
        <w:rPr>
          <w:rFonts w:ascii="宋体" w:eastAsia="宋体" w:hAnsi="宋体" w:hint="eastAsia"/>
          <w:sz w:val="18"/>
          <w:szCs w:val="18"/>
        </w:rPr>
        <w:t>，明确到</w:t>
      </w:r>
      <w:r>
        <w:rPr>
          <w:rFonts w:ascii="宋体" w:eastAsia="宋体" w:hAnsi="宋体" w:hint="eastAsia"/>
          <w:sz w:val="18"/>
          <w:szCs w:val="18"/>
        </w:rPr>
        <w:t>2035</w:t>
      </w:r>
      <w:r>
        <w:rPr>
          <w:rFonts w:ascii="宋体" w:eastAsia="宋体" w:hAnsi="宋体" w:hint="eastAsia"/>
          <w:sz w:val="18"/>
          <w:szCs w:val="18"/>
        </w:rPr>
        <w:t>年新污染物环境风险将得到有效管控。</w:t>
      </w:r>
      <w:r>
        <w:rPr>
          <w:rFonts w:ascii="宋体" w:eastAsia="宋体" w:hAnsi="宋体"/>
          <w:sz w:val="18"/>
          <w:szCs w:val="18"/>
        </w:rPr>
        <w:t>新污染物具有生物毒性、环境持久性、生物累积性等特征，对生态环境或人体健康存在较大风险。我国在《</w:t>
      </w:r>
      <w:r>
        <w:rPr>
          <w:rFonts w:ascii="宋体" w:eastAsia="宋体" w:hAnsi="宋体"/>
          <w:sz w:val="18"/>
          <w:szCs w:val="18"/>
        </w:rPr>
        <w:t>“</w:t>
      </w:r>
      <w:r>
        <w:rPr>
          <w:rFonts w:ascii="宋体" w:eastAsia="宋体" w:hAnsi="宋体"/>
          <w:sz w:val="18"/>
          <w:szCs w:val="18"/>
        </w:rPr>
        <w:t>十四五</w:t>
      </w:r>
      <w:r>
        <w:rPr>
          <w:rFonts w:ascii="宋体" w:eastAsia="宋体" w:hAnsi="宋体"/>
          <w:sz w:val="18"/>
          <w:szCs w:val="18"/>
        </w:rPr>
        <w:t>”</w:t>
      </w:r>
      <w:r>
        <w:rPr>
          <w:rFonts w:ascii="宋体" w:eastAsia="宋体" w:hAnsi="宋体"/>
          <w:sz w:val="18"/>
          <w:szCs w:val="18"/>
        </w:rPr>
        <w:t>生态环境领域科技创新专项规划》</w:t>
      </w:r>
      <w:r w:rsidR="002152DF" w:rsidRPr="002152DF">
        <w:rPr>
          <w:rFonts w:ascii="宋体" w:eastAsia="宋体" w:hAnsi="宋体"/>
          <w:sz w:val="18"/>
          <w:szCs w:val="18"/>
          <w:vertAlign w:val="superscript"/>
        </w:rPr>
        <w:fldChar w:fldCharType="begin"/>
      </w:r>
      <w:r w:rsidR="002152DF" w:rsidRPr="002152DF">
        <w:rPr>
          <w:rFonts w:ascii="宋体" w:eastAsia="宋体" w:hAnsi="宋体"/>
          <w:sz w:val="18"/>
          <w:szCs w:val="18"/>
          <w:vertAlign w:val="superscript"/>
        </w:rPr>
        <w:instrText xml:space="preserve"> REF _Ref216075980 \r \h </w:instrText>
      </w:r>
      <w:r w:rsidR="002152DF" w:rsidRPr="002152DF">
        <w:rPr>
          <w:rFonts w:ascii="宋体" w:eastAsia="宋体" w:hAnsi="宋体"/>
          <w:sz w:val="18"/>
          <w:szCs w:val="18"/>
          <w:vertAlign w:val="superscript"/>
        </w:rPr>
      </w:r>
      <w:r w:rsidR="002152DF" w:rsidRPr="002152DF">
        <w:rPr>
          <w:rFonts w:ascii="宋体" w:eastAsia="宋体" w:hAnsi="宋体"/>
          <w:sz w:val="18"/>
          <w:szCs w:val="18"/>
          <w:vertAlign w:val="superscript"/>
        </w:rPr>
        <w:instrText xml:space="preserve"> \* MERGEFORMAT </w:instrText>
      </w:r>
      <w:r w:rsidR="002152DF" w:rsidRPr="002152DF">
        <w:rPr>
          <w:rFonts w:ascii="宋体" w:eastAsia="宋体" w:hAnsi="宋体"/>
          <w:sz w:val="18"/>
          <w:szCs w:val="18"/>
          <w:vertAlign w:val="superscript"/>
        </w:rPr>
        <w:fldChar w:fldCharType="separate"/>
      </w:r>
      <w:r w:rsidR="002152DF" w:rsidRPr="002152DF">
        <w:rPr>
          <w:rFonts w:ascii="宋体" w:eastAsia="宋体" w:hAnsi="宋体"/>
          <w:sz w:val="18"/>
          <w:szCs w:val="18"/>
          <w:vertAlign w:val="superscript"/>
        </w:rPr>
        <w:t>[</w:t>
      </w:r>
      <w:r w:rsidR="002152DF" w:rsidRPr="002152DF">
        <w:rPr>
          <w:rFonts w:ascii="宋体" w:eastAsia="宋体" w:hAnsi="宋体" w:cs="Times New Roman (正文 CS 字体)"/>
          <w:sz w:val="18"/>
          <w:szCs w:val="18"/>
          <w:vertAlign w:val="superscript"/>
        </w:rPr>
        <w:t>3</w:t>
      </w:r>
      <w:r w:rsidR="002152DF" w:rsidRPr="002152DF">
        <w:rPr>
          <w:rFonts w:ascii="宋体" w:eastAsia="宋体" w:hAnsi="宋体" w:cs="Times New Roman (正文 CS 字体)"/>
          <w:sz w:val="18"/>
          <w:szCs w:val="18"/>
          <w:vertAlign w:val="superscript"/>
        </w:rPr>
        <w:t>]</w:t>
      </w:r>
      <w:r w:rsidR="002152DF" w:rsidRPr="002152DF">
        <w:rPr>
          <w:rFonts w:ascii="宋体" w:eastAsia="宋体" w:hAnsi="宋体"/>
          <w:sz w:val="18"/>
          <w:szCs w:val="18"/>
          <w:vertAlign w:val="superscript"/>
        </w:rPr>
        <w:fldChar w:fldCharType="end"/>
      </w:r>
      <w:r>
        <w:rPr>
          <w:rFonts w:ascii="宋体" w:eastAsia="宋体" w:hAnsi="宋体"/>
          <w:sz w:val="18"/>
          <w:szCs w:val="18"/>
        </w:rPr>
        <w:t>中明确提出，要</w:t>
      </w:r>
      <w:r>
        <w:rPr>
          <w:rFonts w:ascii="宋体" w:eastAsia="宋体" w:hAnsi="宋体"/>
          <w:sz w:val="18"/>
          <w:szCs w:val="18"/>
        </w:rPr>
        <w:t>“</w:t>
      </w:r>
      <w:r>
        <w:rPr>
          <w:rFonts w:ascii="宋体" w:eastAsia="宋体" w:hAnsi="宋体"/>
          <w:sz w:val="18"/>
          <w:szCs w:val="18"/>
        </w:rPr>
        <w:t>构建新污染物环境及健康风险识别、评估和管控技术体系</w:t>
      </w:r>
      <w:r>
        <w:rPr>
          <w:rFonts w:ascii="宋体" w:eastAsia="宋体" w:hAnsi="宋体"/>
          <w:sz w:val="18"/>
          <w:szCs w:val="18"/>
        </w:rPr>
        <w:t>”</w:t>
      </w:r>
      <w:r>
        <w:rPr>
          <w:rFonts w:ascii="宋体" w:eastAsia="宋体" w:hAnsi="宋体"/>
          <w:sz w:val="18"/>
          <w:szCs w:val="18"/>
        </w:rPr>
        <w:t>。新污染物被广泛应用于工业、农业和日常生活中，其持久性</w:t>
      </w:r>
      <w:r>
        <w:rPr>
          <w:rFonts w:ascii="宋体" w:eastAsia="宋体" w:hAnsi="宋体"/>
          <w:sz w:val="18"/>
          <w:szCs w:val="18"/>
        </w:rPr>
        <w:t>、长距离迁移性，使其长期以纳克升浓度存在于各类水体当中。厘清新污染物的环境浓度和分布情况有助于合理的评估、削减其环境风险、推进生态文明的建设</w:t>
      </w:r>
      <w:r>
        <w:rPr>
          <w:rFonts w:ascii="宋体" w:eastAsia="宋体" w:hAnsi="宋体" w:hint="eastAsia"/>
          <w:sz w:val="18"/>
          <w:szCs w:val="18"/>
        </w:rPr>
        <w:t>。在众多新污染物中，抗生素类污染物因涉及公共卫生安全、生态安全与全球可持续发展治理，已成为全球环境治理的难点和重点</w:t>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w:instrText>
      </w:r>
      <w:r w:rsidR="00CB0A11" w:rsidRPr="00CB0A11">
        <w:rPr>
          <w:rFonts w:ascii="宋体" w:eastAsia="宋体" w:hAnsi="宋体" w:cs="Times New Roman (正文 CS 字体)" w:hint="eastAsia"/>
          <w:sz w:val="18"/>
          <w:szCs w:val="18"/>
          <w:vertAlign w:val="superscript"/>
        </w:rPr>
        <w:instrText>REF _Ref216076293 \r \h</w:instrText>
      </w:r>
      <w:r w:rsidR="00CB0A11" w:rsidRPr="00CB0A11">
        <w:rPr>
          <w:rFonts w:ascii="宋体" w:eastAsia="宋体" w:hAnsi="宋体" w:cs="Times New Roman (正文 CS 字体)"/>
          <w:sz w:val="18"/>
          <w:szCs w:val="18"/>
          <w:vertAlign w:val="superscript"/>
        </w:rPr>
        <w:instrText xml:space="preserve">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[4]</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_Ref216076295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[7]</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_Ref216076298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[9]</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_Ref216076314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[12]</w:t>
      </w:r>
      <w:r w:rsidR="00CB0A11" w:rsidRPr="00CB0A11">
        <w:rPr>
          <w:rFonts w:ascii="宋体" w:eastAsia="宋体" w:hAnsi="宋体" w:cs="Times New Roman (正文 CS 字体)"/>
          <w:sz w:val="18"/>
          <w:szCs w:val="18"/>
          <w:vertAlign w:val="superscript"/>
        </w:rPr>
        <w:fldChar w:fldCharType="end"/>
      </w:r>
      <w:r>
        <w:rPr>
          <w:rFonts w:ascii="宋体" w:eastAsia="宋体" w:hAnsi="宋体" w:hint="eastAsia"/>
          <w:sz w:val="18"/>
          <w:szCs w:val="18"/>
        </w:rPr>
        <w:t>，其潜在风险不仅来自污染本身，也关系到人类耐药性演变这一全球公共健康挑战。因此，面向国家战略需求，亟需突破抗生素类新污染物环境风险识别、精准监测的关键科学与技术瓶颈。</w:t>
      </w:r>
    </w:p>
    <w:p w14:paraId="4D64761E" w14:textId="466BCA42"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目前，对抗生素类新污染物的分析主要依赖实验室色谱—质谱联用技术，并辅以前处理分离、纯化与浓</w:t>
      </w:r>
      <w:r>
        <w:rPr>
          <w:rFonts w:ascii="宋体" w:eastAsia="宋体" w:hAnsi="宋体" w:hint="eastAsia"/>
          <w:sz w:val="18"/>
          <w:szCs w:val="18"/>
        </w:rPr>
        <w:t>缩步骤。该技术体系具有高灵敏度和高特异性，是准确识别痕量化合物、开展毒性关联与非靶查筛查研究的关键支撑，因此在新污染物风险评估中长期处于不可替代的核心地位</w:t>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w:instrText>
      </w:r>
      <w:r w:rsidR="00CB0A11" w:rsidRPr="00CB0A11">
        <w:rPr>
          <w:rFonts w:ascii="宋体" w:eastAsia="宋体" w:hAnsi="宋体" w:cs="Times New Roman (正文 CS 字体)" w:hint="eastAsia"/>
          <w:sz w:val="18"/>
          <w:szCs w:val="18"/>
          <w:vertAlign w:val="superscript"/>
        </w:rPr>
        <w:instrText>REF _Ref216076341 \r \h</w:instrText>
      </w:r>
      <w:r w:rsidR="00CB0A11" w:rsidRPr="00CB0A11">
        <w:rPr>
          <w:rFonts w:ascii="宋体" w:eastAsia="宋体" w:hAnsi="宋体" w:cs="Times New Roman (正文 CS 字体)"/>
          <w:sz w:val="18"/>
          <w:szCs w:val="18"/>
          <w:vertAlign w:val="superscript"/>
        </w:rPr>
        <w:instrText xml:space="preserve">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[5]</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_Ref216076344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[6]</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_Ref216076347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[8]</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_Ref216076349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[13]</w:t>
      </w:r>
      <w:r w:rsidR="00CB0A11" w:rsidRPr="00CB0A11">
        <w:rPr>
          <w:rFonts w:ascii="宋体" w:eastAsia="宋体" w:hAnsi="宋体" w:cs="Times New Roman (正文 CS 字体)"/>
          <w:sz w:val="18"/>
          <w:szCs w:val="18"/>
          <w:vertAlign w:val="superscript"/>
        </w:rPr>
        <w:fldChar w:fldCharType="end"/>
      </w:r>
      <w:r>
        <w:rPr>
          <w:rFonts w:ascii="宋体" w:eastAsia="宋体" w:hAnsi="宋体" w:hint="eastAsia"/>
          <w:sz w:val="18"/>
          <w:szCs w:val="18"/>
        </w:rPr>
        <w:t>。然而，这一高精度、深度解析模式模式通常依赖昂贵仪器、专业技术人员与严格实验条件，检测周期往往以日或周为单位，并需要复杂的样品采集、保存和运输。其结果是，尽管能够提供精确结果，却难以实现跨流域、实时化、连续性的环境监测任务。与此同时，抗生素类新污染物多以纳克</w:t>
      </w:r>
      <w:r>
        <w:rPr>
          <w:rFonts w:ascii="宋体" w:eastAsia="宋体" w:hAnsi="宋体" w:hint="eastAsia"/>
          <w:sz w:val="18"/>
          <w:szCs w:val="18"/>
        </w:rPr>
        <w:t>/</w:t>
      </w:r>
      <w:r>
        <w:rPr>
          <w:rFonts w:ascii="宋体" w:eastAsia="宋体" w:hAnsi="宋体" w:hint="eastAsia"/>
          <w:sz w:val="18"/>
          <w:szCs w:val="18"/>
        </w:rPr>
        <w:t>升的痕量水平存在，其浓度受</w:t>
      </w:r>
      <w:r>
        <w:rPr>
          <w:rFonts w:ascii="宋体" w:eastAsia="宋体" w:hAnsi="宋体" w:hint="eastAsia"/>
          <w:sz w:val="18"/>
          <w:szCs w:val="18"/>
        </w:rPr>
        <w:lastRenderedPageBreak/>
        <w:t>排放行为、气候与水动力变化影响显著，在多类型时间尺度上往往呈现复杂波动。</w:t>
      </w:r>
      <w:r>
        <w:rPr>
          <w:rFonts w:ascii="宋体" w:eastAsia="宋体" w:hAnsi="宋体" w:hint="eastAsia"/>
          <w:sz w:val="18"/>
          <w:szCs w:val="18"/>
        </w:rPr>
        <w:t>如果仅依靠低频、离线式实验室检测，即便单次结果再精准，也不可避免产生大量数据缺口，使得污染物的真实赋存特征、迁移路径与暴露风险难以完整表征</w:t>
      </w:r>
      <w:r w:rsidRPr="0093439D">
        <w:rPr>
          <w:rFonts w:ascii="宋体" w:eastAsia="宋体" w:hAnsi="宋体" w:cs="Times New Roman (正文 CS 字体)"/>
          <w:sz w:val="18"/>
          <w:szCs w:val="18"/>
          <w:vertAlign w:val="superscript"/>
        </w:rPr>
        <w:fldChar w:fldCharType="begin"/>
      </w:r>
      <w:r w:rsidRPr="0093439D">
        <w:rPr>
          <w:rFonts w:ascii="宋体" w:eastAsia="宋体" w:hAnsi="宋体" w:cs="Times New Roman (正文 CS 字体)"/>
          <w:sz w:val="18"/>
          <w:szCs w:val="18"/>
          <w:vertAlign w:val="superscript"/>
        </w:rPr>
        <w:instrText xml:space="preserve"> </w:instrText>
      </w:r>
      <w:r w:rsidRPr="0093439D">
        <w:rPr>
          <w:rFonts w:ascii="宋体" w:eastAsia="宋体" w:hAnsi="宋体" w:cs="Times New Roman (正文 CS 字体)" w:hint="eastAsia"/>
          <w:sz w:val="18"/>
          <w:szCs w:val="18"/>
          <w:vertAlign w:val="superscript"/>
        </w:rPr>
        <w:instrText>REF _Ref216076602 \r \h</w:instrText>
      </w:r>
      <w:r w:rsidRPr="0093439D">
        <w:rPr>
          <w:rFonts w:ascii="宋体" w:eastAsia="宋体" w:hAnsi="宋体" w:cs="Times New Roman (正文 CS 字体)"/>
          <w:sz w:val="18"/>
          <w:szCs w:val="18"/>
          <w:vertAlign w:val="superscript"/>
        </w:rPr>
        <w:instrText xml:space="preserve"> </w:instrText>
      </w:r>
      <w:r w:rsidRPr="0093439D">
        <w:rPr>
          <w:rFonts w:ascii="宋体" w:eastAsia="宋体" w:hAnsi="宋体" w:cs="Times New Roman (正文 CS 字体)"/>
          <w:sz w:val="18"/>
          <w:szCs w:val="18"/>
          <w:vertAlign w:val="superscript"/>
        </w:rPr>
      </w:r>
      <w:r>
        <w:rPr>
          <w:rFonts w:ascii="宋体" w:eastAsia="宋体" w:hAnsi="宋体" w:cs="Times New Roman (正文 CS 字体)"/>
          <w:sz w:val="18"/>
          <w:szCs w:val="18"/>
          <w:vertAlign w:val="superscript"/>
        </w:rPr>
        <w:instrText xml:space="preserve"> \* MERGEFORMAT </w:instrText>
      </w:r>
      <w:r w:rsidRPr="0093439D">
        <w:rPr>
          <w:rFonts w:ascii="宋体" w:eastAsia="宋体" w:hAnsi="宋体" w:cs="Times New Roman (正文 CS 字体)"/>
          <w:sz w:val="18"/>
          <w:szCs w:val="18"/>
          <w:vertAlign w:val="superscript"/>
        </w:rPr>
        <w:fldChar w:fldCharType="separate"/>
      </w:r>
      <w:r w:rsidRPr="0093439D">
        <w:rPr>
          <w:rFonts w:ascii="宋体" w:eastAsia="宋体" w:hAnsi="宋体" w:cs="Times New Roman (正文 CS 字体)"/>
          <w:sz w:val="18"/>
          <w:szCs w:val="18"/>
          <w:vertAlign w:val="superscript"/>
        </w:rPr>
        <w:t>[17]</w:t>
      </w:r>
      <w:r w:rsidRPr="0093439D">
        <w:rPr>
          <w:rFonts w:ascii="宋体" w:eastAsia="宋体" w:hAnsi="宋体" w:cs="Times New Roman (正文 CS 字体)"/>
          <w:sz w:val="18"/>
          <w:szCs w:val="18"/>
          <w:vertAlign w:val="superscript"/>
        </w:rPr>
        <w:fldChar w:fldCharType="end"/>
      </w:r>
      <w:r>
        <w:rPr>
          <w:rFonts w:ascii="宋体" w:eastAsia="宋体" w:hAnsi="宋体" w:hint="eastAsia"/>
          <w:sz w:val="18"/>
          <w:szCs w:val="18"/>
        </w:rPr>
        <w:t>。当</w:t>
      </w:r>
      <w:r>
        <w:rPr>
          <w:rFonts w:ascii="宋体" w:eastAsia="宋体" w:hAnsi="宋体" w:hint="eastAsia"/>
          <w:sz w:val="18"/>
          <w:szCs w:val="18"/>
        </w:rPr>
        <w:t>前环境管理面临一个典型的结构性矛盾：风险评估需要高分辨数据，而监测模式却难以提供足够的时空连续性。突破这一矛盾的关键不在于替代色谱–质谱等“深解析”技术，而在于构建可与其协同的现场化、自动化、可持续运行的检测体系，以实现深度解析与高频监测的互补与融合。因此，发展可面向复杂水体、具备高灵敏度和便携化特征的光学检测技术，成为新污染物检测领域的重要方向。</w:t>
      </w:r>
    </w:p>
    <w:p w14:paraId="2AC466B8" w14:textId="0A69A95E"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拉曼</w:t>
      </w:r>
      <w:r>
        <w:rPr>
          <w:rFonts w:ascii="宋体" w:eastAsia="宋体" w:hAnsi="宋体" w:hint="eastAsia"/>
          <w:sz w:val="18"/>
          <w:szCs w:val="18"/>
        </w:rPr>
        <w:t>及荧光光</w:t>
      </w:r>
      <w:r>
        <w:rPr>
          <w:rFonts w:ascii="宋体" w:eastAsia="宋体" w:hAnsi="宋体"/>
          <w:sz w:val="18"/>
          <w:szCs w:val="18"/>
        </w:rPr>
        <w:t>谱是特</w:t>
      </w:r>
      <w:r>
        <w:rPr>
          <w:rFonts w:ascii="宋体" w:eastAsia="宋体" w:hAnsi="宋体"/>
          <w:sz w:val="18"/>
          <w:szCs w:val="18"/>
        </w:rPr>
        <w:t>定分子独有的化学指纹，其利用激光光源直接照射样品，通过观察样品散射光的频率变化可以快速地获得样品的结构信息和成分分析</w:t>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_Ref216076300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[11]</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_Ref216076422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[15]</w:t>
      </w:r>
      <w:r w:rsidR="00CB0A11" w:rsidRPr="00CB0A11">
        <w:rPr>
          <w:rFonts w:ascii="宋体" w:eastAsia="宋体" w:hAnsi="宋体" w:cs="Times New Roman (正文 CS 字体)"/>
          <w:sz w:val="18"/>
          <w:szCs w:val="18"/>
          <w:vertAlign w:val="superscript"/>
        </w:rPr>
        <w:fldChar w:fldCharType="end"/>
      </w:r>
      <w:r w:rsidR="00CB0A11" w:rsidRPr="00CB0A11">
        <w:rPr>
          <w:rFonts w:ascii="宋体" w:eastAsia="宋体" w:hAnsi="宋体" w:cs="Times New Roman (正文 CS 字体)"/>
          <w:sz w:val="18"/>
          <w:szCs w:val="18"/>
          <w:vertAlign w:val="superscript"/>
        </w:rPr>
        <w:fldChar w:fldCharType="begin"/>
      </w:r>
      <w:r w:rsidR="00CB0A11" w:rsidRPr="00CB0A11">
        <w:rPr>
          <w:rFonts w:ascii="宋体" w:eastAsia="宋体" w:hAnsi="宋体" w:cs="Times New Roman (正文 CS 字体)"/>
          <w:sz w:val="18"/>
          <w:szCs w:val="18"/>
          <w:vertAlign w:val="superscript"/>
        </w:rPr>
        <w:instrText xml:space="preserve"> REF _Ref216076425 \r \h </w:instrText>
      </w:r>
      <w:r w:rsidR="00CB0A11" w:rsidRPr="00CB0A11">
        <w:rPr>
          <w:rFonts w:ascii="宋体" w:eastAsia="宋体" w:hAnsi="宋体" w:cs="Times New Roman (正文 CS 字体)"/>
          <w:sz w:val="18"/>
          <w:szCs w:val="18"/>
          <w:vertAlign w:val="superscript"/>
        </w:rPr>
      </w:r>
      <w:r w:rsidR="00CB0A11">
        <w:rPr>
          <w:rFonts w:ascii="宋体" w:eastAsia="宋体" w:hAnsi="宋体" w:cs="Times New Roman (正文 CS 字体)"/>
          <w:sz w:val="18"/>
          <w:szCs w:val="18"/>
          <w:vertAlign w:val="superscript"/>
        </w:rPr>
        <w:instrText xml:space="preserve"> \* MERGEFORMAT </w:instrText>
      </w:r>
      <w:r w:rsidR="00CB0A11" w:rsidRPr="00CB0A11">
        <w:rPr>
          <w:rFonts w:ascii="宋体" w:eastAsia="宋体" w:hAnsi="宋体" w:cs="Times New Roman (正文 CS 字体)"/>
          <w:sz w:val="18"/>
          <w:szCs w:val="18"/>
          <w:vertAlign w:val="superscript"/>
        </w:rPr>
        <w:fldChar w:fldCharType="separate"/>
      </w:r>
      <w:r w:rsidR="00CB0A11" w:rsidRPr="00CB0A11">
        <w:rPr>
          <w:rFonts w:ascii="宋体" w:eastAsia="宋体" w:hAnsi="宋体" w:cs="Times New Roman (正文 CS 字体)"/>
          <w:sz w:val="18"/>
          <w:szCs w:val="18"/>
          <w:vertAlign w:val="superscript"/>
        </w:rPr>
        <w:t>[16]</w:t>
      </w:r>
      <w:r w:rsidR="00CB0A11" w:rsidRPr="00CB0A11">
        <w:rPr>
          <w:rFonts w:ascii="宋体" w:eastAsia="宋体" w:hAnsi="宋体" w:cs="Times New Roman (正文 CS 字体)"/>
          <w:sz w:val="18"/>
          <w:szCs w:val="18"/>
          <w:vertAlign w:val="superscript"/>
        </w:rPr>
        <w:fldChar w:fldCharType="end"/>
      </w:r>
      <w:r w:rsidR="00CB0A11">
        <w:rPr>
          <w:rFonts w:ascii="宋体" w:eastAsia="宋体" w:hAnsi="宋体" w:hint="eastAsia"/>
          <w:sz w:val="18"/>
          <w:szCs w:val="18"/>
        </w:rPr>
        <w:t>。基</w:t>
      </w:r>
      <w:r>
        <w:rPr>
          <w:rFonts w:ascii="宋体" w:eastAsia="宋体" w:hAnsi="宋体" w:hint="eastAsia"/>
          <w:sz w:val="18"/>
          <w:szCs w:val="18"/>
        </w:rPr>
        <w:t>于此，构建以拉曼及荧光光谱为核心的光学检测平台，结合光纤探头、微流控免疫芯片等手段实现与环境水样的高效耦合，并配合多变量校正、光谱模式识别算法，有望为复杂水体中新污染物的快速筛查提供重要支撑。项目团队前期在拉曼及荧光光谱光学机理研究及便携集成样机开发方面已具备一定基础，为本课题中光学系统搭建与信号处理方法构建提供了统一平台。</w:t>
      </w:r>
    </w:p>
    <w:p w14:paraId="74F82063"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针对新污染物在真实水体中普遍处于纳克升级别、且目标组分往往掺杂于</w:t>
      </w:r>
      <w:r>
        <w:rPr>
          <w:rFonts w:ascii="宋体" w:eastAsia="宋体" w:hAnsi="宋体" w:hint="eastAsia"/>
          <w:sz w:val="18"/>
          <w:szCs w:val="18"/>
        </w:rPr>
        <w:t>复杂基质的特点，本课题在凌力教授与其博士研究生王金鑫搭建的微流控免疫芯片便携式光学检测样机中进一步嵌入了宽谱拉曼超材料光纤检测单元和信号处理算法，并通过光纤拉曼光路原理构筑的光场模型进行光信号分析，在保证特异性的前提下拓展整体检测体系的灵敏度。基于此，本课题形成了一套面向水体新污染物的高性能便携式光学检测方案，在保证灵敏度和特异性的前提下，解决了对大型实验平台如质谱的依赖，有利于为新污染物风险评估和管控提供技术支撑和装备保障。</w:t>
      </w:r>
    </w:p>
    <w:p w14:paraId="0F1EDA34" w14:textId="77777777" w:rsidR="00F42BB4" w:rsidRDefault="00F42BB4">
      <w:pPr>
        <w:spacing w:line="320" w:lineRule="exact"/>
        <w:ind w:firstLineChars="200" w:firstLine="360"/>
        <w:rPr>
          <w:rFonts w:ascii="宋体" w:eastAsia="宋体" w:hAnsi="宋体"/>
          <w:sz w:val="18"/>
          <w:szCs w:val="18"/>
        </w:rPr>
      </w:pPr>
    </w:p>
    <w:p w14:paraId="0CB9CC9B" w14:textId="77777777" w:rsidR="00F42BB4" w:rsidRDefault="0093439D">
      <w:pPr>
        <w:pStyle w:val="a5"/>
        <w:numPr>
          <w:ilvl w:val="0"/>
          <w:numId w:val="3"/>
        </w:numPr>
        <w:spacing w:line="320" w:lineRule="exact"/>
        <w:ind w:firstLineChars="0"/>
        <w:rPr>
          <w:rFonts w:ascii="宋体" w:eastAsia="宋体" w:hAnsi="宋体"/>
          <w:b/>
          <w:bCs/>
          <w:sz w:val="18"/>
          <w:szCs w:val="18"/>
        </w:rPr>
      </w:pPr>
      <w:r>
        <w:rPr>
          <w:rFonts w:ascii="宋体" w:eastAsia="宋体" w:hAnsi="宋体" w:hint="eastAsia"/>
          <w:b/>
          <w:bCs/>
          <w:sz w:val="18"/>
          <w:szCs w:val="18"/>
        </w:rPr>
        <w:t>团队成员简介</w:t>
      </w:r>
    </w:p>
    <w:p w14:paraId="585E4418" w14:textId="77777777" w:rsidR="00F42BB4" w:rsidRDefault="0093439D">
      <w:pPr>
        <w:spacing w:line="320" w:lineRule="exact"/>
        <w:ind w:firstLineChars="200" w:firstLine="360"/>
        <w:jc w:val="left"/>
        <w:rPr>
          <w:rFonts w:ascii="宋体" w:eastAsia="宋体" w:hAnsi="宋体"/>
          <w:sz w:val="18"/>
          <w:szCs w:val="18"/>
        </w:rPr>
      </w:pPr>
      <w:r>
        <w:rPr>
          <w:rFonts w:ascii="宋体" w:eastAsia="宋体" w:hAnsi="宋体"/>
          <w:sz w:val="18"/>
          <w:szCs w:val="18"/>
        </w:rPr>
        <w:t>本项目团队依托北京师范大学珠海校区文理学院及</w:t>
      </w:r>
      <w:r>
        <w:rPr>
          <w:rFonts w:ascii="宋体" w:eastAsia="宋体" w:hAnsi="宋体" w:hint="eastAsia"/>
          <w:sz w:val="18"/>
          <w:szCs w:val="18"/>
        </w:rPr>
        <w:t>未来技术学院</w:t>
      </w:r>
      <w:r>
        <w:rPr>
          <w:rFonts w:ascii="宋体" w:eastAsia="宋体" w:hAnsi="宋体"/>
          <w:sz w:val="18"/>
          <w:szCs w:val="18"/>
        </w:rPr>
        <w:t>，由</w:t>
      </w:r>
      <w:r>
        <w:rPr>
          <w:rFonts w:ascii="宋体" w:eastAsia="宋体" w:hAnsi="宋体"/>
          <w:sz w:val="18"/>
          <w:szCs w:val="18"/>
        </w:rPr>
        <w:t>5</w:t>
      </w:r>
      <w:r>
        <w:rPr>
          <w:rFonts w:ascii="宋体" w:eastAsia="宋体" w:hAnsi="宋体"/>
          <w:sz w:val="18"/>
          <w:szCs w:val="18"/>
        </w:rPr>
        <w:t>名</w:t>
      </w:r>
      <w:r>
        <w:rPr>
          <w:rFonts w:ascii="宋体" w:eastAsia="宋体" w:hAnsi="宋体"/>
          <w:sz w:val="18"/>
          <w:szCs w:val="18"/>
        </w:rPr>
        <w:t>本科生组成，项目由</w:t>
      </w:r>
      <w:r>
        <w:rPr>
          <w:rFonts w:ascii="宋体" w:eastAsia="宋体" w:hAnsi="宋体" w:hint="eastAsia"/>
          <w:sz w:val="18"/>
          <w:szCs w:val="18"/>
        </w:rPr>
        <w:t>未来技术学院副院长凌</w:t>
      </w:r>
      <w:r>
        <w:rPr>
          <w:rFonts w:ascii="宋体" w:eastAsia="宋体" w:hAnsi="宋体"/>
          <w:sz w:val="18"/>
          <w:szCs w:val="18"/>
        </w:rPr>
        <w:t>力教授指导，依托其在光学检测与环境监测方向的科研基础和平台资源，为项目在技术路线选择、实验方案论证和成果转化路径等方面提供专业指导和把关。项目负责人马泽炫负责项目总体统筹与技术路线规划，牵头原位监测光学系统的设计与优化，</w:t>
      </w:r>
      <w:r>
        <w:rPr>
          <w:rFonts w:ascii="宋体" w:eastAsia="宋体" w:hAnsi="宋体" w:hint="eastAsia"/>
          <w:sz w:val="18"/>
          <w:szCs w:val="18"/>
        </w:rPr>
        <w:t>光学机理仿真和信号算法设计。</w:t>
      </w:r>
      <w:r>
        <w:rPr>
          <w:rFonts w:ascii="宋体" w:eastAsia="宋体" w:hAnsi="宋体"/>
          <w:sz w:val="18"/>
          <w:szCs w:val="18"/>
        </w:rPr>
        <w:t>麦梓明主要承担</w:t>
      </w:r>
      <w:r>
        <w:rPr>
          <w:rFonts w:ascii="宋体" w:eastAsia="宋体" w:hAnsi="宋体" w:hint="eastAsia"/>
          <w:sz w:val="18"/>
          <w:szCs w:val="18"/>
        </w:rPr>
        <w:t>实验基底</w:t>
      </w:r>
      <w:r>
        <w:rPr>
          <w:rFonts w:ascii="宋体" w:eastAsia="宋体" w:hAnsi="宋体"/>
          <w:sz w:val="18"/>
          <w:szCs w:val="18"/>
        </w:rPr>
        <w:t>的制备与测试工作，推进硬件研发与系统联调；高润宇侧重</w:t>
      </w:r>
      <w:r>
        <w:rPr>
          <w:rFonts w:ascii="宋体" w:eastAsia="宋体" w:hAnsi="宋体" w:hint="eastAsia"/>
          <w:sz w:val="18"/>
          <w:szCs w:val="18"/>
        </w:rPr>
        <w:t>原位监测光学系统的检测光路</w:t>
      </w:r>
      <w:r>
        <w:rPr>
          <w:rFonts w:ascii="宋体" w:eastAsia="宋体" w:hAnsi="宋体"/>
          <w:sz w:val="18"/>
          <w:szCs w:val="18"/>
        </w:rPr>
        <w:t>、电磁场分布等理论推导与仿真分析；蔡瑜婷负责信号处理与分类算法的学习与</w:t>
      </w:r>
      <w:r>
        <w:rPr>
          <w:rFonts w:ascii="宋体" w:eastAsia="宋体" w:hAnsi="宋体" w:hint="eastAsia"/>
          <w:sz w:val="18"/>
          <w:szCs w:val="18"/>
        </w:rPr>
        <w:t>前期</w:t>
      </w:r>
      <w:r>
        <w:rPr>
          <w:rFonts w:ascii="宋体" w:eastAsia="宋体" w:hAnsi="宋体"/>
          <w:sz w:val="18"/>
          <w:szCs w:val="18"/>
        </w:rPr>
        <w:t>开发，参与数据建模与软件设计；朱江晟负责路演</w:t>
      </w:r>
      <w:r>
        <w:rPr>
          <w:rFonts w:ascii="宋体" w:eastAsia="宋体" w:hAnsi="宋体"/>
          <w:sz w:val="18"/>
          <w:szCs w:val="18"/>
        </w:rPr>
        <w:t>PPT</w:t>
      </w:r>
      <w:r>
        <w:rPr>
          <w:rFonts w:ascii="宋体" w:eastAsia="宋体" w:hAnsi="宋体"/>
          <w:sz w:val="18"/>
          <w:szCs w:val="18"/>
        </w:rPr>
        <w:t>等</w:t>
      </w:r>
      <w:r>
        <w:rPr>
          <w:rFonts w:ascii="宋体" w:eastAsia="宋体" w:hAnsi="宋体"/>
          <w:sz w:val="18"/>
          <w:szCs w:val="18"/>
        </w:rPr>
        <w:t>宣传材料的制作。</w:t>
      </w:r>
      <w:r>
        <w:rPr>
          <w:rFonts w:ascii="宋体" w:eastAsia="宋体" w:hAnsi="宋体" w:hint="eastAsia"/>
          <w:sz w:val="18"/>
          <w:szCs w:val="18"/>
        </w:rPr>
        <w:t>本项目微流控免疫芯片</w:t>
      </w:r>
      <w:r>
        <w:rPr>
          <w:rFonts w:ascii="宋体" w:eastAsia="宋体" w:hAnsi="宋体" w:hint="eastAsia"/>
          <w:sz w:val="18"/>
          <w:szCs w:val="18"/>
        </w:rPr>
        <w:t>和</w:t>
      </w:r>
      <w:r>
        <w:rPr>
          <w:rFonts w:ascii="宋体" w:eastAsia="宋体" w:hAnsi="宋体" w:hint="eastAsia"/>
          <w:sz w:val="18"/>
          <w:szCs w:val="18"/>
        </w:rPr>
        <w:t>便携式光学原位检测系统由凌力教授课题组博士研究生王金鑫牵头指导设计</w:t>
      </w:r>
      <w:r>
        <w:rPr>
          <w:rFonts w:ascii="宋体" w:eastAsia="宋体" w:hAnsi="宋体" w:hint="eastAsia"/>
          <w:sz w:val="18"/>
          <w:szCs w:val="18"/>
        </w:rPr>
        <w:t>,</w:t>
      </w:r>
      <w:r>
        <w:rPr>
          <w:rFonts w:ascii="宋体" w:eastAsia="宋体" w:hAnsi="宋体" w:hint="eastAsia"/>
          <w:sz w:val="18"/>
          <w:szCs w:val="18"/>
        </w:rPr>
        <w:t>并且</w:t>
      </w:r>
      <w:r>
        <w:rPr>
          <w:rFonts w:ascii="宋体" w:eastAsia="宋体" w:hAnsi="宋体"/>
          <w:sz w:val="18"/>
          <w:szCs w:val="18"/>
        </w:rPr>
        <w:t>行业与竞品调研、商业模式梳理</w:t>
      </w:r>
      <w:r>
        <w:rPr>
          <w:rFonts w:ascii="宋体" w:eastAsia="宋体" w:hAnsi="宋体" w:hint="eastAsia"/>
          <w:sz w:val="18"/>
          <w:szCs w:val="18"/>
        </w:rPr>
        <w:t>、</w:t>
      </w:r>
      <w:r>
        <w:rPr>
          <w:rFonts w:ascii="宋体" w:eastAsia="宋体" w:hAnsi="宋体"/>
          <w:sz w:val="18"/>
          <w:szCs w:val="18"/>
        </w:rPr>
        <w:t>商业计划书</w:t>
      </w:r>
      <w:r>
        <w:rPr>
          <w:rFonts w:ascii="宋体" w:eastAsia="宋体" w:hAnsi="宋体" w:hint="eastAsia"/>
          <w:sz w:val="18"/>
          <w:szCs w:val="18"/>
        </w:rPr>
        <w:t>及</w:t>
      </w:r>
      <w:r>
        <w:rPr>
          <w:rFonts w:ascii="宋体" w:eastAsia="宋体" w:hAnsi="宋体"/>
          <w:sz w:val="18"/>
          <w:szCs w:val="18"/>
        </w:rPr>
        <w:t>对接学校创新创业平台和外部机构</w:t>
      </w:r>
      <w:r>
        <w:rPr>
          <w:rFonts w:ascii="宋体" w:eastAsia="宋体" w:hAnsi="宋体" w:hint="eastAsia"/>
          <w:sz w:val="18"/>
          <w:szCs w:val="18"/>
        </w:rPr>
        <w:t>由王金鑫负责完成</w:t>
      </w:r>
      <w:r>
        <w:rPr>
          <w:rFonts w:ascii="宋体" w:eastAsia="宋体" w:hAnsi="宋体" w:hint="eastAsia"/>
          <w:sz w:val="18"/>
          <w:szCs w:val="18"/>
        </w:rPr>
        <w:t>。团</w:t>
      </w:r>
      <w:r>
        <w:rPr>
          <w:rFonts w:ascii="宋体" w:eastAsia="宋体" w:hAnsi="宋体"/>
          <w:sz w:val="18"/>
          <w:szCs w:val="18"/>
        </w:rPr>
        <w:t>队成员专业背景互补、合作基础良好，具备较强的自主学习能力和实践动手能力，为项目的持续推进和创业实践提供了有力保障。</w:t>
      </w:r>
    </w:p>
    <w:p w14:paraId="14C746BE" w14:textId="77777777" w:rsidR="00F42BB4" w:rsidRDefault="00F42BB4">
      <w:pPr>
        <w:jc w:val="left"/>
        <w:rPr>
          <w:rFonts w:ascii="宋体" w:eastAsia="宋体" w:hAnsi="宋体"/>
          <w:sz w:val="18"/>
          <w:szCs w:val="18"/>
        </w:rPr>
      </w:pPr>
    </w:p>
    <w:p w14:paraId="601EA946" w14:textId="77777777" w:rsidR="00F42BB4" w:rsidRDefault="0093439D">
      <w:pPr>
        <w:pStyle w:val="a5"/>
        <w:numPr>
          <w:ilvl w:val="0"/>
          <w:numId w:val="4"/>
        </w:numPr>
        <w:ind w:firstLineChars="0"/>
        <w:jc w:val="center"/>
        <w:rPr>
          <w:rFonts w:ascii="黑体" w:eastAsia="黑体" w:hAnsi="黑体"/>
          <w:sz w:val="28"/>
          <w:szCs w:val="28"/>
        </w:rPr>
      </w:pPr>
      <w:r>
        <w:rPr>
          <w:rFonts w:ascii="黑体" w:eastAsia="黑体" w:hAnsi="黑体" w:hint="eastAsia"/>
          <w:sz w:val="28"/>
          <w:szCs w:val="28"/>
        </w:rPr>
        <w:t>模拟创业经历与企业雏形建设</w:t>
      </w:r>
    </w:p>
    <w:p w14:paraId="37DB03BF" w14:textId="77777777" w:rsidR="00F42BB4" w:rsidRDefault="00F42BB4">
      <w:pPr>
        <w:rPr>
          <w:rFonts w:ascii="宋体" w:eastAsia="宋体" w:hAnsi="宋体"/>
          <w:sz w:val="18"/>
          <w:szCs w:val="18"/>
        </w:rPr>
      </w:pPr>
    </w:p>
    <w:p w14:paraId="440E636D" w14:textId="77777777" w:rsidR="00F42BB4" w:rsidRDefault="0093439D">
      <w:pPr>
        <w:pStyle w:val="a5"/>
        <w:numPr>
          <w:ilvl w:val="0"/>
          <w:numId w:val="5"/>
        </w:numPr>
        <w:spacing w:line="320" w:lineRule="exact"/>
        <w:ind w:firstLineChars="0"/>
        <w:rPr>
          <w:rFonts w:ascii="宋体" w:eastAsia="宋体" w:hAnsi="宋体"/>
          <w:b/>
          <w:bCs/>
          <w:sz w:val="18"/>
          <w:szCs w:val="18"/>
        </w:rPr>
      </w:pPr>
      <w:r>
        <w:rPr>
          <w:rFonts w:ascii="宋体" w:eastAsia="宋体" w:hAnsi="宋体" w:hint="eastAsia"/>
          <w:b/>
          <w:bCs/>
          <w:sz w:val="18"/>
          <w:szCs w:val="18"/>
        </w:rPr>
        <w:t>企业定位与目标客户</w:t>
      </w:r>
    </w:p>
    <w:p w14:paraId="28D24A4A"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围绕水环境中新污染物纳克升级别痕量检测的实际需求，本课题形成了一套面向水体新污染物的高性能便携式光学检测方案：在保证检测灵敏度和特异性的前提下，显著降低了对大型实验平台的依赖，有利于在流域尺度开展高频次、网格化监测，为新污染物环境风险评估和管控提供更加可靠的数据支撑。拟开展的创业项目即以这一单一光学检测技术为核心，面向不同场景进行工程化集成和产业化应用开发。基于此，我们将拟成立的企业整体定位为水环境新污染物便携式检测解决方案提供商。企业并非单纯销售某一类仪器或试剂，而是围绕上述便携式光学检测技术，向不同类型</w:t>
      </w:r>
      <w:r>
        <w:rPr>
          <w:rFonts w:ascii="宋体" w:eastAsia="宋体" w:hAnsi="宋体"/>
          <w:sz w:val="18"/>
          <w:szCs w:val="18"/>
        </w:rPr>
        <w:t>的用户提供包括现场检测设备、配套耗材以及数据分析与报告在内的一体化服务，使用户能够在缺乏大型实验条件的情况下，仍然获得具有科研与监管价值的痕量检测数据。</w:t>
      </w:r>
    </w:p>
    <w:p w14:paraId="010B345A"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在目标客户方面，重点面向五类群体：</w:t>
      </w:r>
    </w:p>
    <w:p w14:paraId="7C024053"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一是政府及事业单位，包括地方生态环境部门、水务集团、自来水厂和污水处理厂等，它们需要在日常监测和突发事件应对中快速判断水质风险，并对重点新污染物给出权威的定量结果。同时也需要在国家和地方治理新污染物相关政策、标准体系逐步完善的过程中，探索更高频、更精细的监测手段。</w:t>
      </w:r>
    </w:p>
    <w:p w14:paraId="7ADBCA93"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二是第三方检测与环保技术服务机构，</w:t>
      </w:r>
      <w:r>
        <w:rPr>
          <w:rFonts w:ascii="宋体" w:eastAsia="宋体" w:hAnsi="宋体"/>
          <w:sz w:val="18"/>
          <w:szCs w:val="18"/>
        </w:rPr>
        <w:t>在承接政府或企业委托项</w:t>
      </w:r>
      <w:r>
        <w:rPr>
          <w:rFonts w:ascii="宋体" w:eastAsia="宋体" w:hAnsi="宋体"/>
          <w:sz w:val="18"/>
          <w:szCs w:val="18"/>
        </w:rPr>
        <w:t>目时，这类机构希望通过引入更高灵敏度、更高通量的新技术，提升自身在新污染物监测、流域评估、项目申报和整体技术服务中的竞争力。便携式光学检测系统在不依赖大型色</w:t>
      </w:r>
      <w:r>
        <w:rPr>
          <w:rFonts w:ascii="宋体" w:eastAsia="宋体" w:hAnsi="宋体"/>
          <w:sz w:val="18"/>
          <w:szCs w:val="18"/>
        </w:rPr>
        <w:lastRenderedPageBreak/>
        <w:t>谱</w:t>
      </w:r>
      <w:r>
        <w:rPr>
          <w:rFonts w:ascii="宋体" w:eastAsia="宋体" w:hAnsi="宋体"/>
          <w:sz w:val="18"/>
          <w:szCs w:val="18"/>
        </w:rPr>
        <w:t>–</w:t>
      </w:r>
      <w:r>
        <w:rPr>
          <w:rFonts w:ascii="宋体" w:eastAsia="宋体" w:hAnsi="宋体"/>
          <w:sz w:val="18"/>
          <w:szCs w:val="18"/>
        </w:rPr>
        <w:t>质谱平台的前提下，即可在现场或近现场提供纳克升级别的定量检测结果，有助于缩短项目周期、降低检测成本，并拓展服务场景</w:t>
      </w:r>
      <w:r>
        <w:rPr>
          <w:rFonts w:ascii="宋体" w:eastAsia="宋体" w:hAnsi="宋体" w:hint="eastAsia"/>
          <w:sz w:val="18"/>
          <w:szCs w:val="18"/>
        </w:rPr>
        <w:t>。</w:t>
      </w:r>
    </w:p>
    <w:p w14:paraId="2655AC37"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三是缉毒与相关执法部门，例如公安禁毒部门、海关缉私和边检等单位，在毒品制剂废水、可疑液体样品和环境中痕量毒品残留的快速筛查与确证检测方面，对便携、灵敏且可溯源的检测手段有迫切需求。便携式光学检测系统能够在现场快速发现可疑信号，对特定毒</w:t>
      </w:r>
      <w:r>
        <w:rPr>
          <w:rFonts w:ascii="宋体" w:eastAsia="宋体" w:hAnsi="宋体" w:hint="eastAsia"/>
          <w:sz w:val="18"/>
          <w:szCs w:val="18"/>
        </w:rPr>
        <w:t>品及相关代谢物进行痕量定量，有助于提高一线执法效率与证据链的可靠性。</w:t>
      </w:r>
    </w:p>
    <w:p w14:paraId="6E027F09"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四是高校与科研院所，</w:t>
      </w:r>
      <w:r>
        <w:rPr>
          <w:rFonts w:ascii="宋体" w:eastAsia="宋体" w:hAnsi="宋体"/>
          <w:sz w:val="18"/>
          <w:szCs w:val="18"/>
        </w:rPr>
        <w:t>尤其是开展污水流行病学</w:t>
      </w:r>
      <w:r>
        <w:rPr>
          <w:rFonts w:ascii="宋体" w:eastAsia="宋体" w:hAnsi="宋体" w:hint="eastAsia"/>
          <w:sz w:val="18"/>
          <w:szCs w:val="18"/>
        </w:rPr>
        <w:t>、新污染物赋存感知</w:t>
      </w:r>
      <w:r>
        <w:rPr>
          <w:rFonts w:ascii="宋体" w:eastAsia="宋体" w:hAnsi="宋体"/>
          <w:sz w:val="18"/>
          <w:szCs w:val="18"/>
        </w:rPr>
        <w:t>相关研究的团队，在病毒标志物、药物与代谢物、毒理相关新污染物的时空分布与暴露水平评估中，</w:t>
      </w:r>
      <w:r>
        <w:rPr>
          <w:rFonts w:ascii="宋体" w:eastAsia="宋体" w:hAnsi="宋体" w:hint="eastAsia"/>
          <w:sz w:val="18"/>
          <w:szCs w:val="18"/>
        </w:rPr>
        <w:t>这类团队需要既能够适应复杂水体，又具有足够灵敏度和一定连续监测能力的检测手段。在光学检测平台中集成量子点免疫芯片与信号放大模块，这套面向</w:t>
      </w:r>
      <w:r>
        <w:rPr>
          <w:rFonts w:ascii="宋体" w:eastAsia="宋体" w:hAnsi="宋体"/>
          <w:sz w:val="18"/>
          <w:szCs w:val="18"/>
        </w:rPr>
        <w:t>水体新污染物的高性能便携式光学检测方案</w:t>
      </w:r>
      <w:r>
        <w:rPr>
          <w:rFonts w:ascii="宋体" w:eastAsia="宋体" w:hAnsi="宋体" w:hint="eastAsia"/>
          <w:sz w:val="18"/>
          <w:szCs w:val="18"/>
        </w:rPr>
        <w:t>能够为这类研究提供兼顾现场应用与科研深度的技术支撑。</w:t>
      </w:r>
    </w:p>
    <w:p w14:paraId="349CE754"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五是面向个人与家庭用户的消费级健康与安全快检市场。</w:t>
      </w:r>
      <w:r>
        <w:rPr>
          <w:rFonts w:ascii="宋体" w:eastAsia="宋体" w:hAnsi="宋体"/>
          <w:sz w:val="18"/>
          <w:szCs w:val="18"/>
        </w:rPr>
        <w:t>在同一光学检测技</w:t>
      </w:r>
      <w:r>
        <w:rPr>
          <w:rFonts w:ascii="宋体" w:eastAsia="宋体" w:hAnsi="宋体"/>
          <w:sz w:val="18"/>
          <w:szCs w:val="18"/>
        </w:rPr>
        <w:t>术平台基础上，结合便携化硬件与数据算法，可进一步开发一系列针对具体场景的商业化快检产品</w:t>
      </w:r>
      <w:r>
        <w:rPr>
          <w:rFonts w:ascii="宋体" w:eastAsia="宋体" w:hAnsi="宋体" w:hint="eastAsia"/>
          <w:sz w:val="18"/>
          <w:szCs w:val="18"/>
        </w:rPr>
        <w:t>：</w:t>
      </w:r>
      <w:r>
        <w:rPr>
          <w:rFonts w:ascii="宋体" w:eastAsia="宋体" w:hAnsi="宋体" w:hint="eastAsia"/>
          <w:sz w:val="18"/>
          <w:szCs w:val="18"/>
        </w:rPr>
        <w:t xml:space="preserve"> </w:t>
      </w:r>
      <w:r>
        <w:rPr>
          <w:rFonts w:ascii="宋体" w:eastAsia="宋体" w:hAnsi="宋体"/>
          <w:sz w:val="18"/>
          <w:szCs w:val="18"/>
        </w:rPr>
        <w:t>如在环境领域聚焦抗生素筛查，打造可对标液相三重四极杆质谱、在成本仅为其约百分之一的前提下实现百倍以上检测通量或布点能力的便携设备；在食品安全领域开发面向家庭的塑化剂自检产品，帮助用户在消费端感知潜在风险；通过在这些细分场景中提供</w:t>
      </w:r>
      <w:r>
        <w:rPr>
          <w:rFonts w:ascii="宋体" w:eastAsia="宋体" w:hAnsi="宋体"/>
          <w:sz w:val="18"/>
          <w:szCs w:val="18"/>
        </w:rPr>
        <w:t>“</w:t>
      </w:r>
      <w:r>
        <w:rPr>
          <w:rFonts w:ascii="宋体" w:eastAsia="宋体" w:hAnsi="宋体"/>
          <w:sz w:val="18"/>
          <w:szCs w:val="18"/>
        </w:rPr>
        <w:t>针对某一类物质的便携、自助、可量化快检</w:t>
      </w:r>
      <w:r>
        <w:rPr>
          <w:rFonts w:ascii="宋体" w:eastAsia="宋体" w:hAnsi="宋体"/>
          <w:sz w:val="18"/>
          <w:szCs w:val="18"/>
        </w:rPr>
        <w:t>”</w:t>
      </w:r>
      <w:r>
        <w:rPr>
          <w:rFonts w:ascii="宋体" w:eastAsia="宋体" w:hAnsi="宋体"/>
          <w:sz w:val="18"/>
          <w:szCs w:val="18"/>
        </w:rPr>
        <w:t>产品，企业有望在保持技术平台统一性的前提下，实现从</w:t>
      </w:r>
      <w:r>
        <w:rPr>
          <w:rFonts w:ascii="宋体" w:eastAsia="宋体" w:hAnsi="宋体"/>
          <w:sz w:val="18"/>
          <w:szCs w:val="18"/>
        </w:rPr>
        <w:t xml:space="preserve"> B </w:t>
      </w:r>
      <w:r>
        <w:rPr>
          <w:rFonts w:ascii="宋体" w:eastAsia="宋体" w:hAnsi="宋体"/>
          <w:sz w:val="18"/>
          <w:szCs w:val="18"/>
        </w:rPr>
        <w:t>端到</w:t>
      </w:r>
      <w:r>
        <w:rPr>
          <w:rFonts w:ascii="宋体" w:eastAsia="宋体" w:hAnsi="宋体"/>
          <w:sz w:val="18"/>
          <w:szCs w:val="18"/>
        </w:rPr>
        <w:t xml:space="preserve"> C </w:t>
      </w:r>
      <w:r>
        <w:rPr>
          <w:rFonts w:ascii="宋体" w:eastAsia="宋体" w:hAnsi="宋体"/>
          <w:sz w:val="18"/>
          <w:szCs w:val="18"/>
        </w:rPr>
        <w:t>端的多层次应用布局，逐步构建涵盖环境、食品与健康领域的创新检测生态。</w:t>
      </w:r>
    </w:p>
    <w:p w14:paraId="088F4544"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在深化企业定位与</w:t>
      </w:r>
      <w:r>
        <w:rPr>
          <w:rFonts w:ascii="宋体" w:eastAsia="宋体" w:hAnsi="宋体" w:hint="eastAsia"/>
          <w:sz w:val="18"/>
          <w:szCs w:val="18"/>
        </w:rPr>
        <w:t>目标客户开发的过程中，项目负责人马泽炫围绕由王金鑫主导研发的微流控免疫芯片与便携式光学快速检测设备并行推进产业协同布局。基于该核心技术平台的应用延展性，王金鑫作为便携式光学检测样机核心开发人员开展多轮商务技术对接、合作模式设计与可落地场景评估，推动与多家具备产业化能力或市场资源优势的企业达成初步合作意向，共同推进便携式新污染物检测技术的产业化与规模化落地。</w:t>
      </w:r>
    </w:p>
    <w:p w14:paraId="4417228C" w14:textId="77777777" w:rsidR="00F42BB4" w:rsidRDefault="0093439D">
      <w:pPr>
        <w:spacing w:line="320" w:lineRule="exact"/>
        <w:ind w:firstLineChars="200" w:firstLine="361"/>
        <w:rPr>
          <w:rFonts w:ascii="宋体" w:eastAsia="宋体" w:hAnsi="宋体"/>
          <w:sz w:val="18"/>
          <w:szCs w:val="18"/>
        </w:rPr>
      </w:pPr>
      <w:r>
        <w:rPr>
          <w:rFonts w:ascii="宋体" w:eastAsia="宋体" w:hAnsi="宋体" w:hint="eastAsia"/>
          <w:b/>
          <w:bCs/>
          <w:sz w:val="18"/>
          <w:szCs w:val="18"/>
        </w:rPr>
        <w:t>与安利（中国）日用品有限公司</w:t>
      </w:r>
    </w:p>
    <w:p w14:paraId="38DDB10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在凌力教授提出“环境检测向家庭消费级健康安全领域外延”的技术潜力后，王金鑫促成与安利（中国）日用品有限公司达成初步合作意向</w:t>
      </w:r>
      <w:r>
        <w:rPr>
          <w:rFonts w:ascii="宋体" w:eastAsia="宋体" w:hAnsi="宋体" w:hint="eastAsia"/>
          <w:sz w:val="18"/>
          <w:szCs w:val="18"/>
        </w:rPr>
        <w:t>。合作将以其研发的便携痕量新污染物免疫快速筛查技术为核心，结合安利在消费级净水器领域的制造体系、营销网络与渠道渗透能力，共同研发面向家庭场景的安全水质筛查解决方案，有望使过去仅限专业检测机构的痕量污染物检测能力首次进入家庭和社区应用。</w:t>
      </w:r>
    </w:p>
    <w:p w14:paraId="72D88962" w14:textId="77777777" w:rsidR="00F42BB4" w:rsidRDefault="0093439D">
      <w:pPr>
        <w:spacing w:line="320" w:lineRule="exact"/>
        <w:ind w:firstLineChars="200" w:firstLine="361"/>
        <w:rPr>
          <w:rFonts w:ascii="宋体" w:eastAsia="宋体" w:hAnsi="宋体"/>
          <w:b/>
          <w:bCs/>
          <w:sz w:val="18"/>
          <w:szCs w:val="18"/>
        </w:rPr>
      </w:pPr>
      <w:r>
        <w:rPr>
          <w:rFonts w:ascii="宋体" w:eastAsia="宋体" w:hAnsi="宋体" w:hint="eastAsia"/>
          <w:b/>
          <w:bCs/>
          <w:sz w:val="18"/>
          <w:szCs w:val="18"/>
        </w:rPr>
        <w:t>与科德宝过滤技术集团</w:t>
      </w:r>
    </w:p>
    <w:p w14:paraId="7C5B965A"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基于凌力教授与王金鑫提出的便携痕量新污染物免疫快检技术，双方确认合作框架意向。依托便携检测技术与科德宝在工程级过滤系统上的规模化制造与应用经验，探索面向工业及城区水处理的</w:t>
      </w:r>
      <w:r>
        <w:rPr>
          <w:rFonts w:ascii="宋体" w:eastAsia="宋体" w:hAnsi="宋体" w:hint="eastAsia"/>
          <w:sz w:val="18"/>
          <w:szCs w:val="18"/>
        </w:rPr>
        <w:t xml:space="preserve"> </w:t>
      </w:r>
      <w:r>
        <w:rPr>
          <w:rFonts w:ascii="宋体" w:eastAsia="宋体" w:hAnsi="宋体" w:hint="eastAsia"/>
          <w:sz w:val="18"/>
          <w:szCs w:val="18"/>
        </w:rPr>
        <w:t>检测–反馈–过滤联动方案，实现从“发现问题”到“解决问题”的整体服务模式。</w:t>
      </w:r>
    </w:p>
    <w:p w14:paraId="163B61B0" w14:textId="77777777" w:rsidR="00F42BB4" w:rsidRDefault="0093439D">
      <w:pPr>
        <w:spacing w:line="320" w:lineRule="exact"/>
        <w:ind w:firstLineChars="200" w:firstLine="361"/>
        <w:rPr>
          <w:rFonts w:ascii="宋体" w:eastAsia="宋体" w:hAnsi="宋体"/>
          <w:b/>
          <w:bCs/>
          <w:sz w:val="18"/>
          <w:szCs w:val="18"/>
        </w:rPr>
      </w:pPr>
      <w:r>
        <w:rPr>
          <w:rFonts w:ascii="宋体" w:eastAsia="宋体" w:hAnsi="宋体" w:hint="eastAsia"/>
          <w:b/>
          <w:bCs/>
          <w:sz w:val="18"/>
          <w:szCs w:val="18"/>
        </w:rPr>
        <w:t>与深圳市中科先见医疗科技有限公司</w:t>
      </w:r>
    </w:p>
    <w:p w14:paraId="6C144CED"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凌力教授与王金鑫基于其技术平台的跨场景适配能力，提出将便携式光学检测样机与其成熟的</w:t>
      </w:r>
      <w:r>
        <w:rPr>
          <w:rFonts w:ascii="宋体" w:eastAsia="宋体" w:hAnsi="宋体" w:hint="eastAsia"/>
          <w:sz w:val="18"/>
          <w:szCs w:val="18"/>
        </w:rPr>
        <w:t xml:space="preserve"> IVD/POCT</w:t>
      </w:r>
      <w:r>
        <w:rPr>
          <w:rFonts w:ascii="宋体" w:eastAsia="宋体" w:hAnsi="宋体" w:hint="eastAsia"/>
          <w:sz w:val="18"/>
          <w:szCs w:val="18"/>
        </w:rPr>
        <w:t>平台融合</w:t>
      </w:r>
      <w:r>
        <w:rPr>
          <w:rFonts w:ascii="宋体" w:eastAsia="宋体" w:hAnsi="宋体" w:hint="eastAsia"/>
          <w:sz w:val="18"/>
          <w:szCs w:val="18"/>
        </w:rPr>
        <w:t xml:space="preserve"> </w:t>
      </w:r>
      <w:r>
        <w:rPr>
          <w:rFonts w:ascii="宋体" w:eastAsia="宋体" w:hAnsi="宋体" w:hint="eastAsia"/>
          <w:sz w:val="18"/>
          <w:szCs w:val="18"/>
        </w:rPr>
        <w:t>的合作模型，共同开发面向环境与公共卫生交叉领域的新型快速检测系统，推动环境检测“医疗化标准”与“</w:t>
      </w:r>
      <w:r>
        <w:rPr>
          <w:rFonts w:ascii="宋体" w:eastAsia="宋体" w:hAnsi="宋体" w:hint="eastAsia"/>
          <w:sz w:val="18"/>
          <w:szCs w:val="18"/>
        </w:rPr>
        <w:t>POCT</w:t>
      </w:r>
      <w:r>
        <w:rPr>
          <w:rFonts w:ascii="宋体" w:eastAsia="宋体" w:hAnsi="宋体" w:hint="eastAsia"/>
          <w:sz w:val="18"/>
          <w:szCs w:val="18"/>
        </w:rPr>
        <w:t>化便携化”的产业趋势落地。</w:t>
      </w:r>
    </w:p>
    <w:p w14:paraId="0767BE24" w14:textId="77777777" w:rsidR="00F42BB4" w:rsidRDefault="0093439D">
      <w:pPr>
        <w:spacing w:line="320" w:lineRule="exact"/>
        <w:ind w:firstLineChars="200" w:firstLine="361"/>
        <w:rPr>
          <w:rFonts w:ascii="宋体" w:eastAsia="宋体" w:hAnsi="宋体"/>
          <w:b/>
          <w:bCs/>
          <w:sz w:val="18"/>
          <w:szCs w:val="18"/>
        </w:rPr>
      </w:pPr>
      <w:r>
        <w:rPr>
          <w:rFonts w:ascii="宋体" w:eastAsia="宋体" w:hAnsi="宋体" w:hint="eastAsia"/>
          <w:b/>
          <w:bCs/>
          <w:sz w:val="18"/>
          <w:szCs w:val="18"/>
        </w:rPr>
        <w:t>与广州谱临晟科技有限公司</w:t>
      </w:r>
    </w:p>
    <w:p w14:paraId="5394537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在设备产业化路线制定上，王金鑫主导提出“光学结构优化</w:t>
      </w:r>
      <w:r>
        <w:rPr>
          <w:rFonts w:ascii="宋体" w:eastAsia="宋体" w:hAnsi="宋体" w:hint="eastAsia"/>
          <w:sz w:val="18"/>
          <w:szCs w:val="18"/>
        </w:rPr>
        <w:t xml:space="preserve"> + </w:t>
      </w:r>
      <w:r>
        <w:rPr>
          <w:rFonts w:ascii="宋体" w:eastAsia="宋体" w:hAnsi="宋体" w:hint="eastAsia"/>
          <w:sz w:val="18"/>
          <w:szCs w:val="18"/>
        </w:rPr>
        <w:t>工艺批量生产共研”策略，并确定双方的技术协作方向：由谱临晟提供光学仪器制造经验，与本项目的便携式光学快速检测设备深度集成，提升核心设备在稳定性、工业量产</w:t>
      </w:r>
      <w:r>
        <w:rPr>
          <w:rFonts w:ascii="宋体" w:eastAsia="宋体" w:hAnsi="宋体" w:hint="eastAsia"/>
          <w:sz w:val="18"/>
          <w:szCs w:val="18"/>
        </w:rPr>
        <w:t>可行性与市场适配度方面的表现，为后续规模推广奠定硬件与制造基础。</w:t>
      </w:r>
    </w:p>
    <w:p w14:paraId="41226B8B"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综上，上述合作均基于由王金鑫主导研发的免疫芯片技术与便携光学检测平台耦合本课题的光学机理仿真与信号处理算法，并由其亲自推动合作对接、应用场景落地策略与商业模式定调。上述合作伙伴在各自领域均具备显著的规模、品牌、技术或产业化经验，无论是医疗检测、净水器制造、过滤工程，还是光学仪器开发，与本项目的便携式水体新污染物检测技术形成良好的互补。通过这种跨行业、跨领域的协同，我们不仅可以加速技术从实验室走向市场、从单点示范走向规模应用，还能实现检测产品在</w:t>
      </w:r>
      <w:r>
        <w:rPr>
          <w:rFonts w:ascii="宋体" w:eastAsia="宋体" w:hAnsi="宋体" w:hint="eastAsia"/>
          <w:sz w:val="18"/>
          <w:szCs w:val="18"/>
        </w:rPr>
        <w:t>环境治理、公共卫生、消费安全与工程水处理领域的多维落地。本项目实现了从核心技术研发，到产业化路径构建，再到多市场落地模式设计的完整闭环，加速了技术从实验室走向市场应用的进程，为后续规模化推广奠定了坚实基础。</w:t>
      </w:r>
    </w:p>
    <w:p w14:paraId="3534B53D" w14:textId="77777777" w:rsidR="00F42BB4" w:rsidRDefault="00F42BB4">
      <w:pPr>
        <w:spacing w:line="320" w:lineRule="exact"/>
        <w:ind w:firstLineChars="100" w:firstLine="180"/>
        <w:rPr>
          <w:rFonts w:ascii="宋体" w:eastAsia="宋体" w:hAnsi="宋体"/>
          <w:sz w:val="18"/>
          <w:szCs w:val="18"/>
        </w:rPr>
      </w:pPr>
    </w:p>
    <w:p w14:paraId="1D6488DD" w14:textId="77777777" w:rsidR="00F42BB4" w:rsidRDefault="0093439D">
      <w:pPr>
        <w:pStyle w:val="a5"/>
        <w:numPr>
          <w:ilvl w:val="0"/>
          <w:numId w:val="5"/>
        </w:numPr>
        <w:spacing w:line="320" w:lineRule="exact"/>
        <w:ind w:firstLineChars="0"/>
        <w:rPr>
          <w:rFonts w:ascii="宋体" w:eastAsia="宋体" w:hAnsi="宋体"/>
          <w:b/>
          <w:bCs/>
          <w:sz w:val="18"/>
          <w:szCs w:val="18"/>
        </w:rPr>
      </w:pPr>
      <w:r>
        <w:rPr>
          <w:rFonts w:ascii="宋体" w:eastAsia="宋体" w:hAnsi="宋体" w:hint="eastAsia"/>
          <w:b/>
          <w:bCs/>
          <w:sz w:val="18"/>
          <w:szCs w:val="18"/>
        </w:rPr>
        <w:t>商业模式梳理</w:t>
      </w:r>
    </w:p>
    <w:p w14:paraId="1B33AD87"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lastRenderedPageBreak/>
        <w:t>围绕“水环境新污染物便携式检测解决方案提供商”这一定位，</w:t>
      </w:r>
      <w:r>
        <w:rPr>
          <w:rFonts w:ascii="宋体" w:eastAsia="宋体" w:hAnsi="宋体" w:hint="eastAsia"/>
          <w:sz w:val="18"/>
          <w:szCs w:val="18"/>
        </w:rPr>
        <w:t>王金鑫将便携式光学检测样机</w:t>
      </w:r>
      <w:r>
        <w:rPr>
          <w:rFonts w:ascii="宋体" w:eastAsia="宋体" w:hAnsi="宋体" w:hint="eastAsia"/>
          <w:sz w:val="18"/>
          <w:szCs w:val="18"/>
        </w:rPr>
        <w:t>的业务逻辑浓缩为三点：以便携式检测系统切入现场场景、以专用耗材形成持续收入、以技术服务和数据应用拓展价值。</w:t>
      </w:r>
    </w:p>
    <w:p w14:paraId="270ED91C"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首先，便携式光学检测主机是进入市场的核心载体。该设备集成光源、光学模块、探测器接口和基础软件，可在现场完成高灵敏度的新污染物检测。它是用户最直接接触的产品，也是后续服务与耗材依赖的基础。因此，设备销售的目标不是靠硬件盈利，而是通过树立技术门槛和推动现场应用来占领入口。与主机配套的专用耗材，是企业形成稳定现金流的重点。例如针对不同类别新污染物的光纤探测部件、功能化微流控芯片、免疫量子点试剂等。这些耗材随</w:t>
      </w:r>
      <w:r>
        <w:rPr>
          <w:rFonts w:ascii="宋体" w:eastAsia="宋体" w:hAnsi="宋体" w:hint="eastAsia"/>
          <w:sz w:val="18"/>
          <w:szCs w:val="18"/>
        </w:rPr>
        <w:t>着检测谱系拓展需要持续更新和采购，是保障用户检测能力的必需品，在使用频次增加后，其收入会逐渐超过硬件本身，成为商业模式的主要支撑。在硬件和耗材建立使用基础后，我们还将围绕政府监管、第三方检测机构和科研团队等用户提供技术和数据服务，包括检测方法建立与验证、结果解读报告、人员培训以及按项目付费的数据分析服务。随着现场检测数据积累，还将探索形成面向流域风险评估、城市水体健康分析等数据产品，用以服务更长期的治理与执法需求。</w:t>
      </w:r>
    </w:p>
    <w:p w14:paraId="1656A320"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基于初步的成本与价格测算，我们认为：便携式光学检测设备负责进入市场与建立壁垒，耗材承担持续收</w:t>
      </w:r>
      <w:r>
        <w:rPr>
          <w:rFonts w:ascii="宋体" w:eastAsia="宋体" w:hAnsi="宋体" w:hint="eastAsia"/>
          <w:sz w:val="18"/>
          <w:szCs w:val="18"/>
        </w:rPr>
        <w:t>入，而服务与数据决定盈利能力和长期竞争力。因此，在创业初期，项目负责人马泽炫</w:t>
      </w:r>
      <w:r>
        <w:rPr>
          <w:rFonts w:ascii="宋体" w:eastAsia="宋体" w:hAnsi="宋体" w:hint="eastAsia"/>
          <w:sz w:val="18"/>
          <w:szCs w:val="18"/>
        </w:rPr>
        <w:t>和</w:t>
      </w:r>
      <w:r>
        <w:rPr>
          <w:rFonts w:ascii="宋体" w:eastAsia="宋体" w:hAnsi="宋体" w:hint="eastAsia"/>
          <w:sz w:val="18"/>
          <w:szCs w:val="18"/>
        </w:rPr>
        <w:t>博士生王金鑫将在凌力教授的指导下将重点与高校、环保部门和特殊执法领域开展示范试用与联合实验，以低门槛合作推动设备部署，通过真实应用带动耗材使用和方法体系的共建。当示范点积累到一定规模后，</w:t>
      </w:r>
      <w:r>
        <w:rPr>
          <w:rFonts w:ascii="宋体" w:eastAsia="宋体" w:hAnsi="宋体" w:hint="eastAsia"/>
          <w:sz w:val="18"/>
          <w:szCs w:val="18"/>
        </w:rPr>
        <w:t>由王金鑫</w:t>
      </w:r>
      <w:r>
        <w:rPr>
          <w:rFonts w:ascii="宋体" w:eastAsia="宋体" w:hAnsi="宋体" w:hint="eastAsia"/>
          <w:sz w:val="18"/>
          <w:szCs w:val="18"/>
        </w:rPr>
        <w:t>再面向政府采购和第三方检测机构推广常规化方案，使系统逐步从“项目型试用”过渡到“例行检测工具”，在满足实际需求的同时，形成可持续的业务增长路径。</w:t>
      </w:r>
    </w:p>
    <w:p w14:paraId="16307847" w14:textId="77777777" w:rsidR="00F42BB4" w:rsidRDefault="00F42BB4">
      <w:pPr>
        <w:spacing w:line="320" w:lineRule="exact"/>
        <w:ind w:firstLineChars="100" w:firstLine="180"/>
        <w:rPr>
          <w:rFonts w:ascii="宋体" w:eastAsia="宋体" w:hAnsi="宋体"/>
          <w:sz w:val="18"/>
          <w:szCs w:val="18"/>
        </w:rPr>
      </w:pPr>
    </w:p>
    <w:p w14:paraId="21D32EC7" w14:textId="77777777" w:rsidR="00F42BB4" w:rsidRDefault="0093439D">
      <w:pPr>
        <w:pStyle w:val="a5"/>
        <w:numPr>
          <w:ilvl w:val="0"/>
          <w:numId w:val="5"/>
        </w:numPr>
        <w:spacing w:line="320" w:lineRule="exact"/>
        <w:ind w:firstLineChars="0"/>
        <w:rPr>
          <w:rFonts w:ascii="宋体" w:eastAsia="宋体" w:hAnsi="宋体"/>
          <w:b/>
          <w:bCs/>
          <w:sz w:val="18"/>
          <w:szCs w:val="18"/>
        </w:rPr>
      </w:pPr>
      <w:r>
        <w:rPr>
          <w:rFonts w:ascii="宋体" w:eastAsia="宋体" w:hAnsi="宋体" w:hint="eastAsia"/>
          <w:b/>
          <w:bCs/>
          <w:sz w:val="18"/>
          <w:szCs w:val="18"/>
        </w:rPr>
        <w:t>行业与竞品调研</w:t>
      </w:r>
    </w:p>
    <w:p w14:paraId="666E8EA9"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当前，无论是地方生态环境部门开展的例行监测，还是第三方检测机构受托开展的专项</w:t>
      </w:r>
      <w:r>
        <w:rPr>
          <w:rFonts w:ascii="宋体" w:eastAsia="宋体" w:hAnsi="宋体"/>
          <w:sz w:val="18"/>
          <w:szCs w:val="18"/>
        </w:rPr>
        <w:t>评估，普遍采用的路径都是：现场采样</w:t>
      </w:r>
      <w:r>
        <w:rPr>
          <w:rFonts w:ascii="宋体" w:eastAsia="宋体" w:hAnsi="宋体" w:hint="eastAsia"/>
          <w:sz w:val="18"/>
          <w:szCs w:val="18"/>
        </w:rPr>
        <w:t>-</w:t>
      </w:r>
      <w:r>
        <w:rPr>
          <w:rFonts w:ascii="宋体" w:eastAsia="宋体" w:hAnsi="宋体"/>
          <w:sz w:val="18"/>
          <w:szCs w:val="18"/>
        </w:rPr>
        <w:t>送回实验室</w:t>
      </w:r>
      <w:r>
        <w:rPr>
          <w:rFonts w:ascii="宋体" w:eastAsia="宋体" w:hAnsi="宋体" w:hint="eastAsia"/>
          <w:sz w:val="18"/>
          <w:szCs w:val="18"/>
        </w:rPr>
        <w:t>-</w:t>
      </w:r>
      <w:r>
        <w:rPr>
          <w:rFonts w:ascii="宋体" w:eastAsia="宋体" w:hAnsi="宋体"/>
          <w:sz w:val="18"/>
          <w:szCs w:val="18"/>
        </w:rPr>
        <w:t>前处理</w:t>
      </w:r>
      <w:r>
        <w:rPr>
          <w:rFonts w:ascii="宋体" w:eastAsia="宋体" w:hAnsi="宋体" w:hint="eastAsia"/>
          <w:sz w:val="18"/>
          <w:szCs w:val="18"/>
        </w:rPr>
        <w:t>-</w:t>
      </w:r>
      <w:r>
        <w:rPr>
          <w:rFonts w:ascii="宋体" w:eastAsia="宋体" w:hAnsi="宋体"/>
          <w:sz w:val="18"/>
          <w:szCs w:val="18"/>
        </w:rPr>
        <w:t>色谱质谱联用分析。色谱质谱在检出限和定性定量准确度方面已经非常成熟，是现阶段新污染物分析的</w:t>
      </w:r>
      <w:r>
        <w:rPr>
          <w:rFonts w:ascii="宋体" w:eastAsia="宋体" w:hAnsi="宋体" w:hint="eastAsia"/>
          <w:sz w:val="18"/>
          <w:szCs w:val="18"/>
        </w:rPr>
        <w:t>标准技术手段，</w:t>
      </w:r>
      <w:r>
        <w:rPr>
          <w:rFonts w:ascii="宋体" w:eastAsia="宋体" w:hAnsi="宋体"/>
          <w:sz w:val="18"/>
          <w:szCs w:val="18"/>
        </w:rPr>
        <w:t>但这套体系的共性特征也非常明显：仪器昂贵、运维复杂，对实验条件和人员要求高，单次分析从采样到出结果往往需要以</w:t>
      </w:r>
      <w:r>
        <w:rPr>
          <w:rFonts w:ascii="宋体" w:eastAsia="宋体" w:hAnsi="宋体"/>
          <w:sz w:val="18"/>
          <w:szCs w:val="18"/>
        </w:rPr>
        <w:t>“</w:t>
      </w:r>
      <w:r>
        <w:rPr>
          <w:rFonts w:ascii="宋体" w:eastAsia="宋体" w:hAnsi="宋体"/>
          <w:sz w:val="18"/>
          <w:szCs w:val="18"/>
        </w:rPr>
        <w:t>天</w:t>
      </w:r>
      <w:r>
        <w:rPr>
          <w:rFonts w:ascii="宋体" w:eastAsia="宋体" w:hAnsi="宋体"/>
          <w:sz w:val="18"/>
          <w:szCs w:val="18"/>
        </w:rPr>
        <w:t>”</w:t>
      </w:r>
      <w:r>
        <w:rPr>
          <w:rFonts w:ascii="宋体" w:eastAsia="宋体" w:hAnsi="宋体"/>
          <w:sz w:val="18"/>
          <w:szCs w:val="18"/>
        </w:rPr>
        <w:t>为单位来计时，很难做到高频率、大范围、实时性的监测。</w:t>
      </w:r>
    </w:p>
    <w:p w14:paraId="46392184"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在特定目标物检测方面，许多机构也会采用成熟的免疫分析方法，如</w:t>
      </w:r>
      <w:r>
        <w:rPr>
          <w:rFonts w:ascii="宋体" w:eastAsia="宋体" w:hAnsi="宋体" w:hint="eastAsia"/>
          <w:sz w:val="18"/>
          <w:szCs w:val="18"/>
        </w:rPr>
        <w:t>酶联免疫（</w:t>
      </w:r>
      <w:r>
        <w:rPr>
          <w:rFonts w:ascii="Times New Roman" w:eastAsia="宋体" w:hAnsi="Times New Roman" w:cs="Times New Roman"/>
          <w:sz w:val="18"/>
          <w:szCs w:val="18"/>
        </w:rPr>
        <w:t>ELISA</w:t>
      </w:r>
      <w:r>
        <w:rPr>
          <w:rFonts w:ascii="Times New Roman" w:eastAsia="宋体" w:hAnsi="Times New Roman" w:cs="Times New Roman" w:hint="eastAsia"/>
          <w:sz w:val="18"/>
          <w:szCs w:val="18"/>
        </w:rPr>
        <w:t>）</w:t>
      </w:r>
      <w:r>
        <w:rPr>
          <w:rFonts w:ascii="宋体" w:eastAsia="宋体" w:hAnsi="宋体"/>
          <w:sz w:val="18"/>
          <w:szCs w:val="18"/>
        </w:rPr>
        <w:t>试剂盒等，对某类农药、药物或毒理相关物质进行高灵敏度检测。这类方法对已经</w:t>
      </w:r>
      <w:r>
        <w:rPr>
          <w:rFonts w:ascii="宋体" w:eastAsia="宋体" w:hAnsi="宋体"/>
          <w:sz w:val="18"/>
          <w:szCs w:val="18"/>
        </w:rPr>
        <w:t>“</w:t>
      </w:r>
      <w:r>
        <w:rPr>
          <w:rFonts w:ascii="宋体" w:eastAsia="宋体" w:hAnsi="宋体"/>
          <w:sz w:val="18"/>
          <w:szCs w:val="18"/>
        </w:rPr>
        <w:t>被标准化</w:t>
      </w:r>
      <w:r>
        <w:rPr>
          <w:rFonts w:ascii="宋体" w:eastAsia="宋体" w:hAnsi="宋体"/>
          <w:sz w:val="18"/>
          <w:szCs w:val="18"/>
        </w:rPr>
        <w:t>”</w:t>
      </w:r>
      <w:r>
        <w:rPr>
          <w:rFonts w:ascii="宋体" w:eastAsia="宋体" w:hAnsi="宋体"/>
          <w:sz w:val="18"/>
          <w:szCs w:val="18"/>
        </w:rPr>
        <w:t>的目标物有不错的灵</w:t>
      </w:r>
      <w:r>
        <w:rPr>
          <w:rFonts w:ascii="宋体" w:eastAsia="宋体" w:hAnsi="宋体"/>
          <w:sz w:val="18"/>
          <w:szCs w:val="18"/>
        </w:rPr>
        <w:t>敏度和特异性，但每一种新污染物</w:t>
      </w:r>
      <w:r>
        <w:rPr>
          <w:rFonts w:ascii="宋体" w:eastAsia="宋体" w:hAnsi="宋体" w:hint="eastAsia"/>
          <w:sz w:val="18"/>
          <w:szCs w:val="18"/>
        </w:rPr>
        <w:t>对应的试剂盒存在成本高、</w:t>
      </w:r>
      <w:r>
        <w:rPr>
          <w:rFonts w:ascii="Times New Roman" w:eastAsia="宋体" w:hAnsi="Times New Roman" w:cs="Times New Roman"/>
          <w:sz w:val="18"/>
          <w:szCs w:val="18"/>
        </w:rPr>
        <w:t>ELISA</w:t>
      </w:r>
      <w:r>
        <w:rPr>
          <w:rFonts w:ascii="Times New Roman" w:eastAsia="宋体" w:hAnsi="Times New Roman" w:cs="Times New Roman" w:hint="eastAsia"/>
          <w:sz w:val="18"/>
          <w:szCs w:val="18"/>
        </w:rPr>
        <w:t>检测限无法触及真实场景浓度，难以满足水环境痕量新污染物检测的需求，</w:t>
      </w:r>
      <w:r>
        <w:rPr>
          <w:rFonts w:ascii="宋体" w:eastAsia="宋体" w:hAnsi="宋体" w:hint="eastAsia"/>
          <w:sz w:val="18"/>
          <w:szCs w:val="18"/>
        </w:rPr>
        <w:t>在现场监测的应用方面，</w:t>
      </w:r>
      <w:r>
        <w:rPr>
          <w:rFonts w:ascii="宋体" w:eastAsia="宋体" w:hAnsi="宋体"/>
          <w:sz w:val="18"/>
          <w:szCs w:val="18"/>
        </w:rPr>
        <w:t>一些科研团队和仪器企业也尝试用商用便携式拉曼设备在现场做快速筛查，但在复杂水样中，拉曼信号常常受到背景干扰、基线漂移和检</w:t>
      </w:r>
      <w:r>
        <w:rPr>
          <w:rFonts w:ascii="宋体" w:eastAsia="宋体" w:hAnsi="宋体" w:hint="eastAsia"/>
          <w:sz w:val="18"/>
          <w:szCs w:val="18"/>
        </w:rPr>
        <w:t>测</w:t>
      </w:r>
      <w:r>
        <w:rPr>
          <w:rFonts w:ascii="宋体" w:eastAsia="宋体" w:hAnsi="宋体"/>
          <w:sz w:val="18"/>
          <w:szCs w:val="18"/>
        </w:rPr>
        <w:t>限的限制，目前更多是作为辅助工具，而不是完整解决方案。</w:t>
      </w:r>
    </w:p>
    <w:p w14:paraId="668571B0"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在需求侧方面，环</w:t>
      </w:r>
      <w:r>
        <w:rPr>
          <w:rFonts w:ascii="宋体" w:eastAsia="宋体" w:hAnsi="宋体"/>
          <w:sz w:val="18"/>
          <w:szCs w:val="18"/>
        </w:rPr>
        <w:t>保、水务、第三方检测机构、高校和科研院所之间，对检测技术的期待既有共性也有差异。环保和水务部门更关心的是在有限预算下，能否把监测频率做上去，尽早发现异常水体，同时又要</w:t>
      </w:r>
      <w:r>
        <w:rPr>
          <w:rFonts w:ascii="宋体" w:eastAsia="宋体" w:hAnsi="宋体"/>
          <w:sz w:val="18"/>
          <w:szCs w:val="18"/>
        </w:rPr>
        <w:t>保证关键数据具有足够的权威性和可追溯性；第三方检测机构则需要在保证符合监管要求和项目标准的前提下，提高检测通量和响应速度，以增强自身竞争力；科研团队，尤其是从事污水流行病学和新污染物行为研究的课题组，则希望在空间和时间上</w:t>
      </w:r>
      <w:r>
        <w:rPr>
          <w:rFonts w:ascii="宋体" w:eastAsia="宋体" w:hAnsi="宋体" w:hint="eastAsia"/>
          <w:sz w:val="18"/>
          <w:szCs w:val="18"/>
        </w:rPr>
        <w:t>获得更精细的监测能力</w:t>
      </w:r>
      <w:r>
        <w:rPr>
          <w:rFonts w:ascii="宋体" w:eastAsia="宋体" w:hAnsi="宋体"/>
          <w:sz w:val="18"/>
          <w:szCs w:val="18"/>
        </w:rPr>
        <w:t>，但往往受限于传统色谱</w:t>
      </w:r>
      <w:r>
        <w:rPr>
          <w:rFonts w:ascii="宋体" w:eastAsia="宋体" w:hAnsi="宋体"/>
          <w:sz w:val="18"/>
          <w:szCs w:val="18"/>
        </w:rPr>
        <w:t>-</w:t>
      </w:r>
      <w:r>
        <w:rPr>
          <w:rFonts w:ascii="宋体" w:eastAsia="宋体" w:hAnsi="宋体"/>
          <w:sz w:val="18"/>
          <w:szCs w:val="18"/>
        </w:rPr>
        <w:t>质谱耗时、耗力和成本较高，很难支持大规模、高频率的研究设计。缉毒与边境执法部门则有更极端的场景：需要在条件有限、环境复杂的现场，对可疑液体或废水做出快速判断，同时又希望在关键情况下能给出足够灵敏、可用于证据链的定量结果。</w:t>
      </w:r>
    </w:p>
    <w:p w14:paraId="7A1ED438"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在这样的行业格局下，大型仪器厂商和国际品牌凭借成熟的色谱</w:t>
      </w:r>
      <w:r>
        <w:rPr>
          <w:rFonts w:ascii="宋体" w:eastAsia="宋体" w:hAnsi="宋体"/>
          <w:sz w:val="18"/>
          <w:szCs w:val="18"/>
        </w:rPr>
        <w:t>–</w:t>
      </w:r>
      <w:r>
        <w:rPr>
          <w:rFonts w:ascii="宋体" w:eastAsia="宋体" w:hAnsi="宋体"/>
          <w:sz w:val="18"/>
          <w:szCs w:val="18"/>
        </w:rPr>
        <w:t>质谱平台和标准化免疫试剂，在招投标、标准制定和高端实验室市场中占据了主导地位，新进入者短期内很难在替代现有体系这个方向上取得突破。</w:t>
      </w:r>
      <w:r>
        <w:rPr>
          <w:rFonts w:ascii="宋体" w:eastAsia="宋体" w:hAnsi="宋体" w:hint="eastAsia"/>
          <w:sz w:val="18"/>
          <w:szCs w:val="18"/>
        </w:rPr>
        <w:t>所以</w:t>
      </w:r>
      <w:r>
        <w:rPr>
          <w:rFonts w:ascii="宋体" w:eastAsia="宋体" w:hAnsi="宋体"/>
          <w:sz w:val="18"/>
          <w:szCs w:val="18"/>
        </w:rPr>
        <w:t>与其试图在</w:t>
      </w:r>
      <w:r>
        <w:rPr>
          <w:rFonts w:ascii="宋体" w:eastAsia="宋体" w:hAnsi="宋体" w:hint="eastAsia"/>
          <w:sz w:val="18"/>
          <w:szCs w:val="18"/>
        </w:rPr>
        <w:t>现有</w:t>
      </w:r>
      <w:r>
        <w:rPr>
          <w:rFonts w:ascii="宋体" w:eastAsia="宋体" w:hAnsi="宋体"/>
          <w:sz w:val="18"/>
          <w:szCs w:val="18"/>
        </w:rPr>
        <w:t>标准所在的环节与既有技术正面竞争，不如把重点放在它们尚未覆盖、但用户又确实存在需求的空白地带</w:t>
      </w:r>
      <w:r>
        <w:rPr>
          <w:rFonts w:ascii="宋体" w:eastAsia="宋体" w:hAnsi="宋体" w:hint="eastAsia"/>
          <w:sz w:val="18"/>
          <w:szCs w:val="18"/>
        </w:rPr>
        <w:t>，</w:t>
      </w:r>
      <w:r>
        <w:rPr>
          <w:rFonts w:ascii="宋体" w:eastAsia="宋体" w:hAnsi="宋体"/>
          <w:sz w:val="18"/>
          <w:szCs w:val="18"/>
        </w:rPr>
        <w:t>就是在现有</w:t>
      </w:r>
      <w:r>
        <w:rPr>
          <w:rFonts w:ascii="宋体" w:eastAsia="宋体" w:hAnsi="宋体"/>
          <w:sz w:val="18"/>
          <w:szCs w:val="18"/>
        </w:rPr>
        <w:t>“</w:t>
      </w:r>
      <w:r>
        <w:rPr>
          <w:rFonts w:ascii="宋体" w:eastAsia="宋体" w:hAnsi="宋体"/>
          <w:sz w:val="18"/>
          <w:szCs w:val="18"/>
        </w:rPr>
        <w:t>采样</w:t>
      </w:r>
      <w:r>
        <w:rPr>
          <w:rFonts w:ascii="宋体" w:eastAsia="宋体" w:hAnsi="宋体" w:hint="eastAsia"/>
          <w:sz w:val="18"/>
          <w:szCs w:val="18"/>
        </w:rPr>
        <w:t>-</w:t>
      </w:r>
      <w:r>
        <w:rPr>
          <w:rFonts w:ascii="宋体" w:eastAsia="宋体" w:hAnsi="宋体"/>
          <w:sz w:val="18"/>
          <w:szCs w:val="18"/>
        </w:rPr>
        <w:t>实验室分析</w:t>
      </w:r>
      <w:r>
        <w:rPr>
          <w:rFonts w:ascii="宋体" w:eastAsia="宋体" w:hAnsi="宋体"/>
          <w:sz w:val="18"/>
          <w:szCs w:val="18"/>
        </w:rPr>
        <w:t>”</w:t>
      </w:r>
      <w:r>
        <w:rPr>
          <w:rFonts w:ascii="宋体" w:eastAsia="宋体" w:hAnsi="宋体"/>
          <w:sz w:val="18"/>
          <w:szCs w:val="18"/>
        </w:rPr>
        <w:t>的链条前端，增加一层可在现场</w:t>
      </w:r>
      <w:r>
        <w:rPr>
          <w:rFonts w:ascii="宋体" w:eastAsia="宋体" w:hAnsi="宋体" w:hint="eastAsia"/>
          <w:sz w:val="18"/>
          <w:szCs w:val="18"/>
        </w:rPr>
        <w:t>部署</w:t>
      </w:r>
      <w:r>
        <w:rPr>
          <w:rFonts w:ascii="宋体" w:eastAsia="宋体" w:hAnsi="宋体"/>
          <w:sz w:val="18"/>
          <w:szCs w:val="18"/>
        </w:rPr>
        <w:t>的</w:t>
      </w:r>
      <w:r>
        <w:rPr>
          <w:rFonts w:ascii="宋体" w:eastAsia="宋体" w:hAnsi="宋体" w:hint="eastAsia"/>
          <w:sz w:val="18"/>
          <w:szCs w:val="18"/>
        </w:rPr>
        <w:t>便携式检测系统。</w:t>
      </w:r>
    </w:p>
    <w:p w14:paraId="6C193B67"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本课题形成的便携式光学检测方案正是瞄准这一前端环节，将对复杂水体的现场快速检测能力与对重点指标的痕量定量能力集于一体，在采样点附近</w:t>
      </w:r>
      <w:r>
        <w:rPr>
          <w:rFonts w:ascii="宋体" w:eastAsia="宋体" w:hAnsi="宋体"/>
          <w:sz w:val="18"/>
          <w:szCs w:val="18"/>
        </w:rPr>
        <w:t>即可完成初步风险识别和关键数据获取：一方面，通过现场部署和多点布设显著提高了监测的时间精细度和响应速度，使监管部门、检测机构和科研团队能够</w:t>
      </w:r>
      <w:r>
        <w:rPr>
          <w:rFonts w:ascii="宋体" w:eastAsia="宋体" w:hAnsi="宋体"/>
          <w:sz w:val="18"/>
          <w:szCs w:val="18"/>
        </w:rPr>
        <w:t>“</w:t>
      </w:r>
      <w:r>
        <w:rPr>
          <w:rFonts w:ascii="宋体" w:eastAsia="宋体" w:hAnsi="宋体"/>
          <w:sz w:val="18"/>
          <w:szCs w:val="18"/>
        </w:rPr>
        <w:t>更早、更频繁、更贴近现场</w:t>
      </w:r>
      <w:r>
        <w:rPr>
          <w:rFonts w:ascii="宋体" w:eastAsia="宋体" w:hAnsi="宋体"/>
          <w:sz w:val="18"/>
          <w:szCs w:val="18"/>
        </w:rPr>
        <w:t>”</w:t>
      </w:r>
      <w:r>
        <w:rPr>
          <w:rFonts w:ascii="宋体" w:eastAsia="宋体" w:hAnsi="宋体"/>
          <w:sz w:val="18"/>
          <w:szCs w:val="18"/>
        </w:rPr>
        <w:t>地捕捉风险信号；另一方面，又保留了与后端色谱</w:t>
      </w:r>
      <w:r>
        <w:rPr>
          <w:rFonts w:ascii="宋体" w:eastAsia="宋体" w:hAnsi="宋体"/>
          <w:sz w:val="18"/>
          <w:szCs w:val="18"/>
        </w:rPr>
        <w:t>–</w:t>
      </w:r>
      <w:r>
        <w:rPr>
          <w:rFonts w:ascii="宋体" w:eastAsia="宋体" w:hAnsi="宋体"/>
          <w:sz w:val="18"/>
          <w:szCs w:val="18"/>
        </w:rPr>
        <w:t>质谱等标准方法的良好兼容性，可通过少量样本的实验室复测完成结果确认与扩展分析。相较于仅依赖大型实验室仪器的传统模式，这种在前端引入便携式光学检测系统、与现有标准体系形成分工协作的新路径，在成本投入、布点灵活性以及对复杂场景下新污染物监测需求的适应性等方面，展现出更突出的综合优势。</w:t>
      </w:r>
    </w:p>
    <w:p w14:paraId="3222D81D" w14:textId="77777777" w:rsidR="00F42BB4" w:rsidRDefault="00F42BB4">
      <w:pPr>
        <w:rPr>
          <w:rFonts w:ascii="宋体" w:eastAsia="宋体" w:hAnsi="宋体"/>
          <w:sz w:val="18"/>
          <w:szCs w:val="18"/>
        </w:rPr>
      </w:pPr>
    </w:p>
    <w:p w14:paraId="6E3A8085" w14:textId="77777777" w:rsidR="00F42BB4" w:rsidRDefault="0093439D">
      <w:pPr>
        <w:pStyle w:val="a5"/>
        <w:numPr>
          <w:ilvl w:val="0"/>
          <w:numId w:val="4"/>
        </w:numPr>
        <w:ind w:firstLineChars="0"/>
        <w:jc w:val="center"/>
        <w:rPr>
          <w:rFonts w:ascii="黑体" w:eastAsia="黑体" w:hAnsi="黑体"/>
          <w:sz w:val="28"/>
          <w:szCs w:val="28"/>
        </w:rPr>
      </w:pPr>
      <w:r>
        <w:rPr>
          <w:rFonts w:ascii="黑体" w:eastAsia="黑体" w:hAnsi="黑体" w:hint="eastAsia"/>
          <w:sz w:val="28"/>
          <w:szCs w:val="28"/>
        </w:rPr>
        <w:t>阶段进展</w:t>
      </w:r>
    </w:p>
    <w:p w14:paraId="710FA66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lastRenderedPageBreak/>
        <w:t>截止目</w:t>
      </w:r>
      <w:r>
        <w:rPr>
          <w:rFonts w:ascii="宋体" w:eastAsia="宋体" w:hAnsi="宋体" w:hint="eastAsia"/>
          <w:sz w:val="18"/>
          <w:szCs w:val="18"/>
        </w:rPr>
        <w:t>前，本课题组始终围绕“</w:t>
      </w:r>
      <w:r>
        <w:rPr>
          <w:rFonts w:ascii="宋体" w:eastAsia="宋体" w:hAnsi="宋体"/>
          <w:sz w:val="18"/>
          <w:szCs w:val="18"/>
        </w:rPr>
        <w:t>面向水体新污染物的高性能便携式光学检测方案</w:t>
      </w:r>
      <w:r>
        <w:rPr>
          <w:rFonts w:ascii="宋体" w:eastAsia="宋体" w:hAnsi="宋体"/>
          <w:sz w:val="18"/>
          <w:szCs w:val="18"/>
        </w:rPr>
        <w:t>”</w:t>
      </w:r>
      <w:r>
        <w:rPr>
          <w:rFonts w:ascii="宋体" w:eastAsia="宋体" w:hAnsi="宋体"/>
          <w:sz w:val="18"/>
          <w:szCs w:val="18"/>
        </w:rPr>
        <w:t>这一主线</w:t>
      </w:r>
      <w:r>
        <w:rPr>
          <w:rFonts w:ascii="宋体" w:eastAsia="宋体" w:hAnsi="宋体" w:hint="eastAsia"/>
          <w:sz w:val="18"/>
          <w:szCs w:val="18"/>
        </w:rPr>
        <w:t>，从光学机理仿真、关键机制探索、信号处理算法开发到样机搭建和痕量检测验证，已经完成了从理论分析到实验验证的多轮闭环，取得了较为扎实的阶段性进展。</w:t>
      </w:r>
    </w:p>
    <w:p w14:paraId="083E377A" w14:textId="77777777" w:rsidR="00F42BB4" w:rsidRDefault="00F42BB4">
      <w:pPr>
        <w:spacing w:line="320" w:lineRule="exact"/>
        <w:rPr>
          <w:rFonts w:ascii="宋体" w:eastAsia="宋体" w:hAnsi="宋体"/>
          <w:sz w:val="18"/>
          <w:szCs w:val="18"/>
        </w:rPr>
      </w:pPr>
    </w:p>
    <w:p w14:paraId="28DA6691" w14:textId="77777777" w:rsidR="00F42BB4" w:rsidRDefault="0093439D">
      <w:pPr>
        <w:pStyle w:val="a5"/>
        <w:numPr>
          <w:ilvl w:val="0"/>
          <w:numId w:val="6"/>
        </w:numPr>
        <w:spacing w:line="320" w:lineRule="exact"/>
        <w:ind w:firstLineChars="0"/>
        <w:rPr>
          <w:rFonts w:ascii="宋体" w:eastAsia="宋体" w:hAnsi="宋体"/>
          <w:b/>
          <w:bCs/>
          <w:sz w:val="18"/>
          <w:szCs w:val="18"/>
        </w:rPr>
      </w:pPr>
      <w:r>
        <w:rPr>
          <w:rFonts w:ascii="宋体" w:eastAsia="宋体" w:hAnsi="宋体" w:hint="eastAsia"/>
          <w:b/>
          <w:bCs/>
          <w:sz w:val="18"/>
          <w:szCs w:val="18"/>
        </w:rPr>
        <w:t>光学机理与</w:t>
      </w:r>
      <w:r>
        <w:rPr>
          <w:rFonts w:ascii="Times New Roman" w:eastAsia="宋体" w:hAnsi="Times New Roman" w:cs="Times New Roman"/>
          <w:b/>
          <w:bCs/>
          <w:sz w:val="18"/>
          <w:szCs w:val="18"/>
        </w:rPr>
        <w:t>COMSOL</w:t>
      </w:r>
      <w:r>
        <w:rPr>
          <w:rFonts w:ascii="宋体" w:eastAsia="宋体" w:hAnsi="宋体" w:hint="eastAsia"/>
          <w:b/>
          <w:bCs/>
          <w:sz w:val="18"/>
          <w:szCs w:val="18"/>
        </w:rPr>
        <w:t>数值仿真</w:t>
      </w:r>
    </w:p>
    <w:p w14:paraId="4DC7B991"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在光学机理方面，课题组围绕检测体系中激发光与样品、量子点探针之间的相互作用，基于</w:t>
      </w:r>
      <w:r>
        <w:rPr>
          <w:rFonts w:ascii="Times New Roman" w:eastAsia="宋体" w:hAnsi="Times New Roman" w:cs="Times New Roman"/>
          <w:sz w:val="18"/>
          <w:szCs w:val="18"/>
        </w:rPr>
        <w:t>COMSOL</w:t>
      </w:r>
      <w:r>
        <w:rPr>
          <w:rFonts w:ascii="宋体" w:eastAsia="宋体" w:hAnsi="宋体" w:hint="eastAsia"/>
          <w:sz w:val="18"/>
          <w:szCs w:val="18"/>
        </w:rPr>
        <w:t>搭建了多种光学模型，对关键影响因素开展了系统仿真研究，主要包括光纤倏逝波与镀层结构的耦合行为，以及检测界面附近的量子点的局部光场分布及其对荧光信号采集效率的影响。前者</w:t>
      </w:r>
      <w:r>
        <w:rPr>
          <w:rFonts w:ascii="宋体" w:eastAsia="宋体" w:hAnsi="宋体" w:hint="eastAsia"/>
          <w:sz w:val="18"/>
          <w:szCs w:val="18"/>
        </w:rPr>
        <w:t>用于验证先前模型的准确性同时探索更优的镀层结构，</w:t>
      </w:r>
      <w:r>
        <w:rPr>
          <w:rFonts w:ascii="宋体" w:eastAsia="宋体" w:hAnsi="宋体"/>
          <w:sz w:val="18"/>
          <w:szCs w:val="18"/>
        </w:rPr>
        <w:t>后者则从微观层面刻画量子点的激发与发射过程，量化满足检测需求所需的荧光信号强度。</w:t>
      </w:r>
    </w:p>
    <w:p w14:paraId="63A9F33D" w14:textId="77777777" w:rsidR="00F42BB4" w:rsidRDefault="0093439D">
      <w:pPr>
        <w:pStyle w:val="a5"/>
        <w:numPr>
          <w:ilvl w:val="0"/>
          <w:numId w:val="7"/>
        </w:numPr>
        <w:spacing w:line="320" w:lineRule="exact"/>
        <w:ind w:firstLineChars="0"/>
        <w:rPr>
          <w:rFonts w:ascii="宋体" w:eastAsia="宋体" w:hAnsi="宋体"/>
          <w:sz w:val="18"/>
          <w:szCs w:val="18"/>
        </w:rPr>
      </w:pPr>
      <w:r>
        <w:rPr>
          <w:rFonts w:ascii="宋体" w:eastAsia="宋体" w:hAnsi="宋体" w:hint="eastAsia"/>
          <w:sz w:val="18"/>
          <w:szCs w:val="18"/>
        </w:rPr>
        <w:t>光纤倏逝波与镀层结构的相互作用</w:t>
      </w:r>
    </w:p>
    <w:p w14:paraId="3F442B1C"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首先，构建了针对光纤中倏逝波分布及其外部镀层相互作用的二维模型，系统考察了不同镀层结构</w:t>
      </w:r>
      <w:r>
        <w:rPr>
          <w:rFonts w:ascii="宋体" w:eastAsia="宋体" w:hAnsi="宋体" w:hint="eastAsia"/>
          <w:sz w:val="18"/>
          <w:szCs w:val="18"/>
        </w:rPr>
        <w:t>，</w:t>
      </w:r>
      <w:r>
        <w:rPr>
          <w:rFonts w:ascii="宋体" w:eastAsia="宋体" w:hAnsi="宋体"/>
          <w:sz w:val="18"/>
          <w:szCs w:val="18"/>
        </w:rPr>
        <w:t>包括外部介质折射率、镀层厚度与折射率、光纤材料及其几何参数等对光场传输特性和能量损耗的影响。仿真重点分析了倏逝场与镀层的相互作用：在不同镀层结构参数下，考察倏逝场在纤芯</w:t>
      </w:r>
      <w:r>
        <w:rPr>
          <w:rFonts w:ascii="宋体" w:eastAsia="宋体" w:hAnsi="宋体"/>
          <w:sz w:val="18"/>
          <w:szCs w:val="18"/>
        </w:rPr>
        <w:t>–</w:t>
      </w:r>
      <w:r>
        <w:rPr>
          <w:rFonts w:ascii="宋体" w:eastAsia="宋体" w:hAnsi="宋体"/>
          <w:sz w:val="18"/>
          <w:szCs w:val="18"/>
        </w:rPr>
        <w:t>镀层界面以及外表面的光场分布情况、穿透深度、能量密度以及沿传播方向的衰减特征。</w:t>
      </w:r>
    </w:p>
    <w:p w14:paraId="08A12EC0"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通过对比多组</w:t>
      </w:r>
      <w:r>
        <w:rPr>
          <w:rFonts w:ascii="宋体" w:eastAsia="宋体" w:hAnsi="宋体"/>
          <w:sz w:val="18"/>
          <w:szCs w:val="18"/>
        </w:rPr>
        <w:t>参数组合，仿真结果表明：一方面，当前课题组采用的镀层结构在传输损耗与倏逝场强度之间确实处于相对合理的折中区间，从数值上进一步验证了先前模型的准确性和可行性；另一方面，不同镀层厚度和折射率组合在增强敏感区域光场强度、降低不必要吸收和散射损耗方面存在显著差异，仿真给出了若干</w:t>
      </w:r>
      <w:r>
        <w:rPr>
          <w:rFonts w:ascii="宋体" w:eastAsia="宋体" w:hAnsi="宋体"/>
          <w:sz w:val="18"/>
          <w:szCs w:val="18"/>
        </w:rPr>
        <w:t>“</w:t>
      </w:r>
      <w:r>
        <w:rPr>
          <w:rFonts w:ascii="宋体" w:eastAsia="宋体" w:hAnsi="宋体"/>
          <w:sz w:val="18"/>
          <w:szCs w:val="18"/>
        </w:rPr>
        <w:t>高灵敏度</w:t>
      </w:r>
      <w:r>
        <w:rPr>
          <w:rFonts w:ascii="宋体" w:eastAsia="宋体" w:hAnsi="宋体"/>
          <w:sz w:val="18"/>
          <w:szCs w:val="18"/>
        </w:rPr>
        <w:t>–</w:t>
      </w:r>
      <w:r>
        <w:rPr>
          <w:rFonts w:ascii="宋体" w:eastAsia="宋体" w:hAnsi="宋体"/>
          <w:sz w:val="18"/>
          <w:szCs w:val="18"/>
        </w:rPr>
        <w:t>低损耗</w:t>
      </w:r>
      <w:r>
        <w:rPr>
          <w:rFonts w:ascii="宋体" w:eastAsia="宋体" w:hAnsi="宋体"/>
          <w:sz w:val="18"/>
          <w:szCs w:val="18"/>
        </w:rPr>
        <w:t>”</w:t>
      </w:r>
      <w:r>
        <w:rPr>
          <w:rFonts w:ascii="宋体" w:eastAsia="宋体" w:hAnsi="宋体"/>
          <w:sz w:val="18"/>
          <w:szCs w:val="18"/>
        </w:rPr>
        <w:t>兼顾较好的参数窗口。上述结果为下一阶段光纤类型、镀层材料及其结构参数的实际选型提供了定量参考，有助于在后续样机优化中有针对性地提升光场</w:t>
      </w:r>
      <w:r>
        <w:rPr>
          <w:rFonts w:ascii="宋体" w:eastAsia="宋体" w:hAnsi="宋体"/>
          <w:sz w:val="18"/>
          <w:szCs w:val="18"/>
        </w:rPr>
        <w:t>–</w:t>
      </w:r>
      <w:r>
        <w:rPr>
          <w:rFonts w:ascii="宋体" w:eastAsia="宋体" w:hAnsi="宋体"/>
          <w:sz w:val="18"/>
          <w:szCs w:val="18"/>
        </w:rPr>
        <w:t>待测体系的耦合效率。</w:t>
      </w:r>
    </w:p>
    <w:p w14:paraId="7996DD71"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在此基础上，</w:t>
      </w:r>
      <w:r>
        <w:rPr>
          <w:rFonts w:ascii="宋体" w:eastAsia="宋体" w:hAnsi="宋体"/>
          <w:sz w:val="18"/>
          <w:szCs w:val="18"/>
        </w:rPr>
        <w:t>本课题组开展的光学仿真与数值分析进一步应用于题</w:t>
      </w:r>
      <w:r>
        <w:rPr>
          <w:rFonts w:ascii="宋体" w:eastAsia="宋体" w:hAnsi="宋体" w:hint="eastAsia"/>
          <w:sz w:val="18"/>
          <w:szCs w:val="18"/>
        </w:rPr>
        <w:t>为</w:t>
      </w:r>
      <w:r>
        <w:rPr>
          <w:rFonts w:ascii="Times New Roman" w:eastAsia="宋体" w:hAnsi="Times New Roman" w:cs="Times New Roman"/>
          <w:i/>
          <w:iCs/>
          <w:sz w:val="18"/>
          <w:szCs w:val="18"/>
        </w:rPr>
        <w:t>Fa</w:t>
      </w:r>
      <w:r>
        <w:rPr>
          <w:rFonts w:ascii="Times New Roman" w:eastAsia="宋体" w:hAnsi="Times New Roman" w:cs="Times New Roman"/>
          <w:i/>
          <w:iCs/>
          <w:sz w:val="18"/>
          <w:szCs w:val="18"/>
        </w:rPr>
        <w:t xml:space="preserve">cile-engineered </w:t>
      </w:r>
      <w:proofErr w:type="spellStart"/>
      <w:r>
        <w:rPr>
          <w:rFonts w:ascii="Times New Roman" w:eastAsia="宋体" w:hAnsi="Times New Roman" w:cs="Times New Roman"/>
          <w:i/>
          <w:iCs/>
          <w:sz w:val="18"/>
          <w:szCs w:val="18"/>
        </w:rPr>
        <w:t>Metasurfaces</w:t>
      </w:r>
      <w:proofErr w:type="spellEnd"/>
      <w:r>
        <w:rPr>
          <w:rFonts w:ascii="Times New Roman" w:eastAsia="宋体" w:hAnsi="Times New Roman" w:cs="Times New Roman"/>
          <w:i/>
          <w:iCs/>
          <w:sz w:val="18"/>
          <w:szCs w:val="18"/>
        </w:rPr>
        <w:t xml:space="preserve"> Modulate Evanescent Wave Dynamics in Near-fields of Optical Fibers for Tackling Sustainability Challenges</w:t>
      </w:r>
      <w:r>
        <w:rPr>
          <w:rFonts w:ascii="宋体" w:eastAsia="宋体" w:hAnsi="宋体" w:hint="eastAsia"/>
          <w:sz w:val="18"/>
          <w:szCs w:val="18"/>
        </w:rPr>
        <w:t>的</w:t>
      </w:r>
      <w:r>
        <w:rPr>
          <w:rFonts w:ascii="宋体" w:eastAsia="宋体" w:hAnsi="宋体"/>
          <w:sz w:val="18"/>
          <w:szCs w:val="18"/>
        </w:rPr>
        <w:t>的合作研究中</w:t>
      </w:r>
      <w:r>
        <w:rPr>
          <w:rFonts w:ascii="宋体" w:eastAsia="宋体" w:hAnsi="宋体" w:hint="eastAsia"/>
          <w:sz w:val="18"/>
          <w:szCs w:val="18"/>
        </w:rPr>
        <w:t>。</w:t>
      </w:r>
      <w:r>
        <w:rPr>
          <w:rFonts w:ascii="宋体" w:eastAsia="宋体" w:hAnsi="宋体"/>
          <w:sz w:val="18"/>
          <w:szCs w:val="18"/>
        </w:rPr>
        <w:t>该工作以光纤近场中的表面超构结构调控为切入点，探索其在可持续发展相关光驱动过程中的潜在应用。本项目负责人马泽炫为第二作者，主要负责不同类型光纤及表面超构结构体系下的光学仿真与数据分析工作，并在上述模型基础上对所用光学算法进行了系统测试，验证了算法在多种光场模式和结构参数空间中的鲁棒性和适用性。论文曾投稿至</w:t>
      </w:r>
      <w:r>
        <w:rPr>
          <w:rFonts w:ascii="宋体" w:eastAsia="宋体" w:hAnsi="宋体"/>
          <w:sz w:val="18"/>
          <w:szCs w:val="18"/>
        </w:rPr>
        <w:t xml:space="preserve"> </w:t>
      </w:r>
      <w:r>
        <w:rPr>
          <w:rFonts w:ascii="宋体" w:eastAsia="宋体" w:hAnsi="宋体"/>
          <w:b/>
          <w:bCs/>
          <w:i/>
          <w:iCs/>
          <w:sz w:val="18"/>
          <w:szCs w:val="18"/>
        </w:rPr>
        <w:t>Nature Communications</w:t>
      </w:r>
      <w:r>
        <w:rPr>
          <w:rFonts w:ascii="宋体" w:eastAsia="宋体" w:hAnsi="宋体"/>
          <w:sz w:val="18"/>
          <w:szCs w:val="18"/>
        </w:rPr>
        <w:t xml:space="preserve"> </w:t>
      </w:r>
      <w:r>
        <w:rPr>
          <w:rFonts w:ascii="宋体" w:eastAsia="宋体" w:hAnsi="宋体"/>
          <w:sz w:val="18"/>
          <w:szCs w:val="18"/>
        </w:rPr>
        <w:t>并完成一轮评审，目前正根据审稿意见进行修改完善，以修订版本重新投稿至国际高水平期刊。需特别说明的是，该</w:t>
      </w:r>
      <w:r>
        <w:rPr>
          <w:rFonts w:ascii="宋体" w:eastAsia="宋体" w:hAnsi="宋体" w:hint="eastAsia"/>
          <w:sz w:val="18"/>
          <w:szCs w:val="18"/>
        </w:rPr>
        <w:t>论文</w:t>
      </w:r>
      <w:r>
        <w:rPr>
          <w:rFonts w:ascii="宋体" w:eastAsia="宋体" w:hAnsi="宋体"/>
          <w:sz w:val="18"/>
          <w:szCs w:val="18"/>
        </w:rPr>
        <w:t>的实验与论文经费均由合作课题组</w:t>
      </w:r>
      <w:r>
        <w:rPr>
          <w:rFonts w:ascii="宋体" w:eastAsia="宋体" w:hAnsi="宋体" w:hint="eastAsia"/>
          <w:sz w:val="18"/>
          <w:szCs w:val="18"/>
        </w:rPr>
        <w:t>支持</w:t>
      </w:r>
      <w:r>
        <w:rPr>
          <w:rFonts w:ascii="宋体" w:eastAsia="宋体" w:hAnsi="宋体"/>
          <w:sz w:val="18"/>
          <w:szCs w:val="18"/>
        </w:rPr>
        <w:t>，本项目经费未用于此</w:t>
      </w:r>
      <w:r>
        <w:rPr>
          <w:rFonts w:ascii="宋体" w:eastAsia="宋体" w:hAnsi="宋体"/>
          <w:sz w:val="18"/>
          <w:szCs w:val="18"/>
        </w:rPr>
        <w:t>项工作。</w:t>
      </w:r>
    </w:p>
    <w:p w14:paraId="5B74FC25" w14:textId="77777777" w:rsidR="00F42BB4" w:rsidRDefault="00F42BB4">
      <w:pPr>
        <w:spacing w:line="320" w:lineRule="exact"/>
        <w:rPr>
          <w:rFonts w:ascii="宋体" w:eastAsia="宋体" w:hAnsi="宋体"/>
          <w:sz w:val="18"/>
          <w:szCs w:val="18"/>
        </w:rPr>
      </w:pPr>
    </w:p>
    <w:p w14:paraId="605235A4" w14:textId="77777777" w:rsidR="00F42BB4" w:rsidRDefault="0093439D">
      <w:pPr>
        <w:pStyle w:val="a5"/>
        <w:numPr>
          <w:ilvl w:val="0"/>
          <w:numId w:val="7"/>
        </w:numPr>
        <w:spacing w:line="320" w:lineRule="exact"/>
        <w:ind w:firstLineChars="0"/>
        <w:rPr>
          <w:rFonts w:ascii="宋体" w:eastAsia="宋体" w:hAnsi="宋体"/>
          <w:sz w:val="18"/>
          <w:szCs w:val="18"/>
        </w:rPr>
      </w:pPr>
      <w:r>
        <w:rPr>
          <w:rFonts w:ascii="宋体" w:eastAsia="宋体" w:hAnsi="宋体" w:hint="eastAsia"/>
          <w:sz w:val="18"/>
          <w:szCs w:val="18"/>
        </w:rPr>
        <w:t>检测界面附近的量子点的局部光场分布及其对荧光信号采集效率的影响</w:t>
      </w:r>
    </w:p>
    <w:p w14:paraId="5D8DBB62"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面向量子点标记的免疫识别芯片在检测区域的光学行为，课题组在前述光纤倏逝波模型基础上，进一步建立了描述检测界面局部光场的仿真模型。模型中将芯片表面的功能化区域视作承载量子点分布的纳米散射结构，通过在界面上引入不同空间分布与覆盖密度的量子点阵列，用以表征实际的免疫识别界面</w:t>
      </w:r>
      <w:r>
        <w:rPr>
          <w:rFonts w:ascii="宋体" w:eastAsia="宋体" w:hAnsi="宋体" w:hint="eastAsia"/>
          <w:sz w:val="18"/>
          <w:szCs w:val="18"/>
        </w:rPr>
        <w:t>。</w:t>
      </w:r>
    </w:p>
    <w:p w14:paraId="27FBDCD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仿真工作主要聚焦两方面：一是分析不同界面结构参数及量子点分布对散射场与背景信号的贡献，二是探索结构参数与整体检测性能之间的折中关系。对比不同特征尺寸、等效折射率对比度以及量子点表面覆盖密度条件下的散射场分布与远场辐射特征，结果表明：当界面等</w:t>
      </w:r>
      <w:r>
        <w:rPr>
          <w:rFonts w:ascii="宋体" w:eastAsia="宋体" w:hAnsi="宋体"/>
          <w:sz w:val="18"/>
          <w:szCs w:val="18"/>
        </w:rPr>
        <w:t>效尺寸或折射率对比度过大时，体系虽可产生更强的散射与辐射信号，但同时显著抬高整体背景水平，使目标相关信号与非特异散射难以有效区分，低浓度区域的信噪比提升受限；相反，在较小等效尺寸或适中折射率条件下，背景抬升得到一定抑制，但若量子点负载量过低，又难以支撑痕量检测所需的信号强度。基于对上述参数空间的系统扫描，课题组初步确定了一组兼顾有效信号强度与背景可控性的量子点标记参数区间。在该区间内，免疫识别界面对散射与背景的贡献保持在相对温和水平，同时仍能为低浓度目标物提供可分辨的光学响应。该结果为后续在实验体系中优化量</w:t>
      </w:r>
      <w:r>
        <w:rPr>
          <w:rFonts w:ascii="宋体" w:eastAsia="宋体" w:hAnsi="宋体"/>
          <w:sz w:val="18"/>
          <w:szCs w:val="18"/>
        </w:rPr>
        <w:t>子点标记区域的特征尺寸、等效折射率以及量子点装载量和标记比例提供了明确的调参方向，有助于在设计阶段即综合兼顾灵敏度与信噪比，而非单纯追求信号绝对强度，从微观机理层面为进一步降低检测限奠定基础。</w:t>
      </w:r>
    </w:p>
    <w:p w14:paraId="5CC798ED" w14:textId="77777777" w:rsidR="00F42BB4" w:rsidRDefault="00F42BB4">
      <w:pPr>
        <w:spacing w:line="320" w:lineRule="exact"/>
        <w:rPr>
          <w:rFonts w:ascii="宋体" w:eastAsia="宋体" w:hAnsi="宋体"/>
          <w:sz w:val="18"/>
          <w:szCs w:val="18"/>
        </w:rPr>
      </w:pPr>
    </w:p>
    <w:p w14:paraId="3D16E500" w14:textId="77777777" w:rsidR="00F42BB4" w:rsidRDefault="0093439D">
      <w:pPr>
        <w:pStyle w:val="a5"/>
        <w:numPr>
          <w:ilvl w:val="0"/>
          <w:numId w:val="6"/>
        </w:numPr>
        <w:spacing w:line="320" w:lineRule="exact"/>
        <w:ind w:firstLineChars="0"/>
        <w:rPr>
          <w:rFonts w:ascii="宋体" w:eastAsia="宋体" w:hAnsi="宋体"/>
          <w:b/>
          <w:bCs/>
          <w:sz w:val="18"/>
          <w:szCs w:val="18"/>
        </w:rPr>
      </w:pPr>
      <w:r>
        <w:rPr>
          <w:rFonts w:ascii="宋体" w:eastAsia="宋体" w:hAnsi="宋体" w:hint="eastAsia"/>
          <w:b/>
          <w:bCs/>
          <w:sz w:val="18"/>
          <w:szCs w:val="18"/>
        </w:rPr>
        <w:t>信号处理算法开发</w:t>
      </w:r>
    </w:p>
    <w:p w14:paraId="2B92577A" w14:textId="5C324ACA" w:rsidR="00F42BB4" w:rsidRDefault="0093439D">
      <w:pPr>
        <w:widowControl/>
        <w:ind w:firstLineChars="200" w:firstLine="360"/>
        <w:jc w:val="left"/>
        <w:rPr>
          <w:rFonts w:ascii="Times New Roman" w:eastAsia="宋体" w:hAnsi="Times New Roman" w:cs="Times New Roman"/>
          <w:sz w:val="18"/>
          <w:szCs w:val="18"/>
        </w:rPr>
      </w:pPr>
      <w:r>
        <w:rPr>
          <w:rFonts w:ascii="宋体" w:eastAsia="宋体" w:hAnsi="宋体"/>
          <w:sz w:val="18"/>
          <w:szCs w:val="18"/>
        </w:rPr>
        <w:t>在以信号处理与数据算法为核心的深化阶段，课题组围绕</w:t>
      </w:r>
      <w:r>
        <w:rPr>
          <w:rFonts w:ascii="宋体" w:eastAsia="宋体" w:hAnsi="宋体"/>
          <w:sz w:val="18"/>
          <w:szCs w:val="18"/>
        </w:rPr>
        <w:t>“</w:t>
      </w:r>
      <w:r>
        <w:rPr>
          <w:rFonts w:ascii="宋体" w:eastAsia="宋体" w:hAnsi="宋体"/>
          <w:sz w:val="18"/>
          <w:szCs w:val="18"/>
        </w:rPr>
        <w:t>在弱信号与复杂背景条件下如何稳定读出并解释痕量信息</w:t>
      </w:r>
      <w:r>
        <w:rPr>
          <w:rFonts w:ascii="宋体" w:eastAsia="宋体" w:hAnsi="宋体"/>
          <w:sz w:val="18"/>
          <w:szCs w:val="18"/>
        </w:rPr>
        <w:t>”</w:t>
      </w:r>
      <w:r>
        <w:rPr>
          <w:rFonts w:ascii="宋体" w:eastAsia="宋体" w:hAnsi="宋体"/>
          <w:sz w:val="18"/>
          <w:szCs w:val="18"/>
        </w:rPr>
        <w:t>这一目标，依次构建并完善了三类关键算法模块：，当前主要</w:t>
      </w:r>
      <w:r>
        <w:rPr>
          <w:rFonts w:ascii="宋体" w:eastAsia="宋体" w:hAnsi="宋体" w:hint="eastAsia"/>
          <w:sz w:val="18"/>
          <w:szCs w:val="18"/>
        </w:rPr>
        <w:t>是基于</w:t>
      </w:r>
      <w:r>
        <w:rPr>
          <w:rFonts w:ascii="Times New Roman" w:eastAsia="宋体" w:hAnsi="Times New Roman" w:cs="Times New Roman"/>
          <w:sz w:val="18"/>
          <w:szCs w:val="18"/>
        </w:rPr>
        <w:t>ALSL(</w:t>
      </w:r>
      <w:r>
        <w:rPr>
          <w:rFonts w:ascii="Times New Roman" w:eastAsia="宋体" w:hAnsi="Times New Roman" w:cs="Times New Roman"/>
          <w:kern w:val="0"/>
          <w:sz w:val="18"/>
          <w:szCs w:val="18"/>
        </w:rPr>
        <w:t>Asymmetric Least Squares Local smoothing</w:t>
      </w:r>
      <w:r>
        <w:rPr>
          <w:rFonts w:ascii="Times New Roman" w:eastAsia="宋体" w:hAnsi="Times New Roman" w:cs="Times New Roman"/>
          <w:sz w:val="18"/>
          <w:szCs w:val="18"/>
        </w:rPr>
        <w:t>)</w:t>
      </w:r>
      <w:r>
        <w:rPr>
          <w:rFonts w:ascii="Times New Roman" w:eastAsia="宋体" w:hAnsi="Times New Roman" w:cs="Times New Roman" w:hint="eastAsia"/>
          <w:sz w:val="18"/>
          <w:szCs w:val="18"/>
        </w:rPr>
        <w:t>的拉曼背景扣除算法</w:t>
      </w:r>
      <w:r w:rsidR="00CB0A11" w:rsidRPr="00CB0A11">
        <w:rPr>
          <w:rFonts w:ascii="Times New Roman" w:eastAsia="宋体" w:hAnsi="Times New Roman" w:cs="Times New Roman"/>
          <w:sz w:val="18"/>
          <w:szCs w:val="18"/>
          <w:vertAlign w:val="superscript"/>
        </w:rPr>
        <w:fldChar w:fldCharType="begin"/>
      </w:r>
      <w:r w:rsidR="00CB0A11" w:rsidRPr="00CB0A11">
        <w:rPr>
          <w:rFonts w:ascii="Times New Roman" w:eastAsia="宋体" w:hAnsi="Times New Roman" w:cs="Times New Roman"/>
          <w:sz w:val="18"/>
          <w:szCs w:val="18"/>
          <w:vertAlign w:val="superscript"/>
        </w:rPr>
        <w:instrText xml:space="preserve"> </w:instrText>
      </w:r>
      <w:r w:rsidR="00CB0A11" w:rsidRPr="00CB0A11">
        <w:rPr>
          <w:rFonts w:ascii="Times New Roman" w:eastAsia="宋体" w:hAnsi="Times New Roman" w:cs="Times New Roman" w:hint="eastAsia"/>
          <w:sz w:val="18"/>
          <w:szCs w:val="18"/>
          <w:vertAlign w:val="superscript"/>
        </w:rPr>
        <w:instrText>REF _Ref216076519 \r \h</w:instrText>
      </w:r>
      <w:r w:rsidR="00CB0A11" w:rsidRPr="00CB0A11">
        <w:rPr>
          <w:rFonts w:ascii="Times New Roman" w:eastAsia="宋体" w:hAnsi="Times New Roman" w:cs="Times New Roman"/>
          <w:sz w:val="18"/>
          <w:szCs w:val="18"/>
          <w:vertAlign w:val="superscript"/>
        </w:rPr>
        <w:instrText xml:space="preserve"> </w:instrText>
      </w:r>
      <w:r w:rsidR="00CB0A11" w:rsidRPr="00CB0A11">
        <w:rPr>
          <w:rFonts w:ascii="Times New Roman" w:eastAsia="宋体" w:hAnsi="Times New Roman" w:cs="Times New Roman"/>
          <w:sz w:val="18"/>
          <w:szCs w:val="18"/>
          <w:vertAlign w:val="superscript"/>
        </w:rPr>
      </w:r>
      <w:r w:rsidR="00CB0A11">
        <w:rPr>
          <w:rFonts w:ascii="Times New Roman" w:eastAsia="宋体" w:hAnsi="Times New Roman" w:cs="Times New Roman"/>
          <w:sz w:val="18"/>
          <w:szCs w:val="18"/>
          <w:vertAlign w:val="superscript"/>
        </w:rPr>
        <w:instrText xml:space="preserve"> \* MERGEFORMAT </w:instrText>
      </w:r>
      <w:r w:rsidR="00CB0A11" w:rsidRPr="00CB0A11">
        <w:rPr>
          <w:rFonts w:ascii="Times New Roman" w:eastAsia="宋体" w:hAnsi="Times New Roman" w:cs="Times New Roman"/>
          <w:sz w:val="18"/>
          <w:szCs w:val="18"/>
          <w:vertAlign w:val="superscript"/>
        </w:rPr>
        <w:fldChar w:fldCharType="separate"/>
      </w:r>
      <w:r w:rsidR="00CB0A11" w:rsidRPr="00CB0A11">
        <w:rPr>
          <w:rFonts w:ascii="Times New Roman" w:eastAsia="宋体" w:hAnsi="Times New Roman" w:cs="Times New Roman"/>
          <w:sz w:val="18"/>
          <w:szCs w:val="18"/>
          <w:vertAlign w:val="superscript"/>
        </w:rPr>
        <w:t>[14]</w:t>
      </w:r>
      <w:r w:rsidR="00CB0A11" w:rsidRPr="00CB0A11">
        <w:rPr>
          <w:rFonts w:ascii="Times New Roman" w:eastAsia="宋体" w:hAnsi="Times New Roman" w:cs="Times New Roman"/>
          <w:sz w:val="18"/>
          <w:szCs w:val="18"/>
          <w:vertAlign w:val="superscript"/>
        </w:rPr>
        <w:fldChar w:fldCharType="end"/>
      </w:r>
      <w:r>
        <w:rPr>
          <w:rFonts w:ascii="Times New Roman" w:eastAsia="宋体" w:hAnsi="Times New Roman" w:cs="Times New Roman" w:hint="eastAsia"/>
          <w:sz w:val="18"/>
          <w:szCs w:val="18"/>
        </w:rPr>
        <w:t>，核心目标是在不改变硬件</w:t>
      </w:r>
      <w:r>
        <w:rPr>
          <w:rFonts w:ascii="Times New Roman" w:eastAsia="宋体" w:hAnsi="Times New Roman" w:cs="Times New Roman" w:hint="eastAsia"/>
          <w:sz w:val="18"/>
          <w:szCs w:val="18"/>
        </w:rPr>
        <w:t>条件的情况下，最大限度提升信噪比、压缩检测限。</w:t>
      </w:r>
      <w:r>
        <w:rPr>
          <w:rFonts w:ascii="Times New Roman" w:eastAsia="宋体" w:hAnsi="Times New Roman" w:cs="Times New Roman"/>
          <w:sz w:val="18"/>
          <w:szCs w:val="18"/>
        </w:rPr>
        <w:t>二是面向量子点免</w:t>
      </w:r>
      <w:r>
        <w:rPr>
          <w:rFonts w:ascii="Times New Roman" w:eastAsia="宋体" w:hAnsi="Times New Roman" w:cs="Times New Roman"/>
          <w:sz w:val="18"/>
          <w:szCs w:val="18"/>
        </w:rPr>
        <w:lastRenderedPageBreak/>
        <w:t>疫芯片的荧光分布演化与淬灭路径解析算法，通过转移矩阵刻画浸泡前后强度分布的演变，追溯信号变化来源；三是多角度反射</w:t>
      </w:r>
      <w:r>
        <w:rPr>
          <w:rFonts w:ascii="Times New Roman" w:eastAsia="宋体" w:hAnsi="Times New Roman" w:cs="Times New Roman"/>
          <w:sz w:val="18"/>
          <w:szCs w:val="18"/>
        </w:rPr>
        <w:t>–</w:t>
      </w:r>
      <w:r>
        <w:rPr>
          <w:rFonts w:ascii="Times New Roman" w:eastAsia="宋体" w:hAnsi="Times New Roman" w:cs="Times New Roman"/>
          <w:sz w:val="18"/>
          <w:szCs w:val="18"/>
        </w:rPr>
        <w:t>透射联合反演的复折射率识别算法，为光纤传感建模与光学结构优化提供高置信度的光学常数输入。三者协同构成了本项目从原始光谱到物性参数与机理解析的完整算法链条。</w:t>
      </w:r>
    </w:p>
    <w:p w14:paraId="49BF7B21" w14:textId="77777777" w:rsidR="00F42BB4" w:rsidRDefault="0093439D">
      <w:pPr>
        <w:pStyle w:val="a5"/>
        <w:numPr>
          <w:ilvl w:val="0"/>
          <w:numId w:val="8"/>
        </w:numPr>
        <w:spacing w:line="320" w:lineRule="exact"/>
        <w:ind w:firstLineChars="0"/>
        <w:rPr>
          <w:rFonts w:ascii="宋体" w:eastAsia="宋体" w:hAnsi="宋体"/>
          <w:sz w:val="18"/>
          <w:szCs w:val="18"/>
        </w:rPr>
      </w:pPr>
      <w:r>
        <w:rPr>
          <w:rFonts w:ascii="宋体" w:eastAsia="宋体" w:hAnsi="宋体" w:hint="eastAsia"/>
          <w:sz w:val="18"/>
          <w:szCs w:val="18"/>
        </w:rPr>
        <w:t>基于</w:t>
      </w:r>
      <w:r>
        <w:rPr>
          <w:rFonts w:ascii="Times New Roman" w:eastAsia="宋体" w:hAnsi="Times New Roman" w:cs="Times New Roman"/>
          <w:sz w:val="18"/>
          <w:szCs w:val="18"/>
        </w:rPr>
        <w:t>ALSL</w:t>
      </w:r>
      <w:r>
        <w:rPr>
          <w:rFonts w:ascii="宋体" w:eastAsia="宋体" w:hAnsi="宋体" w:hint="eastAsia"/>
          <w:sz w:val="18"/>
          <w:szCs w:val="18"/>
        </w:rPr>
        <w:t>的拉曼背景扣除算法</w:t>
      </w:r>
    </w:p>
    <w:p w14:paraId="20D69A8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针对拉曼光谱中普遍存在的荧光本底抬升、基线漂移等问题，课题组在传统非</w:t>
      </w:r>
      <w:r>
        <w:rPr>
          <w:rFonts w:ascii="宋体" w:eastAsia="宋体" w:hAnsi="宋体"/>
          <w:sz w:val="18"/>
          <w:szCs w:val="18"/>
        </w:rPr>
        <w:t>性基线拟合方法的基础上，引</w:t>
      </w:r>
      <w:r>
        <w:rPr>
          <w:rFonts w:ascii="宋体" w:eastAsia="宋体" w:hAnsi="宋体" w:hint="eastAsia"/>
          <w:sz w:val="18"/>
          <w:szCs w:val="18"/>
        </w:rPr>
        <w:t>入</w:t>
      </w:r>
      <w:r>
        <w:rPr>
          <w:rFonts w:ascii="Times New Roman" w:eastAsia="宋体" w:hAnsi="Times New Roman" w:cs="Times New Roman"/>
          <w:sz w:val="18"/>
          <w:szCs w:val="18"/>
        </w:rPr>
        <w:t>ALS</w:t>
      </w:r>
      <w:r>
        <w:rPr>
          <w:rFonts w:ascii="Times New Roman" w:eastAsia="宋体" w:hAnsi="Times New Roman" w:cs="Times New Roman" w:hint="eastAsia"/>
          <w:sz w:val="18"/>
          <w:szCs w:val="18"/>
        </w:rPr>
        <w:t>L</w:t>
      </w:r>
      <w:r>
        <w:rPr>
          <w:rFonts w:ascii="宋体" w:eastAsia="宋体" w:hAnsi="宋体" w:hint="eastAsia"/>
          <w:sz w:val="18"/>
          <w:szCs w:val="18"/>
        </w:rPr>
        <w:t>策略，对原始拉曼光谱进行自适应背景扣除。具体的做法是通过不对称加权的最小二乘拟合，将缓慢变化的背景项视为平滑分量，而将尖锐的拉曼峰视为偏离分量，在迭代过程中不断调整平滑参数和惩罚因子，使拟合曲线尽量贴合荧光背景而不吞噬真实的拉曼峰，随后结合局部平滑，对残余高频噪声进行抑制。</w:t>
      </w:r>
    </w:p>
    <w:p w14:paraId="21339733"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与多项式基线拟合、简单滑动平均等传统预处理手段相比，</w:t>
      </w:r>
      <w:r>
        <w:rPr>
          <w:rFonts w:ascii="Times New Roman" w:eastAsia="宋体" w:hAnsi="Times New Roman" w:cs="Times New Roman"/>
          <w:sz w:val="18"/>
          <w:szCs w:val="18"/>
        </w:rPr>
        <w:t>ALS</w:t>
      </w:r>
      <w:r>
        <w:rPr>
          <w:rFonts w:ascii="Times New Roman" w:eastAsia="宋体" w:hAnsi="Times New Roman" w:cs="Times New Roman" w:hint="eastAsia"/>
          <w:sz w:val="18"/>
          <w:szCs w:val="18"/>
        </w:rPr>
        <w:t>L</w:t>
      </w:r>
      <w:r>
        <w:rPr>
          <w:rFonts w:ascii="宋体" w:eastAsia="宋体" w:hAnsi="宋体" w:hint="eastAsia"/>
          <w:sz w:val="18"/>
          <w:szCs w:val="18"/>
        </w:rPr>
        <w:t>算法在本课题体系中的主要优势体现在能够更好地适应复杂、非线性背景，避免在低信噪比条件下忽略弱拉曼峰。同时实验表明在低浓度区间，扣除背景后的有效峰强度与浓度之间关系更加单调、线性</w:t>
      </w:r>
      <w:r>
        <w:rPr>
          <w:rFonts w:ascii="宋体" w:eastAsia="宋体" w:hAnsi="宋体" w:hint="eastAsia"/>
          <w:sz w:val="18"/>
          <w:szCs w:val="18"/>
        </w:rPr>
        <w:t>拟合质量明显提高，在相同实验条件下，以最低可靠识别浓度作为指标估算的检测限，采用</w:t>
      </w:r>
      <w:r>
        <w:rPr>
          <w:rFonts w:ascii="Times New Roman" w:eastAsia="宋体" w:hAnsi="Times New Roman" w:cs="Times New Roman"/>
          <w:sz w:val="18"/>
          <w:szCs w:val="18"/>
        </w:rPr>
        <w:t>ALS</w:t>
      </w:r>
      <w:r>
        <w:rPr>
          <w:rFonts w:ascii="Times New Roman" w:eastAsia="宋体" w:hAnsi="Times New Roman" w:cs="Times New Roman" w:hint="eastAsia"/>
          <w:sz w:val="18"/>
          <w:szCs w:val="18"/>
        </w:rPr>
        <w:t>L</w:t>
      </w:r>
      <w:r>
        <w:rPr>
          <w:rFonts w:ascii="宋体" w:eastAsia="宋体" w:hAnsi="宋体" w:hint="eastAsia"/>
          <w:sz w:val="18"/>
          <w:szCs w:val="18"/>
        </w:rPr>
        <w:t>算法处理后的光谱明显低于未经处理的数据。目前该算法已经集成到课题组的拉曼数据处理流程中，用于所有浓度梯度实验与后续定量分析，为纳克升量级痕量信号的稳定读出提供了算法支撑。</w:t>
      </w:r>
    </w:p>
    <w:p w14:paraId="0CFA5725" w14:textId="177F69DF"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在此基础上，本团队开发的</w:t>
      </w:r>
      <w:r>
        <w:rPr>
          <w:rFonts w:ascii="宋体" w:eastAsia="宋体" w:hAnsi="宋体"/>
          <w:sz w:val="18"/>
          <w:szCs w:val="18"/>
        </w:rPr>
        <w:t xml:space="preserve"> ALSL </w:t>
      </w:r>
      <w:r>
        <w:rPr>
          <w:rFonts w:ascii="宋体" w:eastAsia="宋体" w:hAnsi="宋体"/>
          <w:sz w:val="18"/>
          <w:szCs w:val="18"/>
        </w:rPr>
        <w:t>拉曼背景扣除算法已在题为</w:t>
      </w:r>
      <w:r>
        <w:rPr>
          <w:rFonts w:ascii="Times New Roman" w:eastAsia="宋体" w:hAnsi="Times New Roman" w:cs="Times New Roman"/>
          <w:i/>
          <w:iCs/>
          <w:sz w:val="18"/>
          <w:szCs w:val="18"/>
        </w:rPr>
        <w:t xml:space="preserve">Construct </w:t>
      </w:r>
      <w:proofErr w:type="spellStart"/>
      <w:r>
        <w:rPr>
          <w:rFonts w:ascii="Times New Roman" w:eastAsia="宋体" w:hAnsi="Times New Roman" w:cs="Times New Roman"/>
          <w:i/>
          <w:iCs/>
          <w:sz w:val="18"/>
          <w:szCs w:val="18"/>
        </w:rPr>
        <w:t>Dichlorine</w:t>
      </w:r>
      <w:proofErr w:type="spellEnd"/>
      <w:r>
        <w:rPr>
          <w:rFonts w:ascii="Times New Roman" w:eastAsia="宋体" w:hAnsi="Times New Roman" w:cs="Times New Roman"/>
          <w:i/>
          <w:iCs/>
          <w:sz w:val="18"/>
          <w:szCs w:val="18"/>
        </w:rPr>
        <w:t xml:space="preserve"> Monoxide Equilibrium at High Chloride Concentrations to Reveal its Overlook</w:t>
      </w:r>
      <w:r>
        <w:rPr>
          <w:rFonts w:ascii="Times New Roman" w:eastAsia="宋体" w:hAnsi="Times New Roman" w:cs="Times New Roman"/>
          <w:i/>
          <w:iCs/>
          <w:sz w:val="18"/>
          <w:szCs w:val="18"/>
        </w:rPr>
        <w:t>ed Reactivity and Unique Site-selectivity in Degrading Micropollutants</w:t>
      </w:r>
      <w:r>
        <w:rPr>
          <w:rFonts w:ascii="宋体" w:eastAsia="宋体" w:hAnsi="宋体" w:hint="eastAsia"/>
          <w:sz w:val="18"/>
          <w:szCs w:val="18"/>
        </w:rPr>
        <w:t>的</w:t>
      </w:r>
      <w:r>
        <w:rPr>
          <w:rFonts w:ascii="宋体" w:eastAsia="宋体" w:hAnsi="宋体"/>
          <w:sz w:val="18"/>
          <w:szCs w:val="18"/>
        </w:rPr>
        <w:t>的合作研究中得到应用和检验</w:t>
      </w:r>
      <w:r>
        <w:rPr>
          <w:rFonts w:ascii="宋体" w:eastAsia="宋体" w:hAnsi="宋体" w:hint="eastAsia"/>
          <w:sz w:val="18"/>
          <w:szCs w:val="18"/>
        </w:rPr>
        <w:t>。</w:t>
      </w:r>
      <w:r>
        <w:rPr>
          <w:rFonts w:ascii="宋体" w:eastAsia="宋体" w:hAnsi="宋体"/>
          <w:sz w:val="18"/>
          <w:szCs w:val="18"/>
        </w:rPr>
        <w:t>本项目负责人马泽炫在该文中为第四作者，论文围绕高氯浓度条件下二氯一氧平衡的构建，系统揭示其在降解典型微污染物过程中的易被忽视的反应活性及独特位点选择性。文中一组关键拉曼光谱数据由本团队的</w:t>
      </w:r>
      <w:r w:rsidRPr="000D3777">
        <w:rPr>
          <w:rFonts w:ascii="Times New Roman" w:eastAsia="宋体" w:hAnsi="Times New Roman" w:cs="Times New Roman"/>
          <w:sz w:val="18"/>
          <w:szCs w:val="18"/>
        </w:rPr>
        <w:t>ALSL</w:t>
      </w:r>
      <w:r>
        <w:rPr>
          <w:rFonts w:ascii="宋体" w:eastAsia="宋体" w:hAnsi="宋体"/>
          <w:sz w:val="18"/>
          <w:szCs w:val="18"/>
        </w:rPr>
        <w:t>背景扣除算法进行处理与解析，显著提升了信号分辨度和定量结果的可靠性，进一步为算法在复杂水体体系中的实用性提供了外部验证。该论文曾投稿至</w:t>
      </w:r>
      <w:r>
        <w:rPr>
          <w:rFonts w:ascii="宋体" w:eastAsia="宋体" w:hAnsi="宋体"/>
          <w:sz w:val="18"/>
          <w:szCs w:val="18"/>
        </w:rPr>
        <w:t xml:space="preserve"> </w:t>
      </w:r>
      <w:r>
        <w:rPr>
          <w:rFonts w:ascii="宋体" w:eastAsia="宋体" w:hAnsi="宋体"/>
          <w:b/>
          <w:bCs/>
          <w:i/>
          <w:iCs/>
          <w:sz w:val="18"/>
          <w:szCs w:val="18"/>
        </w:rPr>
        <w:t>Wate</w:t>
      </w:r>
      <w:r>
        <w:rPr>
          <w:rFonts w:ascii="宋体" w:eastAsia="宋体" w:hAnsi="宋体"/>
          <w:b/>
          <w:bCs/>
          <w:i/>
          <w:iCs/>
          <w:sz w:val="18"/>
          <w:szCs w:val="18"/>
        </w:rPr>
        <w:t>r Research</w:t>
      </w:r>
      <w:r>
        <w:rPr>
          <w:rFonts w:ascii="宋体" w:eastAsia="宋体" w:hAnsi="宋体"/>
          <w:sz w:val="18"/>
          <w:szCs w:val="18"/>
        </w:rPr>
        <w:t xml:space="preserve"> </w:t>
      </w:r>
      <w:r>
        <w:rPr>
          <w:rFonts w:ascii="宋体" w:eastAsia="宋体" w:hAnsi="宋体"/>
          <w:sz w:val="18"/>
          <w:szCs w:val="18"/>
        </w:rPr>
        <w:t>并完成一轮评审，目前正根据审稿意见进行修改完善，以修订版本重新投稿至国际高水平期刊。需特别说明的是，该研究的实验与论文经费均由合作课题组自筹，本项目经费未用于此项工作。</w:t>
      </w:r>
    </w:p>
    <w:p w14:paraId="27F4813C" w14:textId="77777777" w:rsidR="00F42BB4" w:rsidRDefault="0093439D">
      <w:pPr>
        <w:pStyle w:val="a5"/>
        <w:numPr>
          <w:ilvl w:val="0"/>
          <w:numId w:val="8"/>
        </w:numPr>
        <w:spacing w:line="320" w:lineRule="exact"/>
        <w:ind w:firstLineChars="0"/>
        <w:rPr>
          <w:rFonts w:ascii="宋体" w:eastAsia="宋体" w:hAnsi="宋体"/>
          <w:sz w:val="18"/>
          <w:szCs w:val="18"/>
        </w:rPr>
      </w:pPr>
      <w:r>
        <w:rPr>
          <w:rFonts w:ascii="宋体" w:eastAsia="宋体" w:hAnsi="宋体" w:hint="eastAsia"/>
          <w:sz w:val="18"/>
          <w:szCs w:val="18"/>
        </w:rPr>
        <w:t>基于</w:t>
      </w:r>
      <w:r>
        <w:rPr>
          <w:rFonts w:ascii="Times New Roman" w:eastAsia="宋体" w:hAnsi="Times New Roman" w:cs="Times New Roman" w:hint="eastAsia"/>
          <w:sz w:val="18"/>
          <w:szCs w:val="18"/>
        </w:rPr>
        <w:t>转移矩阵的量子点免疫芯片荧光分布演化与淬灭路径解析</w:t>
      </w:r>
    </w:p>
    <w:p w14:paraId="78C2D065" w14:textId="77777777" w:rsidR="00F42BB4" w:rsidRDefault="0093439D">
      <w:pPr>
        <w:spacing w:line="320" w:lineRule="exact"/>
        <w:ind w:firstLineChars="250" w:firstLine="450"/>
        <w:rPr>
          <w:rFonts w:ascii="宋体" w:eastAsia="宋体" w:hAnsi="宋体"/>
          <w:sz w:val="18"/>
          <w:szCs w:val="18"/>
        </w:rPr>
      </w:pPr>
      <w:r>
        <w:rPr>
          <w:rFonts w:ascii="宋体" w:eastAsia="宋体" w:hAnsi="宋体"/>
          <w:sz w:val="18"/>
          <w:szCs w:val="18"/>
        </w:rPr>
        <w:t>在</w:t>
      </w:r>
      <w:r>
        <w:rPr>
          <w:rFonts w:ascii="宋体" w:eastAsia="宋体" w:hAnsi="宋体" w:hint="eastAsia"/>
          <w:sz w:val="18"/>
          <w:szCs w:val="18"/>
        </w:rPr>
        <w:t>量子点标记的免疫识别芯片中，</w:t>
      </w:r>
      <w:r>
        <w:rPr>
          <w:rFonts w:ascii="宋体" w:eastAsia="宋体" w:hAnsi="宋体"/>
          <w:sz w:val="18"/>
          <w:szCs w:val="18"/>
        </w:rPr>
        <w:t>一批测量点在样品浸泡前后会呈现出两套不同的荧光强度分布：一部分位置基本保持原有亮度，一部分由高亮向中等或较低强度滑落，还有一部分发生明显淬灭、接近背景水平。</w:t>
      </w:r>
      <w:r>
        <w:rPr>
          <w:rFonts w:ascii="宋体" w:eastAsia="宋体" w:hAnsi="宋体" w:hint="eastAsia"/>
          <w:sz w:val="18"/>
          <w:szCs w:val="18"/>
        </w:rPr>
        <w:t>针对这种较难溯源的强度分布变化，本课题</w:t>
      </w:r>
      <w:r>
        <w:rPr>
          <w:rFonts w:ascii="宋体" w:eastAsia="宋体" w:hAnsi="宋体"/>
          <w:sz w:val="18"/>
          <w:szCs w:val="18"/>
        </w:rPr>
        <w:t>题组构建了一套分布演化分析算法：将浸泡前</w:t>
      </w:r>
      <w:r>
        <w:rPr>
          <w:rFonts w:ascii="宋体" w:eastAsia="宋体" w:hAnsi="宋体"/>
          <w:sz w:val="18"/>
          <w:szCs w:val="18"/>
        </w:rPr>
        <w:t>的强度分布视为初始状态，将浸泡后的分布视为终态，通过一个受约束的转移矩阵来刻画各个强度等级之间的转移关系，从而在统计层面定量描述未结合、部分淬灭和强烈淬灭等不同通道各自的贡献，而不仅仅是做简单的前后减法。</w:t>
      </w:r>
    </w:p>
    <w:p w14:paraId="1BAA385B" w14:textId="77777777" w:rsidR="00F42BB4" w:rsidRDefault="0093439D">
      <w:pPr>
        <w:spacing w:line="320" w:lineRule="exact"/>
        <w:ind w:firstLineChars="250" w:firstLine="450"/>
        <w:rPr>
          <w:rFonts w:ascii="宋体" w:eastAsia="宋体" w:hAnsi="宋体"/>
          <w:sz w:val="18"/>
          <w:szCs w:val="18"/>
        </w:rPr>
      </w:pPr>
      <w:r>
        <w:rPr>
          <w:rFonts w:ascii="宋体" w:eastAsia="宋体" w:hAnsi="宋体"/>
          <w:sz w:val="18"/>
          <w:szCs w:val="18"/>
        </w:rPr>
        <w:t>在实现上，算法采用带正则化的反演与投影策略：一方面通过最小化理论分布与实测分布之间的偏差，并加入适度正则化约束，使得到的转移矩阵在存在噪声和实验波动时仍然稳定、平滑；另一方面在每一步迭代后，将解投影回满足非负性、归一化以及</w:t>
      </w:r>
      <w:r>
        <w:rPr>
          <w:rFonts w:ascii="宋体" w:eastAsia="宋体" w:hAnsi="宋体"/>
          <w:sz w:val="18"/>
          <w:szCs w:val="18"/>
        </w:rPr>
        <w:t>“</w:t>
      </w:r>
      <w:r>
        <w:rPr>
          <w:rFonts w:ascii="宋体" w:eastAsia="宋体" w:hAnsi="宋体"/>
          <w:sz w:val="18"/>
          <w:szCs w:val="18"/>
        </w:rPr>
        <w:t>强度只能衰减、不出现无物理意义增强</w:t>
      </w:r>
      <w:r>
        <w:rPr>
          <w:rFonts w:ascii="宋体" w:eastAsia="宋体" w:hAnsi="宋体"/>
          <w:sz w:val="18"/>
          <w:szCs w:val="18"/>
        </w:rPr>
        <w:t>”</w:t>
      </w:r>
      <w:r>
        <w:rPr>
          <w:rFonts w:ascii="宋体" w:eastAsia="宋体" w:hAnsi="宋体"/>
          <w:sz w:val="18"/>
          <w:szCs w:val="18"/>
        </w:rPr>
        <w:t>的可行集合中，以保证结果符合实际的光物理过程。</w:t>
      </w:r>
      <w:r>
        <w:rPr>
          <w:rFonts w:ascii="宋体" w:eastAsia="宋体" w:hAnsi="宋体"/>
          <w:sz w:val="18"/>
          <w:szCs w:val="18"/>
        </w:rPr>
        <w:t>与仅比较平均强度或单一特征峰的方法相比，该算法对随机噪声和局部异常点更不敏感，尤其在低浓度、弱信号条件下，仍能可靠分解出不同淬灭路径及其占比，实现对荧光分布变化来源的追溯。与前述</w:t>
      </w:r>
      <w:r>
        <w:rPr>
          <w:rFonts w:ascii="Times New Roman" w:eastAsia="宋体" w:hAnsi="Times New Roman" w:cs="Times New Roman"/>
          <w:sz w:val="18"/>
          <w:szCs w:val="18"/>
        </w:rPr>
        <w:t>ALSL</w:t>
      </w:r>
      <w:r>
        <w:rPr>
          <w:rFonts w:ascii="宋体" w:eastAsia="宋体" w:hAnsi="宋体"/>
          <w:sz w:val="18"/>
          <w:szCs w:val="18"/>
        </w:rPr>
        <w:t>拉曼背景扣除流程配合使用后，形成了一条从光谱预处理到分布演化与机理解释的完整数据分析链，为量子点免疫芯片的痕量检测提供了更有说服力的算法支撑</w:t>
      </w:r>
      <w:r>
        <w:rPr>
          <w:rFonts w:ascii="宋体" w:eastAsia="宋体" w:hAnsi="宋体" w:hint="eastAsia"/>
          <w:sz w:val="18"/>
          <w:szCs w:val="18"/>
        </w:rPr>
        <w:t>。</w:t>
      </w:r>
    </w:p>
    <w:p w14:paraId="2AF41510" w14:textId="77777777" w:rsidR="00F42BB4" w:rsidRDefault="0093439D">
      <w:pPr>
        <w:pStyle w:val="a5"/>
        <w:numPr>
          <w:ilvl w:val="0"/>
          <w:numId w:val="8"/>
        </w:numPr>
        <w:spacing w:line="320" w:lineRule="exact"/>
        <w:ind w:firstLineChars="0"/>
        <w:rPr>
          <w:rFonts w:ascii="宋体" w:eastAsia="宋体" w:hAnsi="宋体"/>
          <w:sz w:val="18"/>
          <w:szCs w:val="18"/>
        </w:rPr>
      </w:pPr>
      <w:r>
        <w:rPr>
          <w:rFonts w:ascii="宋体" w:eastAsia="宋体" w:hAnsi="宋体" w:hint="eastAsia"/>
          <w:sz w:val="18"/>
          <w:szCs w:val="18"/>
        </w:rPr>
        <w:t>多角度反射</w:t>
      </w:r>
      <w:r>
        <w:rPr>
          <w:rFonts w:ascii="宋体" w:eastAsia="宋体" w:hAnsi="宋体" w:hint="eastAsia"/>
          <w:sz w:val="18"/>
          <w:szCs w:val="18"/>
        </w:rPr>
        <w:t>-</w:t>
      </w:r>
      <w:r>
        <w:rPr>
          <w:rFonts w:ascii="宋体" w:eastAsia="宋体" w:hAnsi="宋体" w:hint="eastAsia"/>
          <w:sz w:val="18"/>
          <w:szCs w:val="18"/>
        </w:rPr>
        <w:t>透射联合反演的复折射率识别算法</w:t>
      </w:r>
    </w:p>
    <w:p w14:paraId="55EB1FC6"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在薄膜样品的光学参数标定方面，本项目构建了一套多角度反射</w:t>
      </w:r>
      <w:r>
        <w:rPr>
          <w:rFonts w:ascii="宋体" w:eastAsia="宋体" w:hAnsi="宋体"/>
          <w:sz w:val="18"/>
          <w:szCs w:val="18"/>
        </w:rPr>
        <w:t>–</w:t>
      </w:r>
      <w:r>
        <w:rPr>
          <w:rFonts w:ascii="宋体" w:eastAsia="宋体" w:hAnsi="宋体"/>
          <w:sz w:val="18"/>
          <w:szCs w:val="18"/>
        </w:rPr>
        <w:t>透射联合反演的复折射率识别算法。通过同时利用正入射透射率以及不同入射角度条件下的</w:t>
      </w:r>
      <w:r>
        <w:rPr>
          <w:rFonts w:ascii="宋体" w:eastAsia="宋体" w:hAnsi="宋体"/>
          <w:sz w:val="18"/>
          <w:szCs w:val="18"/>
        </w:rPr>
        <w:t>反射率数据，在经典</w:t>
      </w:r>
      <w:r>
        <w:rPr>
          <w:rFonts w:ascii="Times New Roman" w:eastAsia="宋体" w:hAnsi="Times New Roman" w:cs="Times New Roman"/>
          <w:sz w:val="18"/>
          <w:szCs w:val="18"/>
        </w:rPr>
        <w:t>Fresnel</w:t>
      </w:r>
      <w:r>
        <w:rPr>
          <w:rFonts w:ascii="宋体" w:eastAsia="宋体" w:hAnsi="宋体"/>
          <w:sz w:val="18"/>
          <w:szCs w:val="18"/>
        </w:rPr>
        <w:t>边界条件和</w:t>
      </w:r>
      <w:r>
        <w:rPr>
          <w:rFonts w:ascii="Times New Roman" w:eastAsia="宋体" w:hAnsi="Times New Roman" w:cs="Times New Roman"/>
          <w:sz w:val="18"/>
          <w:szCs w:val="18"/>
        </w:rPr>
        <w:t>Beer-Lambert</w:t>
      </w:r>
      <w:r>
        <w:rPr>
          <w:rFonts w:ascii="宋体" w:eastAsia="宋体" w:hAnsi="宋体"/>
          <w:sz w:val="18"/>
          <w:szCs w:val="18"/>
        </w:rPr>
        <w:t>吸收模型的框架下建立</w:t>
      </w:r>
      <w:r>
        <w:rPr>
          <w:rFonts w:ascii="宋体" w:eastAsia="宋体" w:hAnsi="宋体"/>
          <w:sz w:val="18"/>
          <w:szCs w:val="18"/>
        </w:rPr>
        <w:t>“</w:t>
      </w:r>
      <w:r>
        <w:rPr>
          <w:rFonts w:ascii="宋体" w:eastAsia="宋体" w:hAnsi="宋体"/>
          <w:sz w:val="18"/>
          <w:szCs w:val="18"/>
        </w:rPr>
        <w:t>给定复折射率预测反射</w:t>
      </w:r>
      <w:r>
        <w:rPr>
          <w:rFonts w:ascii="宋体" w:eastAsia="宋体" w:hAnsi="宋体"/>
          <w:sz w:val="18"/>
          <w:szCs w:val="18"/>
        </w:rPr>
        <w:t>/</w:t>
      </w:r>
      <w:r>
        <w:rPr>
          <w:rFonts w:ascii="宋体" w:eastAsia="宋体" w:hAnsi="宋体"/>
          <w:sz w:val="18"/>
          <w:szCs w:val="18"/>
        </w:rPr>
        <w:t>透射</w:t>
      </w:r>
      <w:r>
        <w:rPr>
          <w:rFonts w:ascii="宋体" w:eastAsia="宋体" w:hAnsi="宋体"/>
          <w:sz w:val="18"/>
          <w:szCs w:val="18"/>
        </w:rPr>
        <w:t>”</w:t>
      </w:r>
      <w:r>
        <w:rPr>
          <w:rFonts w:ascii="宋体" w:eastAsia="宋体" w:hAnsi="宋体"/>
          <w:sz w:val="18"/>
          <w:szCs w:val="18"/>
        </w:rPr>
        <w:t>的前向模型，并将理论值与实测值之间的平方残差构造成目标函数。随后采用带边界约束的非线性最小二乘优化，对每个波长点单独反演得到最优的复折射率，使同一组参数在多入射角、多通道测量下同时自洽，从而显著提高折射率标定的可靠性与精度。算法实现中预留了基于表面粗糙度参数的反射率校正项，可在需要时将界面散射与粗糙度效应纳入拟合过程。该算法输出的高置信度折射率数据已直接作为后续光学仿真与器件设计的输入，为本项</w:t>
      </w:r>
      <w:r>
        <w:rPr>
          <w:rFonts w:ascii="宋体" w:eastAsia="宋体" w:hAnsi="宋体"/>
          <w:sz w:val="18"/>
          <w:szCs w:val="18"/>
        </w:rPr>
        <w:t>目中光纤传感建模与光学结构优化提供了关键物性参数支撑。</w:t>
      </w:r>
    </w:p>
    <w:p w14:paraId="249EDFC1"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相关算法已在题为</w:t>
      </w:r>
      <w:proofErr w:type="spellStart"/>
      <w:r>
        <w:rPr>
          <w:rFonts w:ascii="宋体" w:eastAsia="宋体" w:hAnsi="宋体"/>
          <w:i/>
          <w:iCs/>
          <w:sz w:val="18"/>
          <w:szCs w:val="18"/>
        </w:rPr>
        <w:t>P</w:t>
      </w:r>
      <w:r>
        <w:rPr>
          <w:rFonts w:ascii="Times New Roman" w:eastAsia="宋体" w:hAnsi="Times New Roman" w:cs="Times New Roman"/>
          <w:i/>
          <w:iCs/>
          <w:sz w:val="18"/>
          <w:szCs w:val="18"/>
        </w:rPr>
        <w:t>hotogranules</w:t>
      </w:r>
      <w:proofErr w:type="spellEnd"/>
      <w:r>
        <w:rPr>
          <w:rFonts w:ascii="Times New Roman" w:eastAsia="宋体" w:hAnsi="Times New Roman" w:cs="Times New Roman"/>
          <w:i/>
          <w:iCs/>
          <w:sz w:val="18"/>
          <w:szCs w:val="18"/>
        </w:rPr>
        <w:t xml:space="preserve"> with Self-organized Waveguide Networks towards Sustainable Wastewater Treatment</w:t>
      </w:r>
      <w:r>
        <w:rPr>
          <w:rFonts w:ascii="宋体" w:eastAsia="宋体" w:hAnsi="宋体" w:hint="eastAsia"/>
          <w:sz w:val="18"/>
          <w:szCs w:val="18"/>
        </w:rPr>
        <w:t>的论文得到应用和检验。</w:t>
      </w:r>
      <w:r>
        <w:rPr>
          <w:rFonts w:ascii="宋体" w:eastAsia="宋体" w:hAnsi="宋体"/>
          <w:sz w:val="18"/>
          <w:szCs w:val="18"/>
        </w:rPr>
        <w:t>本项目负责人马泽炫在该文中为第八作者。论文聚焦具有自组织波导网络结构的光颗粒体系在可持续污水处理中的潜在应用，揭示了其在强化传质与光反应过程中的独特优势。其中一组关键折射率数据的获取与分析，基于本项目开发的光学算法和数值计算平台完成</w:t>
      </w:r>
      <w:r>
        <w:rPr>
          <w:rFonts w:ascii="宋体" w:eastAsia="宋体" w:hAnsi="宋体"/>
          <w:sz w:val="18"/>
          <w:szCs w:val="18"/>
        </w:rPr>
        <w:t>，为文中光学机理的定量刻画提供了重要支撑。该论文目前已投稿</w:t>
      </w:r>
      <w:r>
        <w:rPr>
          <w:rFonts w:ascii="宋体" w:eastAsia="宋体" w:hAnsi="宋体" w:hint="eastAsia"/>
          <w:sz w:val="18"/>
          <w:szCs w:val="18"/>
        </w:rPr>
        <w:t>至</w:t>
      </w:r>
      <w:r>
        <w:rPr>
          <w:rFonts w:ascii="Times New Roman" w:eastAsia="宋体" w:hAnsi="Times New Roman" w:cs="Times New Roman" w:hint="eastAsia"/>
          <w:b/>
          <w:bCs/>
          <w:i/>
          <w:iCs/>
          <w:sz w:val="18"/>
          <w:szCs w:val="18"/>
        </w:rPr>
        <w:t>N</w:t>
      </w:r>
      <w:r>
        <w:rPr>
          <w:rFonts w:ascii="Times New Roman" w:eastAsia="宋体" w:hAnsi="Times New Roman" w:cs="Times New Roman"/>
          <w:b/>
          <w:bCs/>
          <w:i/>
          <w:iCs/>
          <w:sz w:val="18"/>
          <w:szCs w:val="18"/>
        </w:rPr>
        <w:t>ature Sustainability</w:t>
      </w:r>
      <w:r>
        <w:rPr>
          <w:rFonts w:ascii="宋体" w:eastAsia="宋体" w:hAnsi="宋体"/>
          <w:sz w:val="18"/>
          <w:szCs w:val="18"/>
        </w:rPr>
        <w:t>，正在等待审稿意见。需特别说明的是，本项目经费未用于此项工作。</w:t>
      </w:r>
    </w:p>
    <w:p w14:paraId="073D5CB1" w14:textId="77777777" w:rsidR="00F42BB4" w:rsidRDefault="00F42BB4">
      <w:pPr>
        <w:spacing w:line="320" w:lineRule="exact"/>
        <w:ind w:firstLineChars="200" w:firstLine="360"/>
        <w:rPr>
          <w:rFonts w:ascii="宋体" w:eastAsia="宋体" w:hAnsi="宋体"/>
          <w:sz w:val="18"/>
          <w:szCs w:val="18"/>
        </w:rPr>
      </w:pPr>
    </w:p>
    <w:p w14:paraId="699583F7" w14:textId="77777777" w:rsidR="00F42BB4" w:rsidRDefault="0093439D">
      <w:pPr>
        <w:pStyle w:val="a5"/>
        <w:numPr>
          <w:ilvl w:val="0"/>
          <w:numId w:val="6"/>
        </w:numPr>
        <w:spacing w:line="320" w:lineRule="exact"/>
        <w:ind w:firstLineChars="0"/>
        <w:rPr>
          <w:rFonts w:ascii="宋体" w:eastAsia="宋体" w:hAnsi="宋体"/>
          <w:b/>
          <w:bCs/>
          <w:sz w:val="18"/>
          <w:szCs w:val="18"/>
        </w:rPr>
      </w:pPr>
      <w:r>
        <w:rPr>
          <w:rFonts w:ascii="宋体" w:eastAsia="宋体" w:hAnsi="宋体" w:hint="eastAsia"/>
          <w:b/>
          <w:bCs/>
          <w:sz w:val="18"/>
          <w:szCs w:val="18"/>
        </w:rPr>
        <w:t>样机开发与系统集成进展</w:t>
      </w:r>
    </w:p>
    <w:p w14:paraId="2543EE01"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在完成光学机理仿真和信号算法设计后，凌力教授课题组博士研究生王金鑫在其搭建的超材料光纤制备与加工平台和便携式检测样机</w:t>
      </w:r>
      <w:r>
        <w:rPr>
          <w:rFonts w:ascii="宋体" w:eastAsia="宋体" w:hAnsi="宋体"/>
          <w:sz w:val="18"/>
          <w:szCs w:val="18"/>
        </w:rPr>
        <w:t>应用本课题的光学机理仿真和信号算法进一步优化了原本装备的制备及检测性能，整体工作从理论方案逐步走向可运行的硬件设施。</w:t>
      </w:r>
    </w:p>
    <w:p w14:paraId="54C96BBE" w14:textId="77777777" w:rsidR="00F42BB4" w:rsidRDefault="0093439D">
      <w:pPr>
        <w:pStyle w:val="a5"/>
        <w:numPr>
          <w:ilvl w:val="0"/>
          <w:numId w:val="9"/>
        </w:numPr>
        <w:spacing w:line="320" w:lineRule="exact"/>
        <w:ind w:firstLineChars="0"/>
        <w:rPr>
          <w:rFonts w:ascii="宋体" w:eastAsia="宋体" w:hAnsi="宋体"/>
          <w:sz w:val="18"/>
          <w:szCs w:val="18"/>
        </w:rPr>
      </w:pPr>
      <w:r>
        <w:rPr>
          <w:rFonts w:ascii="宋体" w:eastAsia="宋体" w:hAnsi="宋体" w:hint="eastAsia"/>
          <w:sz w:val="18"/>
          <w:szCs w:val="18"/>
        </w:rPr>
        <w:t>光学平台上的原理概念机</w:t>
      </w:r>
    </w:p>
    <w:p w14:paraId="50F7FD9E"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基于宽谱光纤拉曼检测思路，本项目在标准光学平台上搭建了一套原理性概念样机。系统由光纤耦合激光光源、准直与聚焦光学组件、光纤探头及样品池模块、后向散射收集单元和光纤连接的拉曼光谱仪构成，各元件通过可调支架和精密位移台实现光路的多维对准。激发光经准直后耦合入光纤探头，在水样中激发宽谱拉曼散射信号，散射光再由同一探头返回，经滤光与聚焦后送入光谱仪，实现可见</w:t>
      </w:r>
      <w:r>
        <w:rPr>
          <w:rFonts w:ascii="宋体" w:eastAsia="宋体" w:hAnsi="宋体"/>
          <w:sz w:val="18"/>
          <w:szCs w:val="18"/>
        </w:rPr>
        <w:t>–</w:t>
      </w:r>
      <w:r>
        <w:rPr>
          <w:rFonts w:ascii="宋体" w:eastAsia="宋体" w:hAnsi="宋体"/>
          <w:sz w:val="18"/>
          <w:szCs w:val="18"/>
        </w:rPr>
        <w:t>近红外波段的宽谱拉曼响应测量。该概念机已完成基本光路调试和功能验证，能够在实验室条件下稳定获取典型溶液的拉曼特征峰，为后续便携式光纤拉曼检测装置的小型化集成和</w:t>
      </w:r>
      <w:r>
        <w:rPr>
          <w:rFonts w:ascii="宋体" w:eastAsia="宋体" w:hAnsi="宋体"/>
          <w:sz w:val="18"/>
          <w:szCs w:val="18"/>
        </w:rPr>
        <w:t>性能优化提供了重要原型和实验依据。</w:t>
      </w:r>
    </w:p>
    <w:p w14:paraId="4C46AA08" w14:textId="77777777" w:rsidR="00F42BB4" w:rsidRDefault="0093439D">
      <w:pPr>
        <w:pStyle w:val="a5"/>
        <w:numPr>
          <w:ilvl w:val="0"/>
          <w:numId w:val="9"/>
        </w:numPr>
        <w:spacing w:line="320" w:lineRule="exact"/>
        <w:ind w:firstLineChars="0"/>
        <w:rPr>
          <w:rFonts w:ascii="宋体" w:eastAsia="宋体" w:hAnsi="宋体"/>
          <w:sz w:val="18"/>
          <w:szCs w:val="18"/>
        </w:rPr>
      </w:pPr>
      <w:r>
        <w:rPr>
          <w:rFonts w:ascii="宋体" w:eastAsia="宋体" w:hAnsi="宋体" w:hint="eastAsia"/>
          <w:sz w:val="18"/>
          <w:szCs w:val="18"/>
        </w:rPr>
        <w:t>便携式光学检测样机</w:t>
      </w:r>
    </w:p>
    <w:p w14:paraId="7F1AE58B" w14:textId="30B4639F"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前述光场模拟调控及机理分析和信号处理算法迭代优化完成后，本课题的算法与模型被嵌入至王金鑫已自主研发的水体新污染物便携式光学检测设备，作为实际应用载体进行性能验证。该设备由王金鑫前期独立完成整体方案设计、光路搭建及硬件调试，已具备在水环境中开展痕量新污染物检测的可用性能，是本便携式光学检测样机的工程基础。该样机以拉曼与荧光检测为核心光学机理，由激光光源、物镜和</w:t>
      </w:r>
      <w:r w:rsidRPr="000D3777">
        <w:rPr>
          <w:rFonts w:ascii="Times New Roman" w:eastAsia="宋体" w:hAnsi="Times New Roman" w:cs="Times New Roman"/>
          <w:sz w:val="18"/>
          <w:szCs w:val="18"/>
        </w:rPr>
        <w:t>CMOS</w:t>
      </w:r>
      <w:r>
        <w:rPr>
          <w:rFonts w:ascii="宋体" w:eastAsia="宋体" w:hAnsi="宋体" w:hint="eastAsia"/>
          <w:sz w:val="18"/>
          <w:szCs w:val="18"/>
        </w:rPr>
        <w:t>光电传感器构成基本光学链路，并通过前端可更换耦合单元，与光纤探头、免疫芯片等不同形</w:t>
      </w:r>
      <w:r>
        <w:rPr>
          <w:rFonts w:ascii="宋体" w:eastAsia="宋体" w:hAnsi="宋体" w:hint="eastAsia"/>
          <w:sz w:val="18"/>
          <w:szCs w:val="18"/>
        </w:rPr>
        <w:t>式的检测界面实现统一对接。得益于此前设备方案中对光路复用和结构模块化的设计思路，同一套硬件平台既能够承载宽谱拉曼测量所需的光纤检测单元，也能够完成微流控免疫芯片的荧光读出，从而实现光学路径、探测器和数据采集系统的复用。本研究开发的光学机理仿真与信号处理算法进一步嵌入该设备后，有望在不增加显著硬件成本的前提下提升检测灵敏度、降低检测限，并改善复杂水样背景下的识别能力。基于王金鑫前期已实现的小型化、可携行与易操作设计，本研究成果将推动这一设备在流域现场监测和高频布点应用中具备更强可用性和部署价值。需特别说明的是</w:t>
      </w:r>
      <w:r>
        <w:rPr>
          <w:rFonts w:ascii="宋体" w:eastAsia="宋体" w:hAnsi="宋体" w:hint="eastAsia"/>
          <w:sz w:val="18"/>
          <w:szCs w:val="18"/>
        </w:rPr>
        <w:t>，本项目经费未用于设备开发工作，该部分硬件平台归属王金鑫前期研究成果，本课题仅在其基础上进行算法嵌入与性能提升。</w:t>
      </w:r>
    </w:p>
    <w:p w14:paraId="45E4F0B8" w14:textId="77777777" w:rsidR="00F42BB4" w:rsidRDefault="0093439D">
      <w:pPr>
        <w:pStyle w:val="a5"/>
        <w:numPr>
          <w:ilvl w:val="0"/>
          <w:numId w:val="6"/>
        </w:numPr>
        <w:spacing w:line="320" w:lineRule="exact"/>
        <w:ind w:firstLineChars="0"/>
        <w:rPr>
          <w:rFonts w:ascii="宋体" w:eastAsia="宋体" w:hAnsi="宋体"/>
          <w:b/>
          <w:bCs/>
          <w:sz w:val="18"/>
          <w:szCs w:val="18"/>
        </w:rPr>
      </w:pPr>
      <w:r>
        <w:rPr>
          <w:rFonts w:ascii="宋体" w:eastAsia="宋体" w:hAnsi="宋体" w:hint="eastAsia"/>
          <w:b/>
          <w:bCs/>
          <w:sz w:val="18"/>
          <w:szCs w:val="18"/>
        </w:rPr>
        <w:t>与预期计划和目标的比较</w:t>
      </w:r>
    </w:p>
    <w:p w14:paraId="7F3A625D"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总体来看，本课题在技术和实验层面的推进基本符合甚至略快于当初的预期：光学机理仿真、关键参数摸底、便携式样机搭建以及纳克升级别的痕量检测与信号处理算法等核心指标，均已完成阶段性验证，初步达到了立项时设定的形成可运行原型</w:t>
      </w:r>
      <w:r>
        <w:rPr>
          <w:rFonts w:ascii="宋体" w:eastAsia="宋体" w:hAnsi="宋体" w:hint="eastAsia"/>
          <w:sz w:val="18"/>
          <w:szCs w:val="18"/>
        </w:rPr>
        <w:t>与</w:t>
      </w:r>
      <w:r>
        <w:rPr>
          <w:rFonts w:ascii="宋体" w:eastAsia="宋体" w:hAnsi="宋体"/>
          <w:sz w:val="18"/>
          <w:szCs w:val="18"/>
        </w:rPr>
        <w:t>证明技术路线可行的目标。与之相比，面向应用和商业化的部分尚处于起步阶段：包括与外部单位合作开展大批量样本测试、在真实水体和多类型新污染物体系下进行系统性验证</w:t>
      </w:r>
      <w:r>
        <w:rPr>
          <w:rFonts w:ascii="宋体" w:eastAsia="宋体" w:hAnsi="宋体"/>
          <w:sz w:val="18"/>
          <w:szCs w:val="18"/>
        </w:rPr>
        <w:t>，以及围绕不同用户场景（环保、水务、第三方检测等）进行成本</w:t>
      </w:r>
      <w:r>
        <w:rPr>
          <w:rFonts w:ascii="宋体" w:eastAsia="宋体" w:hAnsi="宋体" w:hint="eastAsia"/>
          <w:sz w:val="18"/>
          <w:szCs w:val="18"/>
        </w:rPr>
        <w:t>、</w:t>
      </w:r>
      <w:r>
        <w:rPr>
          <w:rFonts w:ascii="宋体" w:eastAsia="宋体" w:hAnsi="宋体"/>
          <w:sz w:val="18"/>
          <w:szCs w:val="18"/>
        </w:rPr>
        <w:t>效益评估和商业模式小规模试点等工作，目前多数仍停留在方案设计和需求对接层面，尚未展开大规模实证。</w:t>
      </w:r>
    </w:p>
    <w:p w14:paraId="6F1480D7" w14:textId="77777777" w:rsidR="00F42BB4" w:rsidRDefault="00F42BB4">
      <w:pPr>
        <w:spacing w:line="320" w:lineRule="exact"/>
        <w:rPr>
          <w:rFonts w:ascii="宋体" w:eastAsia="宋体" w:hAnsi="宋体"/>
          <w:sz w:val="18"/>
          <w:szCs w:val="18"/>
        </w:rPr>
      </w:pPr>
    </w:p>
    <w:p w14:paraId="191BB49E" w14:textId="77777777" w:rsidR="00F42BB4" w:rsidRDefault="0093439D">
      <w:pPr>
        <w:pStyle w:val="a5"/>
        <w:numPr>
          <w:ilvl w:val="0"/>
          <w:numId w:val="4"/>
        </w:numPr>
        <w:ind w:firstLineChars="0"/>
        <w:jc w:val="center"/>
        <w:rPr>
          <w:rFonts w:ascii="黑体" w:eastAsia="黑体" w:hAnsi="黑体"/>
          <w:sz w:val="28"/>
          <w:szCs w:val="28"/>
        </w:rPr>
      </w:pPr>
      <w:r>
        <w:rPr>
          <w:rFonts w:ascii="黑体" w:eastAsia="黑体" w:hAnsi="黑体" w:hint="eastAsia"/>
          <w:sz w:val="28"/>
          <w:szCs w:val="28"/>
        </w:rPr>
        <w:t>主要困难与预期产出</w:t>
      </w:r>
    </w:p>
    <w:p w14:paraId="56ECDD43" w14:textId="77777777" w:rsidR="00F42BB4" w:rsidRDefault="00F42BB4">
      <w:pPr>
        <w:rPr>
          <w:rFonts w:ascii="宋体" w:eastAsia="宋体" w:hAnsi="宋体"/>
          <w:sz w:val="18"/>
          <w:szCs w:val="18"/>
        </w:rPr>
      </w:pPr>
    </w:p>
    <w:p w14:paraId="57F13CF3" w14:textId="77777777" w:rsidR="00F42BB4" w:rsidRDefault="0093439D">
      <w:pPr>
        <w:pStyle w:val="a5"/>
        <w:numPr>
          <w:ilvl w:val="0"/>
          <w:numId w:val="10"/>
        </w:numPr>
        <w:spacing w:line="320" w:lineRule="exact"/>
        <w:ind w:firstLineChars="0"/>
        <w:rPr>
          <w:rFonts w:ascii="宋体" w:eastAsia="宋体" w:hAnsi="宋体"/>
          <w:b/>
          <w:bCs/>
          <w:sz w:val="18"/>
          <w:szCs w:val="18"/>
        </w:rPr>
      </w:pPr>
      <w:r>
        <w:rPr>
          <w:rFonts w:ascii="宋体" w:eastAsia="宋体" w:hAnsi="宋体" w:hint="eastAsia"/>
          <w:b/>
          <w:bCs/>
          <w:sz w:val="18"/>
          <w:szCs w:val="18"/>
        </w:rPr>
        <w:t>目前面临的主要困难</w:t>
      </w:r>
    </w:p>
    <w:p w14:paraId="5CBC241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目前面临的主要困难主要集中在以下几个方面：光学系统与算法一体化的工程实现难度较高，检测谱系与标准数据库仍需完善，以及从实验室样机到应用示范和商业模式落地的跨越尚待完成。</w:t>
      </w:r>
    </w:p>
    <w:p w14:paraId="7A3BC47B" w14:textId="77777777" w:rsidR="00F42BB4" w:rsidRDefault="0093439D">
      <w:pPr>
        <w:pStyle w:val="a5"/>
        <w:numPr>
          <w:ilvl w:val="0"/>
          <w:numId w:val="11"/>
        </w:numPr>
        <w:spacing w:line="320" w:lineRule="exact"/>
        <w:ind w:firstLineChars="0"/>
        <w:rPr>
          <w:rFonts w:ascii="宋体" w:eastAsia="宋体" w:hAnsi="宋体"/>
          <w:sz w:val="18"/>
          <w:szCs w:val="18"/>
        </w:rPr>
      </w:pPr>
      <w:r>
        <w:rPr>
          <w:rFonts w:ascii="宋体" w:eastAsia="宋体" w:hAnsi="宋体" w:hint="eastAsia"/>
          <w:sz w:val="18"/>
          <w:szCs w:val="18"/>
        </w:rPr>
        <w:t>真实水体与多污染物场景下的系统性验证仍需加强</w:t>
      </w:r>
    </w:p>
    <w:p w14:paraId="7A31D0A9"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目前算法与样机主要在模拟水样和有限种类目标物上完成了灵敏度与检测限验证，能够证明技术路线的可行</w:t>
      </w:r>
      <w:r>
        <w:rPr>
          <w:rFonts w:ascii="宋体" w:eastAsia="宋体" w:hAnsi="宋体"/>
          <w:sz w:val="18"/>
          <w:szCs w:val="18"/>
        </w:rPr>
        <w:t>性，但距离</w:t>
      </w:r>
      <w:r>
        <w:rPr>
          <w:rFonts w:ascii="宋体" w:eastAsia="宋体" w:hAnsi="宋体"/>
          <w:sz w:val="18"/>
          <w:szCs w:val="18"/>
        </w:rPr>
        <w:t>“</w:t>
      </w:r>
      <w:r>
        <w:rPr>
          <w:rFonts w:ascii="宋体" w:eastAsia="宋体" w:hAnsi="宋体"/>
          <w:sz w:val="18"/>
          <w:szCs w:val="18"/>
        </w:rPr>
        <w:t>面向复杂天然水体、多类新污染物的常规应用</w:t>
      </w:r>
      <w:r>
        <w:rPr>
          <w:rFonts w:ascii="宋体" w:eastAsia="宋体" w:hAnsi="宋体"/>
          <w:sz w:val="18"/>
          <w:szCs w:val="18"/>
        </w:rPr>
        <w:t>”</w:t>
      </w:r>
      <w:r>
        <w:rPr>
          <w:rFonts w:ascii="宋体" w:eastAsia="宋体" w:hAnsi="宋体"/>
          <w:sz w:val="18"/>
          <w:szCs w:val="18"/>
        </w:rPr>
        <w:t>还有差距。下一阶段需要在环保部门或合作单位的支持下，设计覆盖不同水体类型、不同季节和多种</w:t>
      </w:r>
      <w:r>
        <w:rPr>
          <w:rFonts w:ascii="宋体" w:eastAsia="宋体" w:hAnsi="宋体" w:hint="eastAsia"/>
          <w:sz w:val="18"/>
          <w:szCs w:val="18"/>
        </w:rPr>
        <w:t>新污染物</w:t>
      </w:r>
      <w:r>
        <w:rPr>
          <w:rFonts w:ascii="宋体" w:eastAsia="宋体" w:hAnsi="宋体"/>
          <w:sz w:val="18"/>
          <w:szCs w:val="18"/>
        </w:rPr>
        <w:t>的联合验证计划，一方面检验系统在长期运行中的稳定性与抗干扰能力，另一方面反向修正光学结构参数和数据处理算法，为后续形成具有推广价值的方法学体系打下基础。</w:t>
      </w:r>
    </w:p>
    <w:p w14:paraId="283A5081" w14:textId="77777777" w:rsidR="00F42BB4" w:rsidRDefault="0093439D">
      <w:pPr>
        <w:pStyle w:val="a5"/>
        <w:numPr>
          <w:ilvl w:val="0"/>
          <w:numId w:val="11"/>
        </w:numPr>
        <w:spacing w:line="320" w:lineRule="exact"/>
        <w:ind w:firstLineChars="0"/>
        <w:rPr>
          <w:rFonts w:ascii="宋体" w:eastAsia="宋体" w:hAnsi="宋体"/>
          <w:sz w:val="18"/>
          <w:szCs w:val="18"/>
        </w:rPr>
      </w:pPr>
      <w:r>
        <w:rPr>
          <w:rFonts w:ascii="宋体" w:eastAsia="宋体" w:hAnsi="宋体" w:hint="eastAsia"/>
          <w:sz w:val="18"/>
          <w:szCs w:val="18"/>
        </w:rPr>
        <w:t>便携化样机的工程化与自动化程度有待进一步提升</w:t>
      </w:r>
    </w:p>
    <w:p w14:paraId="699C4BE4"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当前宽谱光纤拉曼概念机和便携样机已在实验室条件下稳定运行，但在体积重量、结构防护、自动取样与自清洗、长期在线运行等工程化指标上，距离真正面向流域现场和一线监管场景</w:t>
      </w:r>
      <w:r>
        <w:rPr>
          <w:rFonts w:ascii="宋体" w:eastAsia="宋体" w:hAnsi="宋体"/>
          <w:sz w:val="18"/>
          <w:szCs w:val="18"/>
        </w:rPr>
        <w:t>还有提升空间。下一阶段将依托现有光学链路和算法成</w:t>
      </w:r>
      <w:r>
        <w:rPr>
          <w:rFonts w:ascii="宋体" w:eastAsia="宋体" w:hAnsi="宋体"/>
          <w:sz w:val="18"/>
          <w:szCs w:val="18"/>
        </w:rPr>
        <w:lastRenderedPageBreak/>
        <w:t>果，重点围绕光机一体化封装、低功耗电子与嵌入式控制、模块化采样单元等方向开展优化设计，在不牺牲检测性能的前提下进一步降低系统复杂度和维护成本，从而为后续小批量试制和示范部署创造条件。</w:t>
      </w:r>
    </w:p>
    <w:p w14:paraId="6A4B825B" w14:textId="77777777" w:rsidR="00F42BB4" w:rsidRDefault="0093439D">
      <w:pPr>
        <w:pStyle w:val="a5"/>
        <w:numPr>
          <w:ilvl w:val="0"/>
          <w:numId w:val="11"/>
        </w:numPr>
        <w:spacing w:line="320" w:lineRule="exact"/>
        <w:ind w:firstLineChars="0"/>
        <w:rPr>
          <w:rFonts w:ascii="宋体" w:eastAsia="宋体" w:hAnsi="宋体"/>
          <w:sz w:val="18"/>
          <w:szCs w:val="18"/>
        </w:rPr>
      </w:pPr>
      <w:r>
        <w:rPr>
          <w:rFonts w:ascii="宋体" w:eastAsia="宋体" w:hAnsi="宋体" w:hint="eastAsia"/>
          <w:sz w:val="18"/>
          <w:szCs w:val="18"/>
        </w:rPr>
        <w:t>检测谱系与标准物质数据库尚不完备</w:t>
      </w:r>
    </w:p>
    <w:p w14:paraId="0630921B"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当前工作已围绕若干典型抗生素和模型污染物建立了光谱响应与定量关系，但从实际应用视角看，面向监管和科研用户仍需覆盖更广泛的新污染物种类，并形成可复用的</w:t>
      </w:r>
      <w:r>
        <w:rPr>
          <w:rFonts w:ascii="宋体" w:eastAsia="宋体" w:hAnsi="宋体"/>
          <w:sz w:val="18"/>
          <w:szCs w:val="18"/>
        </w:rPr>
        <w:t>“</w:t>
      </w:r>
      <w:r>
        <w:rPr>
          <w:rFonts w:ascii="宋体" w:eastAsia="宋体" w:hAnsi="宋体"/>
          <w:sz w:val="18"/>
          <w:szCs w:val="18"/>
        </w:rPr>
        <w:t>目标物</w:t>
      </w:r>
      <w:r>
        <w:rPr>
          <w:rFonts w:ascii="宋体" w:eastAsia="宋体" w:hAnsi="宋体"/>
          <w:sz w:val="18"/>
          <w:szCs w:val="18"/>
        </w:rPr>
        <w:t>-</w:t>
      </w:r>
      <w:r>
        <w:rPr>
          <w:rFonts w:ascii="宋体" w:eastAsia="宋体" w:hAnsi="宋体"/>
          <w:sz w:val="18"/>
          <w:szCs w:val="18"/>
        </w:rPr>
        <w:t>芯片</w:t>
      </w:r>
      <w:r>
        <w:rPr>
          <w:rFonts w:ascii="宋体" w:eastAsia="宋体" w:hAnsi="宋体"/>
          <w:sz w:val="18"/>
          <w:szCs w:val="18"/>
        </w:rPr>
        <w:t>-</w:t>
      </w:r>
      <w:r>
        <w:rPr>
          <w:rFonts w:ascii="宋体" w:eastAsia="宋体" w:hAnsi="宋体"/>
          <w:sz w:val="18"/>
          <w:szCs w:val="18"/>
        </w:rPr>
        <w:t>算法</w:t>
      </w:r>
      <w:r>
        <w:rPr>
          <w:rFonts w:ascii="宋体" w:eastAsia="宋体" w:hAnsi="宋体"/>
          <w:sz w:val="18"/>
          <w:szCs w:val="18"/>
        </w:rPr>
        <w:t>”</w:t>
      </w:r>
      <w:r>
        <w:rPr>
          <w:rFonts w:ascii="宋体" w:eastAsia="宋体" w:hAnsi="宋体"/>
          <w:sz w:val="18"/>
          <w:szCs w:val="18"/>
        </w:rPr>
        <w:t>组合方案。下一阶段计划在现有平台上丰富标准溶液与真实样本数据库，同时将拉曼背</w:t>
      </w:r>
      <w:r>
        <w:rPr>
          <w:rFonts w:ascii="宋体" w:eastAsia="宋体" w:hAnsi="宋体"/>
          <w:sz w:val="18"/>
          <w:szCs w:val="18"/>
        </w:rPr>
        <w:t>景扣除、分布演化解析和折射率反演等算法模块封装为标准化工具，逐步构建适用于不同场景的检测谱系与算法库，提升系统的通用性和可扩展性。</w:t>
      </w:r>
    </w:p>
    <w:p w14:paraId="0AD16CEE" w14:textId="77777777" w:rsidR="00F42BB4" w:rsidRDefault="0093439D">
      <w:pPr>
        <w:pStyle w:val="a5"/>
        <w:numPr>
          <w:ilvl w:val="0"/>
          <w:numId w:val="11"/>
        </w:numPr>
        <w:spacing w:line="320" w:lineRule="exact"/>
        <w:ind w:firstLineChars="0"/>
        <w:rPr>
          <w:rFonts w:ascii="宋体" w:eastAsia="宋体" w:hAnsi="宋体"/>
          <w:sz w:val="18"/>
          <w:szCs w:val="18"/>
        </w:rPr>
      </w:pPr>
      <w:r>
        <w:rPr>
          <w:rFonts w:ascii="宋体" w:eastAsia="宋体" w:hAnsi="宋体" w:hint="eastAsia"/>
          <w:sz w:val="18"/>
          <w:szCs w:val="18"/>
        </w:rPr>
        <w:t>示范应用与商业模式小规模试点有待落地。</w:t>
      </w:r>
    </w:p>
    <w:p w14:paraId="5B8FCC3A" w14:textId="77777777" w:rsidR="00F42BB4" w:rsidRDefault="0093439D">
      <w:pPr>
        <w:spacing w:line="320" w:lineRule="exact"/>
        <w:ind w:firstLineChars="200" w:firstLine="360"/>
        <w:rPr>
          <w:rFonts w:ascii="宋体" w:eastAsia="宋体" w:hAnsi="宋体"/>
          <w:sz w:val="18"/>
          <w:szCs w:val="18"/>
        </w:rPr>
      </w:pPr>
      <w:bookmarkStart w:id="0" w:name="OLE_LINK6"/>
      <w:r>
        <w:rPr>
          <w:rFonts w:ascii="宋体" w:eastAsia="宋体" w:hAnsi="宋体"/>
          <w:sz w:val="18"/>
          <w:szCs w:val="18"/>
        </w:rPr>
        <w:t>项目已与净水器企业、过滤技术公司、</w:t>
      </w:r>
      <w:r>
        <w:rPr>
          <w:rFonts w:ascii="Times New Roman" w:eastAsia="宋体" w:hAnsi="Times New Roman" w:cs="Times New Roman"/>
          <w:sz w:val="18"/>
          <w:szCs w:val="18"/>
        </w:rPr>
        <w:t>IVD/POCT</w:t>
      </w:r>
      <w:r>
        <w:rPr>
          <w:rFonts w:ascii="宋体" w:eastAsia="宋体" w:hAnsi="宋体"/>
          <w:sz w:val="18"/>
          <w:szCs w:val="18"/>
        </w:rPr>
        <w:t>企业及光学仪器企业建立了初步合作意向，但目前仍主要停留在技术交流与方案对接阶段。下一阶段的关键在于选择</w:t>
      </w:r>
      <w:r>
        <w:rPr>
          <w:rFonts w:ascii="宋体" w:eastAsia="宋体" w:hAnsi="宋体" w:hint="eastAsia"/>
          <w:sz w:val="18"/>
          <w:szCs w:val="18"/>
        </w:rPr>
        <w:t>1</w:t>
      </w:r>
      <w:r>
        <w:rPr>
          <w:rFonts w:ascii="宋体" w:eastAsia="宋体" w:hAnsi="宋体"/>
          <w:sz w:val="18"/>
          <w:szCs w:val="18"/>
        </w:rPr>
        <w:t>-2</w:t>
      </w:r>
      <w:r>
        <w:rPr>
          <w:rFonts w:ascii="宋体" w:eastAsia="宋体" w:hAnsi="宋体"/>
          <w:sz w:val="18"/>
          <w:szCs w:val="18"/>
        </w:rPr>
        <w:t>个代表性场景</w:t>
      </w:r>
      <w:r>
        <w:rPr>
          <w:rFonts w:ascii="宋体" w:eastAsia="宋体" w:hAnsi="宋体" w:hint="eastAsia"/>
          <w:sz w:val="18"/>
          <w:szCs w:val="18"/>
        </w:rPr>
        <w:t>,</w:t>
      </w:r>
      <w:r>
        <w:rPr>
          <w:rFonts w:ascii="宋体" w:eastAsia="宋体" w:hAnsi="宋体" w:hint="eastAsia"/>
          <w:sz w:val="18"/>
          <w:szCs w:val="18"/>
        </w:rPr>
        <w:t>比</w:t>
      </w:r>
      <w:r>
        <w:rPr>
          <w:rFonts w:ascii="宋体" w:eastAsia="宋体" w:hAnsi="宋体"/>
          <w:sz w:val="18"/>
          <w:szCs w:val="18"/>
        </w:rPr>
        <w:t>如某流域重点断面监测、污水处理厂出水在线筛查、缉毒废水快速筛查示范等，联合合作伙伴完成从样机部署、方法学比对到成本</w:t>
      </w:r>
      <w:r>
        <w:rPr>
          <w:rFonts w:ascii="宋体" w:eastAsia="宋体" w:hAnsi="宋体"/>
          <w:sz w:val="18"/>
          <w:szCs w:val="18"/>
        </w:rPr>
        <w:t>-</w:t>
      </w:r>
      <w:r>
        <w:rPr>
          <w:rFonts w:ascii="宋体" w:eastAsia="宋体" w:hAnsi="宋体"/>
          <w:sz w:val="18"/>
          <w:szCs w:val="18"/>
        </w:rPr>
        <w:t>效益评估的闭环验证。在这一过程中，一方面可以真实检验系统在不同用户侧的适配度和运维要求，另一方面也有助于进一步打磨</w:t>
      </w:r>
      <w:r>
        <w:rPr>
          <w:rFonts w:ascii="宋体" w:eastAsia="宋体" w:hAnsi="宋体"/>
          <w:sz w:val="18"/>
          <w:szCs w:val="18"/>
        </w:rPr>
        <w:t>“</w:t>
      </w:r>
      <w:r>
        <w:rPr>
          <w:rFonts w:ascii="宋体" w:eastAsia="宋体" w:hAnsi="宋体"/>
          <w:sz w:val="18"/>
          <w:szCs w:val="18"/>
        </w:rPr>
        <w:t>业务模型，为后续规模化推广提供数据与案例支撑。</w:t>
      </w:r>
    </w:p>
    <w:bookmarkEnd w:id="0"/>
    <w:p w14:paraId="5DC4CED8" w14:textId="77777777" w:rsidR="00F42BB4" w:rsidRDefault="00F42BB4">
      <w:pPr>
        <w:spacing w:line="320" w:lineRule="exact"/>
        <w:rPr>
          <w:rFonts w:ascii="宋体" w:eastAsia="宋体" w:hAnsi="宋体"/>
          <w:sz w:val="18"/>
          <w:szCs w:val="18"/>
        </w:rPr>
      </w:pPr>
    </w:p>
    <w:p w14:paraId="2CD2B79F" w14:textId="77777777" w:rsidR="00F42BB4" w:rsidRDefault="0093439D">
      <w:pPr>
        <w:pStyle w:val="a5"/>
        <w:numPr>
          <w:ilvl w:val="0"/>
          <w:numId w:val="10"/>
        </w:numPr>
        <w:spacing w:line="320" w:lineRule="exact"/>
        <w:ind w:firstLineChars="0"/>
        <w:rPr>
          <w:rFonts w:ascii="宋体" w:eastAsia="宋体" w:hAnsi="宋体"/>
          <w:b/>
          <w:bCs/>
          <w:sz w:val="18"/>
          <w:szCs w:val="18"/>
        </w:rPr>
      </w:pPr>
      <w:r>
        <w:rPr>
          <w:rFonts w:ascii="宋体" w:eastAsia="宋体" w:hAnsi="宋体" w:hint="eastAsia"/>
          <w:b/>
          <w:bCs/>
          <w:sz w:val="18"/>
          <w:szCs w:val="18"/>
        </w:rPr>
        <w:t>预期可形成的主要产出</w:t>
      </w:r>
    </w:p>
    <w:p w14:paraId="2ADB16F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依托前期在光学机理仿真、信号处理算法和便携式样机搭建方面的工作基础，结合后续在真实水体验证和产业协同中的推进，项目实施期结束时预计可形成如下几类代表性成果</w:t>
      </w:r>
      <w:r>
        <w:rPr>
          <w:rFonts w:ascii="宋体" w:eastAsia="宋体" w:hAnsi="宋体" w:hint="eastAsia"/>
          <w:sz w:val="18"/>
          <w:szCs w:val="18"/>
        </w:rPr>
        <w:t>。</w:t>
      </w:r>
    </w:p>
    <w:p w14:paraId="320DEC03" w14:textId="77777777" w:rsidR="00F42BB4" w:rsidRDefault="0093439D">
      <w:pPr>
        <w:pStyle w:val="a5"/>
        <w:numPr>
          <w:ilvl w:val="0"/>
          <w:numId w:val="12"/>
        </w:numPr>
        <w:spacing w:line="320" w:lineRule="exact"/>
        <w:ind w:firstLineChars="0"/>
        <w:rPr>
          <w:rFonts w:ascii="宋体" w:eastAsia="宋体" w:hAnsi="宋体"/>
          <w:sz w:val="18"/>
          <w:szCs w:val="18"/>
        </w:rPr>
      </w:pPr>
      <w:r>
        <w:rPr>
          <w:rFonts w:ascii="宋体" w:eastAsia="宋体" w:hAnsi="宋体" w:hint="eastAsia"/>
          <w:sz w:val="18"/>
          <w:szCs w:val="18"/>
        </w:rPr>
        <w:t>光学机理仿真模型与参数优化图谱</w:t>
      </w:r>
    </w:p>
    <w:p w14:paraId="5B23EB7B" w14:textId="77777777" w:rsidR="00F42BB4" w:rsidRDefault="0093439D">
      <w:pPr>
        <w:widowControl/>
        <w:ind w:firstLineChars="200" w:firstLine="360"/>
        <w:jc w:val="left"/>
        <w:rPr>
          <w:rFonts w:ascii="宋体" w:eastAsia="宋体" w:hAnsi="宋体"/>
          <w:sz w:val="18"/>
          <w:szCs w:val="18"/>
        </w:rPr>
      </w:pPr>
      <w:r>
        <w:rPr>
          <w:rFonts w:ascii="宋体" w:eastAsia="宋体" w:hAnsi="宋体"/>
          <w:sz w:val="18"/>
          <w:szCs w:val="18"/>
        </w:rPr>
        <w:t>依托</w:t>
      </w:r>
      <w:r>
        <w:rPr>
          <w:rFonts w:ascii="Times New Roman" w:eastAsia="宋体" w:hAnsi="Times New Roman" w:cs="Times New Roman"/>
          <w:sz w:val="18"/>
          <w:szCs w:val="18"/>
        </w:rPr>
        <w:t>COMSOL</w:t>
      </w:r>
      <w:r>
        <w:rPr>
          <w:rFonts w:ascii="宋体" w:eastAsia="宋体" w:hAnsi="宋体"/>
          <w:sz w:val="18"/>
          <w:szCs w:val="18"/>
        </w:rPr>
        <w:t>等仿真平台，继续完善光纤倏逝波</w:t>
      </w:r>
      <w:r>
        <w:rPr>
          <w:rFonts w:ascii="宋体" w:eastAsia="宋体" w:hAnsi="宋体"/>
          <w:sz w:val="18"/>
          <w:szCs w:val="18"/>
        </w:rPr>
        <w:t>-</w:t>
      </w:r>
      <w:r>
        <w:rPr>
          <w:rFonts w:ascii="宋体" w:eastAsia="宋体" w:hAnsi="宋体"/>
          <w:sz w:val="18"/>
          <w:szCs w:val="18"/>
        </w:rPr>
        <w:t>镀层结构耦合模型以及量子点标记界面局域光场模型，形成一套可复用的光学仿真模型库与脚本工具；在此基础上，通过对纤芯</w:t>
      </w:r>
      <w:r>
        <w:rPr>
          <w:rFonts w:ascii="宋体" w:eastAsia="宋体" w:hAnsi="宋体"/>
          <w:sz w:val="18"/>
          <w:szCs w:val="18"/>
        </w:rPr>
        <w:t>/</w:t>
      </w:r>
      <w:r>
        <w:rPr>
          <w:rFonts w:ascii="宋体" w:eastAsia="宋体" w:hAnsi="宋体"/>
          <w:sz w:val="18"/>
          <w:szCs w:val="18"/>
        </w:rPr>
        <w:t>包层材料、镀层厚度与折射率、量子点负载密度等关键参数的系统扫描，给出若干</w:t>
      </w:r>
      <w:r>
        <w:rPr>
          <w:rFonts w:ascii="宋体" w:eastAsia="宋体" w:hAnsi="宋体"/>
          <w:sz w:val="18"/>
          <w:szCs w:val="18"/>
        </w:rPr>
        <w:t>“</w:t>
      </w:r>
      <w:r>
        <w:rPr>
          <w:rFonts w:ascii="宋体" w:eastAsia="宋体" w:hAnsi="宋体"/>
          <w:sz w:val="18"/>
          <w:szCs w:val="18"/>
        </w:rPr>
        <w:t>高灵敏度</w:t>
      </w:r>
      <w:r>
        <w:rPr>
          <w:rFonts w:ascii="宋体" w:eastAsia="宋体" w:hAnsi="宋体"/>
          <w:sz w:val="18"/>
          <w:szCs w:val="18"/>
        </w:rPr>
        <w:t>-</w:t>
      </w:r>
      <w:r>
        <w:rPr>
          <w:rFonts w:ascii="宋体" w:eastAsia="宋体" w:hAnsi="宋体"/>
          <w:sz w:val="18"/>
          <w:szCs w:val="18"/>
        </w:rPr>
        <w:t>低损耗</w:t>
      </w:r>
      <w:r>
        <w:rPr>
          <w:rFonts w:ascii="宋体" w:eastAsia="宋体" w:hAnsi="宋体"/>
          <w:sz w:val="18"/>
          <w:szCs w:val="18"/>
        </w:rPr>
        <w:t>”“</w:t>
      </w:r>
      <w:r>
        <w:rPr>
          <w:rFonts w:ascii="宋体" w:eastAsia="宋体" w:hAnsi="宋体"/>
          <w:sz w:val="18"/>
          <w:szCs w:val="18"/>
        </w:rPr>
        <w:t>有效信号</w:t>
      </w:r>
      <w:r>
        <w:rPr>
          <w:rFonts w:ascii="宋体" w:eastAsia="宋体" w:hAnsi="宋体"/>
          <w:sz w:val="18"/>
          <w:szCs w:val="18"/>
        </w:rPr>
        <w:t>-</w:t>
      </w:r>
      <w:r>
        <w:rPr>
          <w:rFonts w:ascii="宋体" w:eastAsia="宋体" w:hAnsi="宋体"/>
          <w:sz w:val="18"/>
          <w:szCs w:val="18"/>
        </w:rPr>
        <w:t>可控背景</w:t>
      </w:r>
      <w:r>
        <w:rPr>
          <w:rFonts w:ascii="宋体" w:eastAsia="宋体" w:hAnsi="宋体"/>
          <w:sz w:val="18"/>
          <w:szCs w:val="18"/>
        </w:rPr>
        <w:t>”</w:t>
      </w:r>
      <w:r>
        <w:rPr>
          <w:rFonts w:ascii="宋体" w:eastAsia="宋体" w:hAnsi="宋体"/>
          <w:sz w:val="18"/>
          <w:szCs w:val="18"/>
        </w:rPr>
        <w:t>兼顾较好的参数窗口，汇总形成面向工程设计的光学</w:t>
      </w:r>
      <w:r>
        <w:rPr>
          <w:rFonts w:ascii="宋体" w:eastAsia="宋体" w:hAnsi="宋体"/>
          <w:sz w:val="18"/>
          <w:szCs w:val="18"/>
        </w:rPr>
        <w:t>参数优化图谱和设计指南。这一成果既可直接指导后续原位检测装置结构设计与迭代，也可作为后续论文与专利的重要理论支撑</w:t>
      </w:r>
      <w:r>
        <w:rPr>
          <w:rFonts w:ascii="宋体" w:eastAsia="宋体" w:hAnsi="宋体" w:hint="eastAsia"/>
          <w:sz w:val="18"/>
          <w:szCs w:val="18"/>
        </w:rPr>
        <w:t>。</w:t>
      </w:r>
    </w:p>
    <w:p w14:paraId="0C0DB6F6" w14:textId="77777777" w:rsidR="00F42BB4" w:rsidRDefault="0093439D">
      <w:pPr>
        <w:pStyle w:val="a5"/>
        <w:numPr>
          <w:ilvl w:val="0"/>
          <w:numId w:val="12"/>
        </w:numPr>
        <w:spacing w:line="320" w:lineRule="exact"/>
        <w:ind w:firstLineChars="0"/>
        <w:rPr>
          <w:rFonts w:ascii="宋体" w:eastAsia="宋体" w:hAnsi="宋体"/>
          <w:sz w:val="18"/>
          <w:szCs w:val="18"/>
        </w:rPr>
      </w:pPr>
      <w:r>
        <w:rPr>
          <w:rFonts w:ascii="宋体" w:eastAsia="宋体" w:hAnsi="宋体"/>
          <w:sz w:val="18"/>
          <w:szCs w:val="18"/>
        </w:rPr>
        <w:t>较为成熟的</w:t>
      </w:r>
      <w:r>
        <w:rPr>
          <w:rFonts w:ascii="宋体" w:eastAsia="宋体" w:hAnsi="宋体" w:hint="eastAsia"/>
          <w:sz w:val="18"/>
          <w:szCs w:val="18"/>
        </w:rPr>
        <w:t>便携式光学检测原型系统</w:t>
      </w:r>
      <w:r>
        <w:rPr>
          <w:rFonts w:ascii="宋体" w:eastAsia="宋体" w:hAnsi="宋体"/>
          <w:sz w:val="18"/>
          <w:szCs w:val="18"/>
        </w:rPr>
        <w:t>检测流程</w:t>
      </w:r>
    </w:p>
    <w:p w14:paraId="0530B6B7"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围绕首代便携式光学检测原型系统，预期将建立一套较为成熟的标准化检测流程，涵盖硬件启动、光路校正、自动调焦、信号采集及算法处理等关键环节。在硬件侧，将通过内置参考光源和标准样品，实现对激发功率、光谱响应与成像视场的快速标定，并引入自动</w:t>
      </w:r>
      <w:r>
        <w:rPr>
          <w:rFonts w:ascii="宋体" w:eastAsia="宋体" w:hAnsi="宋体"/>
          <w:sz w:val="18"/>
          <w:szCs w:val="18"/>
        </w:rPr>
        <w:t>/</w:t>
      </w:r>
      <w:r>
        <w:rPr>
          <w:rFonts w:ascii="宋体" w:eastAsia="宋体" w:hAnsi="宋体"/>
          <w:sz w:val="18"/>
          <w:szCs w:val="18"/>
        </w:rPr>
        <w:t>半自动调焦策略，保证拉曼采集区域与荧光成像平面稳定工作在接近最佳焦距的位置</w:t>
      </w:r>
      <w:r>
        <w:rPr>
          <w:rFonts w:ascii="宋体" w:eastAsia="宋体" w:hAnsi="宋体" w:hint="eastAsia"/>
          <w:sz w:val="18"/>
          <w:szCs w:val="18"/>
        </w:rPr>
        <w:t>。</w:t>
      </w:r>
      <w:r>
        <w:rPr>
          <w:rFonts w:ascii="宋体" w:eastAsia="宋体" w:hAnsi="宋体"/>
          <w:sz w:val="18"/>
          <w:szCs w:val="18"/>
        </w:rPr>
        <w:t>在样品加载与检测过程中，对激发功率、积分时间</w:t>
      </w:r>
      <w:r>
        <w:rPr>
          <w:rFonts w:ascii="宋体" w:eastAsia="宋体" w:hAnsi="宋体"/>
          <w:sz w:val="18"/>
          <w:szCs w:val="18"/>
        </w:rPr>
        <w:t>、扫描路径等参数进行统一设定，以减小不同批次芯片和操作人员之间的差异</w:t>
      </w:r>
      <w:r>
        <w:rPr>
          <w:rFonts w:ascii="宋体" w:eastAsia="宋体" w:hAnsi="宋体" w:hint="eastAsia"/>
          <w:sz w:val="18"/>
          <w:szCs w:val="18"/>
        </w:rPr>
        <w:t>。</w:t>
      </w:r>
    </w:p>
    <w:p w14:paraId="38DE3890" w14:textId="77777777" w:rsidR="00F42BB4" w:rsidRDefault="0093439D">
      <w:pPr>
        <w:pStyle w:val="a5"/>
        <w:numPr>
          <w:ilvl w:val="0"/>
          <w:numId w:val="12"/>
        </w:numPr>
        <w:spacing w:line="320" w:lineRule="exact"/>
        <w:ind w:firstLineChars="0"/>
        <w:rPr>
          <w:rFonts w:ascii="宋体" w:eastAsia="宋体" w:hAnsi="宋体"/>
          <w:sz w:val="18"/>
          <w:szCs w:val="18"/>
        </w:rPr>
      </w:pPr>
      <w:r>
        <w:rPr>
          <w:rFonts w:ascii="宋体" w:eastAsia="宋体" w:hAnsi="宋体" w:hint="eastAsia"/>
          <w:sz w:val="18"/>
          <w:szCs w:val="18"/>
        </w:rPr>
        <w:t>真实场景示范数据与标准物质数据库</w:t>
      </w:r>
    </w:p>
    <w:p w14:paraId="402CBAFD" w14:textId="77777777" w:rsidR="00F42BB4" w:rsidRDefault="0093439D">
      <w:pPr>
        <w:spacing w:line="320" w:lineRule="exact"/>
        <w:ind w:firstLineChars="200" w:firstLine="360"/>
        <w:rPr>
          <w:rFonts w:ascii="宋体" w:eastAsia="宋体" w:hAnsi="宋体"/>
          <w:sz w:val="18"/>
          <w:szCs w:val="18"/>
        </w:rPr>
      </w:pPr>
      <w:bookmarkStart w:id="1" w:name="OLE_LINK7"/>
      <w:r>
        <w:rPr>
          <w:rFonts w:ascii="宋体" w:eastAsia="宋体" w:hAnsi="宋体" w:hint="eastAsia"/>
          <w:sz w:val="18"/>
          <w:szCs w:val="18"/>
        </w:rPr>
        <w:t>通</w:t>
      </w:r>
      <w:r>
        <w:rPr>
          <w:rFonts w:ascii="宋体" w:eastAsia="宋体" w:hAnsi="宋体"/>
          <w:sz w:val="18"/>
          <w:szCs w:val="18"/>
        </w:rPr>
        <w:t>过与环保部门、水务单位及合作企业的联合测试，在流域断面、污水处理关键节点以及特殊场景（如缉毒废水筛查）中，获取一定规模的真实水体光学检测数据集，并与传统色谱</w:t>
      </w:r>
      <w:r>
        <w:rPr>
          <w:rFonts w:ascii="宋体" w:eastAsia="宋体" w:hAnsi="宋体"/>
          <w:sz w:val="18"/>
          <w:szCs w:val="18"/>
        </w:rPr>
        <w:t>–</w:t>
      </w:r>
      <w:r>
        <w:rPr>
          <w:rFonts w:ascii="宋体" w:eastAsia="宋体" w:hAnsi="宋体"/>
          <w:sz w:val="18"/>
          <w:szCs w:val="18"/>
        </w:rPr>
        <w:t>质谱结果进行比对验证，建立涵盖多类目标物和典型基质条件的标准物质与实测样本数据库。该数据库将为后续算法优化、模型迁移以及新污染物谱系扩展提供重要数据支撑</w:t>
      </w:r>
      <w:r>
        <w:rPr>
          <w:rFonts w:ascii="宋体" w:eastAsia="宋体" w:hAnsi="宋体" w:hint="eastAsia"/>
          <w:sz w:val="18"/>
          <w:szCs w:val="18"/>
        </w:rPr>
        <w:t>。</w:t>
      </w:r>
    </w:p>
    <w:bookmarkEnd w:id="1"/>
    <w:p w14:paraId="0F0E4B1D" w14:textId="77777777" w:rsidR="00F42BB4" w:rsidRDefault="0093439D">
      <w:pPr>
        <w:pStyle w:val="a5"/>
        <w:numPr>
          <w:ilvl w:val="0"/>
          <w:numId w:val="12"/>
        </w:numPr>
        <w:spacing w:line="320" w:lineRule="exact"/>
        <w:ind w:firstLineChars="0"/>
        <w:rPr>
          <w:rFonts w:ascii="宋体" w:eastAsia="宋体" w:hAnsi="宋体"/>
          <w:sz w:val="18"/>
          <w:szCs w:val="18"/>
        </w:rPr>
      </w:pPr>
      <w:r>
        <w:rPr>
          <w:rFonts w:ascii="宋体" w:eastAsia="宋体" w:hAnsi="宋体" w:hint="eastAsia"/>
          <w:sz w:val="18"/>
          <w:szCs w:val="18"/>
        </w:rPr>
        <w:t>相关论文、专利及技术报告</w:t>
      </w:r>
    </w:p>
    <w:p w14:paraId="32644ACA"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围绕便携式光学原位检测体系的光场调控机理、拉曼与荧光信号处理方法</w:t>
      </w:r>
      <w:r>
        <w:rPr>
          <w:rFonts w:ascii="宋体" w:eastAsia="宋体" w:hAnsi="宋体"/>
          <w:sz w:val="18"/>
          <w:szCs w:val="18"/>
        </w:rPr>
        <w:t>以及超材料光纤结构优化等方向，形成</w:t>
      </w:r>
      <w:r>
        <w:rPr>
          <w:rFonts w:ascii="Times New Roman" w:eastAsia="宋体" w:hAnsi="Times New Roman" w:cs="Times New Roman"/>
          <w:sz w:val="18"/>
          <w:szCs w:val="18"/>
        </w:rPr>
        <w:t>2-3</w:t>
      </w:r>
      <w:r>
        <w:rPr>
          <w:rFonts w:ascii="宋体" w:eastAsia="宋体" w:hAnsi="宋体"/>
          <w:sz w:val="18"/>
          <w:szCs w:val="18"/>
        </w:rPr>
        <w:t>篇高水平学术论文，系统总结本课题在新污染物痕量检测方面的技术路线与实验成果。在现有软件著作权和发明专利基础上，力争进一步凝练</w:t>
      </w:r>
      <w:r>
        <w:rPr>
          <w:rFonts w:ascii="Times New Roman" w:eastAsia="宋体" w:hAnsi="Times New Roman" w:cs="Times New Roman"/>
          <w:sz w:val="18"/>
          <w:szCs w:val="18"/>
        </w:rPr>
        <w:t>1-2</w:t>
      </w:r>
      <w:r>
        <w:rPr>
          <w:rFonts w:ascii="宋体" w:eastAsia="宋体" w:hAnsi="宋体"/>
          <w:sz w:val="18"/>
          <w:szCs w:val="18"/>
        </w:rPr>
        <w:t>项具有推广潜力的发明专利和算法相关软件著作权，为后续成果转化夯实知识产权基础。</w:t>
      </w:r>
    </w:p>
    <w:p w14:paraId="4C95E426" w14:textId="77777777" w:rsidR="00F42BB4" w:rsidRDefault="0093439D">
      <w:pPr>
        <w:pStyle w:val="a5"/>
        <w:numPr>
          <w:ilvl w:val="0"/>
          <w:numId w:val="12"/>
        </w:numPr>
        <w:spacing w:line="320" w:lineRule="exact"/>
        <w:ind w:firstLineChars="0"/>
        <w:rPr>
          <w:rFonts w:ascii="宋体" w:eastAsia="宋体" w:hAnsi="宋体"/>
          <w:sz w:val="18"/>
          <w:szCs w:val="18"/>
        </w:rPr>
      </w:pPr>
      <w:r>
        <w:rPr>
          <w:rFonts w:ascii="宋体" w:eastAsia="宋体" w:hAnsi="宋体" w:hint="eastAsia"/>
          <w:sz w:val="18"/>
          <w:szCs w:val="18"/>
        </w:rPr>
        <w:t>创业雏形与人才培养成效</w:t>
      </w:r>
    </w:p>
    <w:p w14:paraId="2D5E6B8F"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在模拟创业与企业雏形建设方面，进一步完善水环境新污染物便携式检测解决方案提供商的企业定位，形成较为完整的商业计划书、路演材料和一套可操作的业务模型，并在</w:t>
      </w:r>
      <w:r>
        <w:rPr>
          <w:rFonts w:ascii="Times New Roman" w:eastAsia="宋体" w:hAnsi="Times New Roman" w:cs="Times New Roman"/>
          <w:sz w:val="18"/>
          <w:szCs w:val="18"/>
        </w:rPr>
        <w:t>3</w:t>
      </w:r>
      <w:r>
        <w:rPr>
          <w:rFonts w:ascii="宋体" w:eastAsia="宋体" w:hAnsi="宋体"/>
          <w:sz w:val="18"/>
          <w:szCs w:val="18"/>
        </w:rPr>
        <w:t>个合作场景中完成小范围试点验证。通过项目全过程训练，预期培养一批兼具环境科学、光学工</w:t>
      </w:r>
      <w:r>
        <w:rPr>
          <w:rFonts w:ascii="宋体" w:eastAsia="宋体" w:hAnsi="宋体"/>
          <w:sz w:val="18"/>
          <w:szCs w:val="18"/>
        </w:rPr>
        <w:t>程与创新创业素养的复合型本科生，为学校在新污染物治理与高端装备领域的人才储备和学科交叉发展提供支撑</w:t>
      </w:r>
      <w:r>
        <w:rPr>
          <w:rFonts w:ascii="宋体" w:eastAsia="宋体" w:hAnsi="宋体" w:hint="eastAsia"/>
          <w:sz w:val="18"/>
          <w:szCs w:val="18"/>
        </w:rPr>
        <w:t>。</w:t>
      </w:r>
    </w:p>
    <w:p w14:paraId="50454B0F" w14:textId="77777777" w:rsidR="00F42BB4" w:rsidRDefault="00F42BB4">
      <w:pPr>
        <w:spacing w:line="320" w:lineRule="exact"/>
        <w:rPr>
          <w:rFonts w:ascii="宋体" w:eastAsia="宋体" w:hAnsi="宋体"/>
          <w:sz w:val="18"/>
          <w:szCs w:val="18"/>
        </w:rPr>
      </w:pPr>
    </w:p>
    <w:p w14:paraId="24EBC21C" w14:textId="77777777" w:rsidR="00F42BB4" w:rsidRDefault="0093439D">
      <w:pPr>
        <w:pStyle w:val="a5"/>
        <w:numPr>
          <w:ilvl w:val="0"/>
          <w:numId w:val="4"/>
        </w:numPr>
        <w:ind w:firstLineChars="0"/>
        <w:jc w:val="center"/>
        <w:rPr>
          <w:rFonts w:ascii="黑体" w:eastAsia="黑体" w:hAnsi="黑体"/>
          <w:sz w:val="28"/>
          <w:szCs w:val="28"/>
        </w:rPr>
      </w:pPr>
      <w:r>
        <w:rPr>
          <w:rFonts w:ascii="黑体" w:eastAsia="黑体" w:hAnsi="黑体" w:hint="eastAsia"/>
          <w:sz w:val="28"/>
          <w:szCs w:val="28"/>
        </w:rPr>
        <w:t>对学生创新思维和综合能力培养的作用</w:t>
      </w:r>
    </w:p>
    <w:p w14:paraId="54A4551C" w14:textId="77777777" w:rsidR="00F42BB4" w:rsidRDefault="00F42BB4">
      <w:pPr>
        <w:jc w:val="center"/>
        <w:rPr>
          <w:rFonts w:ascii="黑体" w:eastAsia="黑体" w:hAnsi="黑体"/>
          <w:sz w:val="18"/>
          <w:szCs w:val="18"/>
        </w:rPr>
      </w:pPr>
    </w:p>
    <w:p w14:paraId="1499BD9C"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lastRenderedPageBreak/>
        <w:t>课题以</w:t>
      </w:r>
      <w:r>
        <w:rPr>
          <w:rFonts w:ascii="宋体" w:eastAsia="宋体" w:hAnsi="宋体"/>
          <w:sz w:val="18"/>
          <w:szCs w:val="18"/>
        </w:rPr>
        <w:t>“</w:t>
      </w:r>
      <w:r>
        <w:rPr>
          <w:rFonts w:ascii="宋体" w:eastAsia="宋体" w:hAnsi="宋体"/>
          <w:sz w:val="18"/>
          <w:szCs w:val="18"/>
        </w:rPr>
        <w:t>面向水体新污染物的高性能便携式光学检测方案</w:t>
      </w:r>
      <w:r>
        <w:rPr>
          <w:rFonts w:ascii="宋体" w:eastAsia="宋体" w:hAnsi="宋体"/>
          <w:sz w:val="18"/>
          <w:szCs w:val="18"/>
        </w:rPr>
        <w:t>”</w:t>
      </w:r>
      <w:r>
        <w:rPr>
          <w:rFonts w:ascii="宋体" w:eastAsia="宋体" w:hAnsi="宋体"/>
          <w:sz w:val="18"/>
          <w:szCs w:val="18"/>
        </w:rPr>
        <w:t>为主线，从基础机理研究、样机搭建到应用场景和商业模式设计，完整覆盖了发现问题</w:t>
      </w:r>
      <w:r>
        <w:rPr>
          <w:rFonts w:ascii="宋体" w:eastAsia="宋体" w:hAnsi="宋体" w:hint="eastAsia"/>
          <w:sz w:val="18"/>
          <w:szCs w:val="18"/>
        </w:rPr>
        <w:t>、</w:t>
      </w:r>
      <w:r>
        <w:rPr>
          <w:rFonts w:ascii="宋体" w:eastAsia="宋体" w:hAnsi="宋体"/>
          <w:sz w:val="18"/>
          <w:szCs w:val="18"/>
        </w:rPr>
        <w:t>提出方案</w:t>
      </w:r>
      <w:r>
        <w:rPr>
          <w:rFonts w:ascii="宋体" w:eastAsia="宋体" w:hAnsi="宋体" w:hint="eastAsia"/>
          <w:sz w:val="18"/>
          <w:szCs w:val="18"/>
        </w:rPr>
        <w:t>、</w:t>
      </w:r>
      <w:r>
        <w:rPr>
          <w:rFonts w:ascii="宋体" w:eastAsia="宋体" w:hAnsi="宋体"/>
          <w:sz w:val="18"/>
          <w:szCs w:val="18"/>
        </w:rPr>
        <w:t>验证效果</w:t>
      </w:r>
      <w:r>
        <w:rPr>
          <w:rFonts w:ascii="宋体" w:eastAsia="宋体" w:hAnsi="宋体" w:hint="eastAsia"/>
          <w:sz w:val="18"/>
          <w:szCs w:val="18"/>
        </w:rPr>
        <w:t>、</w:t>
      </w:r>
      <w:r>
        <w:rPr>
          <w:rFonts w:ascii="宋体" w:eastAsia="宋体" w:hAnsi="宋体"/>
          <w:sz w:val="18"/>
          <w:szCs w:val="18"/>
        </w:rPr>
        <w:t>落地应用的全过程，对学生创新思维和综合能力的培养具有明显的综合带动作用。</w:t>
      </w:r>
    </w:p>
    <w:p w14:paraId="394B288C" w14:textId="77777777" w:rsidR="00F42BB4" w:rsidRDefault="0093439D">
      <w:pPr>
        <w:pStyle w:val="a5"/>
        <w:numPr>
          <w:ilvl w:val="0"/>
          <w:numId w:val="13"/>
        </w:numPr>
        <w:spacing w:line="320" w:lineRule="exact"/>
        <w:ind w:firstLineChars="0"/>
        <w:rPr>
          <w:rFonts w:ascii="宋体" w:eastAsia="宋体" w:hAnsi="宋体"/>
          <w:b/>
          <w:bCs/>
          <w:sz w:val="18"/>
          <w:szCs w:val="18"/>
        </w:rPr>
      </w:pPr>
      <w:r>
        <w:rPr>
          <w:rFonts w:ascii="宋体" w:eastAsia="宋体" w:hAnsi="宋体" w:hint="eastAsia"/>
          <w:b/>
          <w:bCs/>
          <w:sz w:val="18"/>
          <w:szCs w:val="18"/>
        </w:rPr>
        <w:t>强化问题导向的创新意识</w:t>
      </w:r>
    </w:p>
    <w:p w14:paraId="1176743B"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学生不是从</w:t>
      </w:r>
      <w:r>
        <w:rPr>
          <w:rFonts w:ascii="宋体" w:eastAsia="宋体" w:hAnsi="宋体"/>
          <w:sz w:val="18"/>
          <w:szCs w:val="18"/>
        </w:rPr>
        <w:t>“</w:t>
      </w:r>
      <w:r>
        <w:rPr>
          <w:rFonts w:ascii="宋体" w:eastAsia="宋体" w:hAnsi="宋体"/>
          <w:sz w:val="18"/>
          <w:szCs w:val="18"/>
        </w:rPr>
        <w:t>技术本身</w:t>
      </w:r>
      <w:r>
        <w:rPr>
          <w:rFonts w:ascii="宋体" w:eastAsia="宋体" w:hAnsi="宋体"/>
          <w:sz w:val="18"/>
          <w:szCs w:val="18"/>
        </w:rPr>
        <w:t>”</w:t>
      </w:r>
      <w:r>
        <w:rPr>
          <w:rFonts w:ascii="宋体" w:eastAsia="宋体" w:hAnsi="宋体"/>
          <w:sz w:val="18"/>
          <w:szCs w:val="18"/>
        </w:rPr>
        <w:t>出发，而是从国家新污染物治理需求和现有检测体系痛点出发，思考如何在高检测灵敏度与现场便携性之间寻找新的平衡点。在此过程中，学生逐步形成了</w:t>
      </w:r>
      <w:r>
        <w:rPr>
          <w:rFonts w:ascii="宋体" w:eastAsia="宋体" w:hAnsi="宋体"/>
          <w:sz w:val="18"/>
          <w:szCs w:val="18"/>
        </w:rPr>
        <w:t>“</w:t>
      </w:r>
      <w:r>
        <w:rPr>
          <w:rFonts w:ascii="宋体" w:eastAsia="宋体" w:hAnsi="宋体"/>
          <w:sz w:val="18"/>
          <w:szCs w:val="18"/>
        </w:rPr>
        <w:t>先看场景和需求、再选技术路径和实现形式</w:t>
      </w:r>
      <w:r>
        <w:rPr>
          <w:rFonts w:ascii="宋体" w:eastAsia="宋体" w:hAnsi="宋体"/>
          <w:sz w:val="18"/>
          <w:szCs w:val="18"/>
        </w:rPr>
        <w:t>”</w:t>
      </w:r>
      <w:r>
        <w:rPr>
          <w:rFonts w:ascii="宋体" w:eastAsia="宋体" w:hAnsi="宋体"/>
          <w:sz w:val="18"/>
          <w:szCs w:val="18"/>
        </w:rPr>
        <w:t>的工程创新思维，学会用系统视角审视一个技术方案的价值，而不是停留在单一指标的追求上。</w:t>
      </w:r>
    </w:p>
    <w:p w14:paraId="35EE6217" w14:textId="77777777" w:rsidR="00F42BB4" w:rsidRDefault="0093439D">
      <w:pPr>
        <w:pStyle w:val="a5"/>
        <w:numPr>
          <w:ilvl w:val="0"/>
          <w:numId w:val="13"/>
        </w:numPr>
        <w:spacing w:line="320" w:lineRule="exact"/>
        <w:ind w:firstLineChars="0"/>
        <w:rPr>
          <w:rFonts w:ascii="宋体" w:eastAsia="宋体" w:hAnsi="宋体"/>
          <w:b/>
          <w:bCs/>
          <w:sz w:val="18"/>
          <w:szCs w:val="18"/>
        </w:rPr>
      </w:pPr>
      <w:r>
        <w:rPr>
          <w:rFonts w:ascii="宋体" w:eastAsia="宋体" w:hAnsi="宋体" w:hint="eastAsia"/>
          <w:b/>
          <w:bCs/>
          <w:sz w:val="18"/>
          <w:szCs w:val="18"/>
        </w:rPr>
        <w:t>提升跨学科综合运用能力</w:t>
      </w:r>
    </w:p>
    <w:p w14:paraId="7281C435"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项目将光学检测、环境监测与数据分析等不同知识模块有机融合，要求学生在实践中综合运用物理（光学与信号）、化学与生物（免疫识别与功能材料）、环境科学（新污染物来源与环境行为）以及数学与计算机（数据建模与算法</w:t>
      </w:r>
      <w:r>
        <w:rPr>
          <w:rFonts w:ascii="宋体" w:eastAsia="宋体" w:hAnsi="宋体"/>
          <w:sz w:val="18"/>
          <w:szCs w:val="18"/>
        </w:rPr>
        <w:t>分析）等多学科知识。学生在</w:t>
      </w:r>
      <w:r>
        <w:rPr>
          <w:rFonts w:ascii="宋体" w:eastAsia="宋体" w:hAnsi="宋体" w:hint="eastAsia"/>
          <w:sz w:val="18"/>
          <w:szCs w:val="18"/>
        </w:rPr>
        <w:t>相互交流、</w:t>
      </w:r>
      <w:r>
        <w:rPr>
          <w:rFonts w:ascii="宋体" w:eastAsia="宋体" w:hAnsi="宋体"/>
          <w:sz w:val="18"/>
          <w:szCs w:val="18"/>
        </w:rPr>
        <w:t>文献调研、实验方案设计和数据解析过程中，</w:t>
      </w:r>
      <w:r>
        <w:rPr>
          <w:rFonts w:ascii="宋体" w:eastAsia="宋体" w:hAnsi="宋体" w:hint="eastAsia"/>
          <w:sz w:val="18"/>
          <w:szCs w:val="18"/>
        </w:rPr>
        <w:t>充分发挥各自专业优势，融会贯通地用各学科的工具推进项目进度，跨</w:t>
      </w:r>
      <w:r>
        <w:rPr>
          <w:rFonts w:ascii="宋体" w:eastAsia="宋体" w:hAnsi="宋体"/>
          <w:sz w:val="18"/>
          <w:szCs w:val="18"/>
        </w:rPr>
        <w:t>学科解决问题的能力得到显著提升。</w:t>
      </w:r>
    </w:p>
    <w:p w14:paraId="4CD8F7B4" w14:textId="77777777" w:rsidR="00F42BB4" w:rsidRDefault="0093439D">
      <w:pPr>
        <w:pStyle w:val="a5"/>
        <w:numPr>
          <w:ilvl w:val="0"/>
          <w:numId w:val="13"/>
        </w:numPr>
        <w:spacing w:line="320" w:lineRule="exact"/>
        <w:ind w:firstLineChars="0"/>
        <w:rPr>
          <w:rFonts w:ascii="宋体" w:eastAsia="宋体" w:hAnsi="宋体"/>
          <w:b/>
          <w:bCs/>
          <w:sz w:val="18"/>
          <w:szCs w:val="18"/>
        </w:rPr>
      </w:pPr>
      <w:r>
        <w:rPr>
          <w:rFonts w:ascii="宋体" w:eastAsia="宋体" w:hAnsi="宋体" w:hint="eastAsia"/>
          <w:b/>
          <w:bCs/>
          <w:sz w:val="18"/>
          <w:szCs w:val="18"/>
        </w:rPr>
        <w:t>锻炼工程实践与系统集成能力</w:t>
      </w:r>
    </w:p>
    <w:p w14:paraId="1C2260C4"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围绕便携式光学检测系统的构建，学生需要参与样机结构设计、光路调整与优化、检测流程规范化、试剂与耗材使用条件的摸索等具体工作。在不断调试和修正中，</w:t>
      </w:r>
      <w:r>
        <w:rPr>
          <w:rFonts w:ascii="宋体" w:eastAsia="宋体" w:hAnsi="宋体" w:hint="eastAsia"/>
          <w:sz w:val="18"/>
          <w:szCs w:val="18"/>
        </w:rPr>
        <w:t>学生充分意识到实验室样机与可量产样机的巨大鸿沟</w:t>
      </w:r>
      <w:r>
        <w:rPr>
          <w:rFonts w:ascii="宋体" w:eastAsia="宋体" w:hAnsi="宋体"/>
          <w:sz w:val="18"/>
          <w:szCs w:val="18"/>
        </w:rPr>
        <w:t>，学会权衡性能、成本、体积、稳定性等多因素，形成初步的系统工程观念和动手实现能力</w:t>
      </w:r>
      <w:r>
        <w:rPr>
          <w:rFonts w:ascii="宋体" w:eastAsia="宋体" w:hAnsi="宋体" w:hint="eastAsia"/>
          <w:sz w:val="18"/>
          <w:szCs w:val="18"/>
        </w:rPr>
        <w:t>。</w:t>
      </w:r>
    </w:p>
    <w:p w14:paraId="14BD7B9F" w14:textId="77777777" w:rsidR="00F42BB4" w:rsidRDefault="0093439D">
      <w:pPr>
        <w:pStyle w:val="a5"/>
        <w:numPr>
          <w:ilvl w:val="0"/>
          <w:numId w:val="13"/>
        </w:numPr>
        <w:spacing w:line="320" w:lineRule="exact"/>
        <w:ind w:firstLineChars="0"/>
        <w:rPr>
          <w:rFonts w:ascii="宋体" w:eastAsia="宋体" w:hAnsi="宋体"/>
          <w:b/>
          <w:bCs/>
          <w:sz w:val="18"/>
          <w:szCs w:val="18"/>
        </w:rPr>
      </w:pPr>
      <w:r>
        <w:rPr>
          <w:rFonts w:ascii="宋体" w:eastAsia="宋体" w:hAnsi="宋体" w:hint="eastAsia"/>
          <w:b/>
          <w:bCs/>
          <w:sz w:val="18"/>
          <w:szCs w:val="18"/>
        </w:rPr>
        <w:t>增强科研素养与数据思维</w:t>
      </w:r>
    </w:p>
    <w:p w14:paraId="443C4D2A"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项目全过程要求学生完成文献检索与阅读、实验对照组设计、空白与标准曲线设置、误差分析和结果论证等工作，训练其科研规范意识与严谨态度。在大量检测数据的处理与建模过程中，学生逐步熟悉从原始信号到可解释结论的完整链条，提升了运用统计方法和数据可视化工具支撑观点、优化方案的能力。</w:t>
      </w:r>
    </w:p>
    <w:p w14:paraId="0E683B22" w14:textId="77777777" w:rsidR="00F42BB4" w:rsidRDefault="0093439D">
      <w:pPr>
        <w:pStyle w:val="a5"/>
        <w:numPr>
          <w:ilvl w:val="0"/>
          <w:numId w:val="13"/>
        </w:numPr>
        <w:spacing w:line="320" w:lineRule="exact"/>
        <w:ind w:firstLineChars="0"/>
        <w:rPr>
          <w:rFonts w:ascii="宋体" w:eastAsia="宋体" w:hAnsi="宋体"/>
          <w:b/>
          <w:bCs/>
          <w:sz w:val="18"/>
          <w:szCs w:val="18"/>
        </w:rPr>
      </w:pPr>
      <w:r>
        <w:rPr>
          <w:rFonts w:ascii="宋体" w:eastAsia="宋体" w:hAnsi="宋体" w:hint="eastAsia"/>
          <w:b/>
          <w:bCs/>
          <w:sz w:val="18"/>
          <w:szCs w:val="18"/>
        </w:rPr>
        <w:t>培养创新创业意识和面向社会的责任感</w:t>
      </w:r>
    </w:p>
    <w:p w14:paraId="4FB14744"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hint="eastAsia"/>
          <w:sz w:val="18"/>
          <w:szCs w:val="18"/>
        </w:rPr>
        <w:t>在</w:t>
      </w:r>
      <w:r>
        <w:rPr>
          <w:rFonts w:ascii="宋体" w:eastAsia="宋体" w:hAnsi="宋体"/>
          <w:sz w:val="18"/>
          <w:szCs w:val="18"/>
        </w:rPr>
        <w:t>项目后半段，团队围绕水环境监测、食品安全和公共健康等不同应用场景，尝试构思</w:t>
      </w:r>
      <w:r>
        <w:rPr>
          <w:rFonts w:ascii="宋体" w:eastAsia="宋体" w:hAnsi="宋体"/>
          <w:sz w:val="18"/>
          <w:szCs w:val="18"/>
        </w:rPr>
        <w:t xml:space="preserve"> B </w:t>
      </w:r>
      <w:r>
        <w:rPr>
          <w:rFonts w:ascii="宋体" w:eastAsia="宋体" w:hAnsi="宋体"/>
          <w:sz w:val="18"/>
          <w:szCs w:val="18"/>
        </w:rPr>
        <w:t>端与</w:t>
      </w:r>
      <w:r>
        <w:rPr>
          <w:rFonts w:ascii="宋体" w:eastAsia="宋体" w:hAnsi="宋体"/>
          <w:sz w:val="18"/>
          <w:szCs w:val="18"/>
        </w:rPr>
        <w:t xml:space="preserve"> C </w:t>
      </w:r>
      <w:r>
        <w:rPr>
          <w:rFonts w:ascii="宋体" w:eastAsia="宋体" w:hAnsi="宋体"/>
          <w:sz w:val="18"/>
          <w:szCs w:val="18"/>
        </w:rPr>
        <w:t>端产品形态，并讨论设备成本、耗材定价、服务模式和潜在用户痛点。这一过程让学生从单纯的技术研发者</w:t>
      </w:r>
      <w:r>
        <w:rPr>
          <w:rFonts w:ascii="宋体" w:eastAsia="宋体" w:hAnsi="宋体" w:hint="eastAsia"/>
          <w:sz w:val="18"/>
          <w:szCs w:val="18"/>
        </w:rPr>
        <w:t>的</w:t>
      </w:r>
      <w:r>
        <w:rPr>
          <w:rFonts w:ascii="宋体" w:eastAsia="宋体" w:hAnsi="宋体"/>
          <w:sz w:val="18"/>
          <w:szCs w:val="18"/>
        </w:rPr>
        <w:t>角色</w:t>
      </w:r>
      <w:r>
        <w:rPr>
          <w:rFonts w:ascii="宋体" w:eastAsia="宋体" w:hAnsi="宋体" w:hint="eastAsia"/>
          <w:sz w:val="18"/>
          <w:szCs w:val="18"/>
        </w:rPr>
        <w:t>转变成</w:t>
      </w:r>
      <w:r>
        <w:rPr>
          <w:rFonts w:ascii="宋体" w:eastAsia="宋体" w:hAnsi="宋体"/>
          <w:sz w:val="18"/>
          <w:szCs w:val="18"/>
        </w:rPr>
        <w:t>为解决</w:t>
      </w:r>
      <w:r>
        <w:rPr>
          <w:rFonts w:ascii="宋体" w:eastAsia="宋体" w:hAnsi="宋体"/>
          <w:sz w:val="18"/>
          <w:szCs w:val="18"/>
        </w:rPr>
        <w:t>方案设计者，初步理解技术转化、商业模式和社会效益之间的关系。同时，围绕新污染物治理、水环境安全、毒品监管和健康管理等议题的深入接触，也强化了学生的环保意识和社会责任感。</w:t>
      </w:r>
    </w:p>
    <w:p w14:paraId="5F07D338" w14:textId="77777777" w:rsidR="00F42BB4" w:rsidRDefault="0093439D">
      <w:pPr>
        <w:pStyle w:val="a5"/>
        <w:numPr>
          <w:ilvl w:val="0"/>
          <w:numId w:val="13"/>
        </w:numPr>
        <w:spacing w:line="320" w:lineRule="exact"/>
        <w:ind w:firstLineChars="0"/>
        <w:rPr>
          <w:rFonts w:ascii="宋体" w:eastAsia="宋体" w:hAnsi="宋体"/>
          <w:b/>
          <w:bCs/>
          <w:sz w:val="18"/>
          <w:szCs w:val="18"/>
        </w:rPr>
      </w:pPr>
      <w:r>
        <w:rPr>
          <w:rFonts w:ascii="宋体" w:eastAsia="宋体" w:hAnsi="宋体" w:hint="eastAsia"/>
          <w:b/>
          <w:bCs/>
          <w:sz w:val="18"/>
          <w:szCs w:val="18"/>
        </w:rPr>
        <w:t>提升团队协作、沟通与项目管理能力</w:t>
      </w:r>
    </w:p>
    <w:p w14:paraId="4A3EEB2D" w14:textId="77777777" w:rsidR="00F42BB4" w:rsidRDefault="0093439D">
      <w:pPr>
        <w:spacing w:line="320" w:lineRule="exact"/>
        <w:ind w:firstLineChars="200" w:firstLine="360"/>
        <w:rPr>
          <w:rFonts w:ascii="宋体" w:eastAsia="宋体" w:hAnsi="宋体"/>
          <w:sz w:val="18"/>
          <w:szCs w:val="18"/>
        </w:rPr>
      </w:pPr>
      <w:r>
        <w:rPr>
          <w:rFonts w:ascii="宋体" w:eastAsia="宋体" w:hAnsi="宋体"/>
          <w:sz w:val="18"/>
          <w:szCs w:val="18"/>
        </w:rPr>
        <w:t>项目实施过程中，成员之间需要在技术研发、文献与资料整理、报告撰写、成果展示和外部沟通等方面进行分工与协作。学生在不断协调进度、对接任务和解决分歧的过程中，逐步形成较为清晰的时间管理意识与阶段性目标意识，书面表达、口头汇报和跨专业沟通能力也在中期报告、答辩和交流中得到锻炼。</w:t>
      </w:r>
    </w:p>
    <w:p w14:paraId="73B78195" w14:textId="77777777" w:rsidR="00F42BB4" w:rsidRDefault="00F42BB4">
      <w:pPr>
        <w:spacing w:line="320" w:lineRule="exact"/>
        <w:ind w:firstLineChars="200" w:firstLine="360"/>
        <w:rPr>
          <w:rFonts w:ascii="宋体" w:eastAsia="宋体" w:hAnsi="宋体"/>
          <w:sz w:val="18"/>
          <w:szCs w:val="18"/>
        </w:rPr>
      </w:pPr>
    </w:p>
    <w:p w14:paraId="04BFDCD3" w14:textId="77777777" w:rsidR="00F42BB4" w:rsidRDefault="0093439D">
      <w:pPr>
        <w:widowControl/>
        <w:jc w:val="center"/>
        <w:rPr>
          <w:rFonts w:ascii="宋体" w:eastAsia="宋体" w:hAnsi="宋体"/>
          <w:sz w:val="18"/>
          <w:szCs w:val="18"/>
        </w:rPr>
      </w:pPr>
      <w:r>
        <w:rPr>
          <w:rFonts w:ascii="黑体" w:eastAsia="黑体" w:hAnsi="黑体" w:hint="eastAsia"/>
          <w:sz w:val="28"/>
          <w:szCs w:val="28"/>
        </w:rPr>
        <w:t>参考文献</w:t>
      </w:r>
    </w:p>
    <w:p w14:paraId="7598D4F9" w14:textId="77777777" w:rsidR="00F42BB4" w:rsidRDefault="00F42BB4">
      <w:pPr>
        <w:spacing w:line="320" w:lineRule="exact"/>
        <w:ind w:firstLine="181"/>
        <w:jc w:val="center"/>
        <w:rPr>
          <w:rFonts w:ascii="黑体" w:eastAsia="黑体" w:hAnsi="黑体"/>
          <w:sz w:val="28"/>
          <w:szCs w:val="28"/>
        </w:rPr>
      </w:pPr>
    </w:p>
    <w:p w14:paraId="1CD1C341" w14:textId="77777777" w:rsidR="00DE77D4" w:rsidRDefault="00DE77D4" w:rsidP="00DE77D4">
      <w:pPr>
        <w:pStyle w:val="a5"/>
        <w:numPr>
          <w:ilvl w:val="0"/>
          <w:numId w:val="14"/>
        </w:numPr>
        <w:spacing w:line="320" w:lineRule="exact"/>
        <w:ind w:left="560" w:firstLineChars="0"/>
        <w:rPr>
          <w:rFonts w:ascii="宋体" w:eastAsia="宋体" w:hAnsi="宋体"/>
          <w:sz w:val="18"/>
          <w:szCs w:val="18"/>
        </w:rPr>
      </w:pPr>
      <w:bookmarkStart w:id="2" w:name="_Ref216076105"/>
      <w:r>
        <w:rPr>
          <w:rFonts w:ascii="宋体" w:eastAsia="宋体" w:hAnsi="宋体" w:hint="eastAsia"/>
          <w:sz w:val="18"/>
          <w:szCs w:val="18"/>
        </w:rPr>
        <w:t>国务院办公厅</w:t>
      </w:r>
      <w:r>
        <w:rPr>
          <w:rFonts w:ascii="宋体" w:eastAsia="宋体" w:hAnsi="宋体"/>
          <w:sz w:val="18"/>
          <w:szCs w:val="18"/>
        </w:rPr>
        <w:t>.</w:t>
      </w:r>
      <w:r>
        <w:rPr>
          <w:rFonts w:ascii="宋体" w:eastAsia="宋体" w:hAnsi="宋体" w:hint="eastAsia"/>
          <w:sz w:val="18"/>
          <w:szCs w:val="18"/>
        </w:rPr>
        <w:t>新污染物治理行动方案</w:t>
      </w:r>
      <w:r w:rsidRPr="00364C51">
        <w:rPr>
          <w:rFonts w:ascii="Times New Roman" w:eastAsia="宋体" w:hAnsi="Times New Roman" w:cs="Times New Roman"/>
          <w:sz w:val="18"/>
          <w:szCs w:val="18"/>
        </w:rPr>
        <w:t>[EB/OL]</w:t>
      </w:r>
      <w:r>
        <w:rPr>
          <w:rFonts w:ascii="宋体" w:eastAsia="宋体" w:hAnsi="宋体"/>
          <w:sz w:val="18"/>
          <w:szCs w:val="18"/>
        </w:rPr>
        <w:t>.</w:t>
      </w:r>
      <w:r>
        <w:rPr>
          <w:rFonts w:ascii="宋体" w:eastAsia="宋体" w:hAnsi="宋体" w:hint="eastAsia"/>
          <w:sz w:val="18"/>
          <w:szCs w:val="18"/>
        </w:rPr>
        <w:t>北京：国务院，</w:t>
      </w:r>
      <w:r w:rsidRPr="00364C51">
        <w:rPr>
          <w:rFonts w:ascii="Times New Roman" w:eastAsia="宋体" w:hAnsi="Times New Roman" w:cs="Times New Roman"/>
          <w:sz w:val="18"/>
          <w:szCs w:val="18"/>
        </w:rPr>
        <w:t>2022</w:t>
      </w:r>
      <w:r>
        <w:rPr>
          <w:rFonts w:ascii="宋体" w:eastAsia="宋体" w:hAnsi="宋体"/>
          <w:sz w:val="18"/>
          <w:szCs w:val="18"/>
        </w:rPr>
        <w:t>.</w:t>
      </w:r>
      <w:bookmarkEnd w:id="2"/>
    </w:p>
    <w:p w14:paraId="363C4910" w14:textId="77777777" w:rsidR="00DE77D4" w:rsidRDefault="00DE77D4" w:rsidP="00DE77D4">
      <w:pPr>
        <w:pStyle w:val="a5"/>
        <w:numPr>
          <w:ilvl w:val="0"/>
          <w:numId w:val="14"/>
        </w:numPr>
        <w:spacing w:line="320" w:lineRule="exact"/>
        <w:ind w:left="560" w:firstLineChars="0"/>
        <w:rPr>
          <w:rFonts w:ascii="宋体" w:eastAsia="宋体" w:hAnsi="宋体"/>
          <w:sz w:val="18"/>
          <w:szCs w:val="18"/>
        </w:rPr>
      </w:pPr>
      <w:bookmarkStart w:id="3" w:name="_Ref216076127"/>
      <w:r w:rsidRPr="00364C51">
        <w:rPr>
          <w:rFonts w:ascii="宋体" w:eastAsia="宋体" w:hAnsi="宋体" w:hint="eastAsia"/>
          <w:sz w:val="18"/>
          <w:szCs w:val="18"/>
        </w:rPr>
        <w:t>中共中央，国务院</w:t>
      </w:r>
      <w:r w:rsidRPr="00364C51">
        <w:rPr>
          <w:rFonts w:ascii="宋体" w:eastAsia="宋体" w:hAnsi="宋体"/>
          <w:sz w:val="18"/>
          <w:szCs w:val="18"/>
        </w:rPr>
        <w:t>.</w:t>
      </w:r>
      <w:r w:rsidRPr="00364C51">
        <w:rPr>
          <w:rFonts w:ascii="宋体" w:eastAsia="宋体" w:hAnsi="宋体" w:hint="eastAsia"/>
          <w:sz w:val="18"/>
          <w:szCs w:val="18"/>
        </w:rPr>
        <w:t>关于全面推进美丽中国建设的意见</w:t>
      </w:r>
      <w:r w:rsidRPr="00364C51">
        <w:rPr>
          <w:rFonts w:ascii="Times New Roman" w:eastAsia="宋体" w:hAnsi="Times New Roman" w:cs="Times New Roman"/>
          <w:sz w:val="18"/>
          <w:szCs w:val="18"/>
        </w:rPr>
        <w:t>[EB/OL]</w:t>
      </w:r>
      <w:r w:rsidRPr="00364C51">
        <w:rPr>
          <w:rFonts w:ascii="宋体" w:eastAsia="宋体" w:hAnsi="宋体"/>
          <w:sz w:val="18"/>
          <w:szCs w:val="18"/>
        </w:rPr>
        <w:t>.</w:t>
      </w:r>
      <w:r w:rsidRPr="00364C51">
        <w:rPr>
          <w:rFonts w:ascii="Times New Roman" w:eastAsia="宋体" w:hAnsi="Times New Roman" w:cs="Times New Roman"/>
          <w:sz w:val="18"/>
          <w:szCs w:val="18"/>
        </w:rPr>
        <w:t>2023</w:t>
      </w:r>
      <w:r w:rsidRPr="00364C51">
        <w:rPr>
          <w:rFonts w:ascii="宋体" w:eastAsia="宋体" w:hAnsi="宋体"/>
          <w:sz w:val="18"/>
          <w:szCs w:val="18"/>
        </w:rPr>
        <w:t>.</w:t>
      </w:r>
      <w:bookmarkEnd w:id="3"/>
    </w:p>
    <w:p w14:paraId="41CBCA59" w14:textId="77777777" w:rsidR="00DE77D4" w:rsidRPr="00364C51" w:rsidRDefault="00DE77D4" w:rsidP="00DE77D4">
      <w:pPr>
        <w:pStyle w:val="a5"/>
        <w:widowControl/>
        <w:numPr>
          <w:ilvl w:val="0"/>
          <w:numId w:val="14"/>
        </w:numPr>
        <w:ind w:left="560" w:firstLineChars="0"/>
        <w:jc w:val="left"/>
        <w:rPr>
          <w:rFonts w:ascii="宋体" w:eastAsia="宋体" w:hAnsi="宋体"/>
          <w:sz w:val="18"/>
          <w:szCs w:val="18"/>
        </w:rPr>
      </w:pPr>
      <w:bookmarkStart w:id="4" w:name="_Ref216075980"/>
      <w:r w:rsidRPr="00364C51">
        <w:rPr>
          <w:rFonts w:ascii="宋体" w:eastAsia="宋体" w:hAnsi="宋体"/>
          <w:sz w:val="18"/>
          <w:szCs w:val="18"/>
        </w:rPr>
        <w:t>科技部等.“十四五”生态环境领域科技创新专项规划</w:t>
      </w:r>
      <w:r w:rsidRPr="00364C51">
        <w:rPr>
          <w:rFonts w:ascii="Times New Roman" w:eastAsia="宋体" w:hAnsi="Times New Roman" w:cs="Times New Roman"/>
          <w:sz w:val="18"/>
          <w:szCs w:val="18"/>
        </w:rPr>
        <w:t>[EB/OL]. 2022</w:t>
      </w:r>
      <w:bookmarkEnd w:id="4"/>
    </w:p>
    <w:p w14:paraId="421E8283" w14:textId="77777777" w:rsidR="00DE77D4" w:rsidRPr="00364C51" w:rsidRDefault="00DE77D4" w:rsidP="00DE77D4">
      <w:pPr>
        <w:pStyle w:val="a5"/>
        <w:widowControl/>
        <w:numPr>
          <w:ilvl w:val="0"/>
          <w:numId w:val="14"/>
        </w:numPr>
        <w:ind w:left="560" w:firstLineChars="0"/>
        <w:jc w:val="left"/>
        <w:rPr>
          <w:rFonts w:ascii="Times New Roman" w:eastAsia="宋体" w:hAnsi="Times New Roman" w:cs="Times New Roman"/>
          <w:sz w:val="18"/>
          <w:szCs w:val="18"/>
        </w:rPr>
      </w:pPr>
      <w:bookmarkStart w:id="5" w:name="_Ref216076293"/>
      <w:r w:rsidRPr="00CA4343">
        <w:rPr>
          <w:rFonts w:ascii="Times New Roman" w:eastAsia="宋体" w:hAnsi="Times New Roman" w:cs="Times New Roman"/>
          <w:sz w:val="18"/>
          <w:szCs w:val="18"/>
        </w:rPr>
        <w:t>Browne et al., 2021. Global antibiotic consumption and usage in humans, 2000–18: a spatial modelling study. Lancet Planet. Health, 5 (12), e893-e904.</w:t>
      </w:r>
      <w:bookmarkEnd w:id="5"/>
    </w:p>
    <w:p w14:paraId="2781AEB0" w14:textId="77777777" w:rsidR="00DE77D4" w:rsidRPr="00CA4343" w:rsidRDefault="00DE77D4" w:rsidP="00DE77D4">
      <w:pPr>
        <w:pStyle w:val="a5"/>
        <w:widowControl/>
        <w:numPr>
          <w:ilvl w:val="0"/>
          <w:numId w:val="14"/>
        </w:numPr>
        <w:ind w:left="560" w:firstLineChars="0"/>
        <w:jc w:val="left"/>
        <w:rPr>
          <w:rFonts w:ascii="Times New Roman" w:eastAsia="宋体" w:hAnsi="Times New Roman" w:cs="Times New Roman"/>
          <w:sz w:val="18"/>
          <w:szCs w:val="18"/>
        </w:rPr>
      </w:pPr>
      <w:bookmarkStart w:id="6" w:name="_Ref216076341"/>
      <w:r w:rsidRPr="00CA4343">
        <w:rPr>
          <w:rFonts w:ascii="Times New Roman" w:eastAsia="宋体" w:hAnsi="Times New Roman" w:cs="Times New Roman"/>
          <w:sz w:val="18"/>
          <w:szCs w:val="18"/>
        </w:rPr>
        <w:t>Guo et al., 2017. Radical chemistry and structural relationships of PPCP degradation by UV/chlorine treatment in simulated 27 drinking water. Environ. Sci. Technol., 51, 10431–10439.</w:t>
      </w:r>
      <w:bookmarkEnd w:id="6"/>
    </w:p>
    <w:p w14:paraId="35175A46" w14:textId="77777777" w:rsidR="00DE77D4" w:rsidRPr="00CA4343" w:rsidRDefault="00DE77D4" w:rsidP="00DE77D4">
      <w:pPr>
        <w:pStyle w:val="a5"/>
        <w:widowControl/>
        <w:numPr>
          <w:ilvl w:val="0"/>
          <w:numId w:val="14"/>
        </w:numPr>
        <w:ind w:left="560" w:firstLineChars="0"/>
        <w:jc w:val="left"/>
        <w:rPr>
          <w:rFonts w:ascii="Times New Roman" w:eastAsia="宋体" w:hAnsi="Times New Roman" w:cs="Times New Roman"/>
          <w:sz w:val="18"/>
          <w:szCs w:val="18"/>
        </w:rPr>
      </w:pPr>
      <w:bookmarkStart w:id="7" w:name="_Ref216076344"/>
      <w:r w:rsidRPr="00CA4343">
        <w:rPr>
          <w:rFonts w:ascii="Times New Roman" w:eastAsia="宋体" w:hAnsi="Times New Roman" w:cs="Times New Roman"/>
          <w:sz w:val="18"/>
          <w:szCs w:val="18"/>
        </w:rPr>
        <w:t>Han et al., 2021. How much of the total organic halogen and developmental toxicity of chlorinated drinking water might be attributed to aromatic halogenated DBPs? Environ. Sci. Technol., 55 (9), 5906–5916.</w:t>
      </w:r>
      <w:bookmarkEnd w:id="7"/>
    </w:p>
    <w:p w14:paraId="5BEEFC14"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bookmarkStart w:id="8" w:name="_Ref216076295"/>
      <w:r w:rsidRPr="00CA4343">
        <w:rPr>
          <w:rFonts w:ascii="Times New Roman" w:eastAsia="宋体" w:hAnsi="Times New Roman" w:cs="Times New Roman"/>
          <w:sz w:val="18"/>
          <w:szCs w:val="18"/>
        </w:rPr>
        <w:t>Klein et al., 2021. Assessment of WHO antibiotic consumption and access targets in 76 countries, 2000–15: An analysis of pharmaceutical sales data. Lancet Infect. Dis., 21 (1), 107–115.</w:t>
      </w:r>
      <w:bookmarkEnd w:id="8"/>
    </w:p>
    <w:p w14:paraId="7A49847F"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bookmarkStart w:id="9" w:name="_Ref216076347"/>
      <w:proofErr w:type="spellStart"/>
      <w:r w:rsidRPr="00CA4343">
        <w:rPr>
          <w:rFonts w:ascii="Times New Roman" w:eastAsia="宋体" w:hAnsi="Times New Roman" w:cs="Times New Roman"/>
          <w:sz w:val="18"/>
          <w:szCs w:val="18"/>
        </w:rPr>
        <w:t>Minakata</w:t>
      </w:r>
      <w:proofErr w:type="spellEnd"/>
      <w:r w:rsidRPr="00CA4343">
        <w:rPr>
          <w:rFonts w:ascii="Times New Roman" w:eastAsia="宋体" w:hAnsi="Times New Roman" w:cs="Times New Roman"/>
          <w:sz w:val="18"/>
          <w:szCs w:val="18"/>
        </w:rPr>
        <w:t xml:space="preserve"> and von </w:t>
      </w:r>
      <w:proofErr w:type="spellStart"/>
      <w:r w:rsidRPr="00CA4343">
        <w:rPr>
          <w:rFonts w:ascii="Times New Roman" w:eastAsia="宋体" w:hAnsi="Times New Roman" w:cs="Times New Roman"/>
          <w:sz w:val="18"/>
          <w:szCs w:val="18"/>
        </w:rPr>
        <w:t>Gunten</w:t>
      </w:r>
      <w:proofErr w:type="spellEnd"/>
      <w:r w:rsidRPr="00CA4343">
        <w:rPr>
          <w:rFonts w:ascii="Times New Roman" w:eastAsia="宋体" w:hAnsi="Times New Roman" w:cs="Times New Roman"/>
          <w:sz w:val="18"/>
          <w:szCs w:val="18"/>
        </w:rPr>
        <w:t xml:space="preserve">, 2023. Predicting Transformation Products during Aqueous Oxidation Processes: Current State and </w:t>
      </w:r>
      <w:r w:rsidRPr="00CA4343">
        <w:rPr>
          <w:rFonts w:ascii="Times New Roman" w:eastAsia="宋体" w:hAnsi="Times New Roman" w:cs="Times New Roman"/>
          <w:sz w:val="18"/>
          <w:szCs w:val="18"/>
        </w:rPr>
        <w:lastRenderedPageBreak/>
        <w:t>Outlook. Environ. Sci. Technol., 57 (47), 18410-18419.</w:t>
      </w:r>
      <w:bookmarkEnd w:id="9"/>
    </w:p>
    <w:p w14:paraId="716CF84A"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bookmarkStart w:id="10" w:name="_Ref216076298"/>
      <w:r w:rsidRPr="00CA4343">
        <w:rPr>
          <w:rFonts w:ascii="Times New Roman" w:eastAsia="宋体" w:hAnsi="Times New Roman" w:cs="Times New Roman"/>
          <w:sz w:val="18"/>
          <w:szCs w:val="18"/>
        </w:rPr>
        <w:t>Murray, C.J.L., Antimicrobial Resistance Collaborators, 2022. Global burden of bacterial antimicrobial resistance in 2019: A systematic analysis, The Lancet, 399, 629- 655.</w:t>
      </w:r>
      <w:bookmarkEnd w:id="10"/>
    </w:p>
    <w:p w14:paraId="7C7E2E55"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r w:rsidRPr="00CA4343">
        <w:rPr>
          <w:rFonts w:ascii="Times New Roman" w:eastAsia="宋体" w:hAnsi="Times New Roman" w:cs="Times New Roman"/>
          <w:sz w:val="18"/>
          <w:szCs w:val="18"/>
        </w:rPr>
        <w:t>National Research Council (US) Committee on Research Opportunities in Biology. Opportunities in Biology. Washington (DC): National Academies Press (US); 1989. 7, The Immune System and Infectious Diseases.</w:t>
      </w:r>
    </w:p>
    <w:p w14:paraId="0FC47209"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bookmarkStart w:id="11" w:name="_Ref216076300"/>
      <w:r w:rsidRPr="00CA4343">
        <w:rPr>
          <w:rFonts w:ascii="Times New Roman" w:eastAsia="宋体" w:hAnsi="Times New Roman" w:cs="Times New Roman"/>
          <w:sz w:val="18"/>
          <w:szCs w:val="18"/>
        </w:rPr>
        <w:t>Ong et al., 2020. Surface Enhanced Raman Spectroscopy in environmental analysis, monitoring and assessment. Sci. Total Environ. 720, 137601.</w:t>
      </w:r>
      <w:bookmarkEnd w:id="11"/>
    </w:p>
    <w:p w14:paraId="7E57802F"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bookmarkStart w:id="12" w:name="_Ref216076314"/>
      <w:r w:rsidRPr="00CA4343">
        <w:rPr>
          <w:rFonts w:ascii="Times New Roman" w:eastAsia="宋体" w:hAnsi="Times New Roman" w:cs="Times New Roman"/>
          <w:sz w:val="18"/>
          <w:szCs w:val="18"/>
        </w:rPr>
        <w:t>World Health Organization (2024). Political Declaration of the High-level Meeting on Antimicrobial Resistance.</w:t>
      </w:r>
      <w:bookmarkEnd w:id="12"/>
    </w:p>
    <w:p w14:paraId="7DDD7EC3" w14:textId="77777777" w:rsidR="00DE77D4" w:rsidRDefault="00DE77D4" w:rsidP="00DE77D4">
      <w:pPr>
        <w:pStyle w:val="a5"/>
        <w:numPr>
          <w:ilvl w:val="0"/>
          <w:numId w:val="14"/>
        </w:numPr>
        <w:spacing w:line="320" w:lineRule="exact"/>
        <w:ind w:left="560" w:firstLineChars="0"/>
        <w:rPr>
          <w:rFonts w:ascii="Times New Roman" w:eastAsia="宋体" w:hAnsi="Times New Roman" w:cs="Times New Roman"/>
          <w:sz w:val="18"/>
          <w:szCs w:val="18"/>
        </w:rPr>
      </w:pPr>
      <w:bookmarkStart w:id="13" w:name="_Ref216076349"/>
      <w:r w:rsidRPr="00CA4343">
        <w:rPr>
          <w:rFonts w:ascii="Times New Roman" w:eastAsia="宋体" w:hAnsi="Times New Roman" w:cs="Times New Roman"/>
          <w:sz w:val="18"/>
          <w:szCs w:val="18"/>
        </w:rPr>
        <w:t>Yue et al., 2025. Machine Learning-Assisted Molecular Structure Embedding for Accurate Prediction of Emerging Contaminant Removal by Ozonation Oxidation. Environ. Sci. Technol., 59 (18), 9298-9311.</w:t>
      </w:r>
      <w:bookmarkEnd w:id="13"/>
    </w:p>
    <w:p w14:paraId="3554EA10" w14:textId="77777777" w:rsidR="00DE77D4" w:rsidRPr="00CA4343" w:rsidRDefault="00DE77D4" w:rsidP="00DE77D4">
      <w:pPr>
        <w:pStyle w:val="a5"/>
        <w:widowControl/>
        <w:numPr>
          <w:ilvl w:val="0"/>
          <w:numId w:val="14"/>
        </w:numPr>
        <w:ind w:left="560" w:firstLineChars="0"/>
        <w:jc w:val="left"/>
        <w:rPr>
          <w:rFonts w:ascii="Times New Roman" w:eastAsia="宋体" w:hAnsi="Times New Roman" w:cs="Times New Roman"/>
          <w:sz w:val="18"/>
          <w:szCs w:val="18"/>
        </w:rPr>
      </w:pPr>
      <w:bookmarkStart w:id="14" w:name="_Ref216076519"/>
      <w:proofErr w:type="spellStart"/>
      <w:r w:rsidRPr="00CA4343">
        <w:rPr>
          <w:rFonts w:ascii="Times New Roman" w:eastAsia="宋体" w:hAnsi="Times New Roman" w:cs="Times New Roman"/>
          <w:sz w:val="18"/>
          <w:szCs w:val="18"/>
        </w:rPr>
        <w:t>Eilers</w:t>
      </w:r>
      <w:proofErr w:type="spellEnd"/>
      <w:r w:rsidRPr="00CA4343">
        <w:rPr>
          <w:rFonts w:ascii="Times New Roman" w:eastAsia="宋体" w:hAnsi="Times New Roman" w:cs="Times New Roman"/>
          <w:sz w:val="18"/>
          <w:szCs w:val="18"/>
        </w:rPr>
        <w:t xml:space="preserve"> P H C, </w:t>
      </w:r>
      <w:proofErr w:type="spellStart"/>
      <w:r w:rsidRPr="00CA4343">
        <w:rPr>
          <w:rFonts w:ascii="Times New Roman" w:eastAsia="宋体" w:hAnsi="Times New Roman" w:cs="Times New Roman"/>
          <w:sz w:val="18"/>
          <w:szCs w:val="18"/>
        </w:rPr>
        <w:t>Boelens</w:t>
      </w:r>
      <w:proofErr w:type="spellEnd"/>
      <w:r w:rsidRPr="00CA4343">
        <w:rPr>
          <w:rFonts w:ascii="Times New Roman" w:eastAsia="宋体" w:hAnsi="Times New Roman" w:cs="Times New Roman"/>
          <w:sz w:val="18"/>
          <w:szCs w:val="18"/>
        </w:rPr>
        <w:t xml:space="preserve"> H F M. Baseline correction with asymmetric least squares smoothing[R]. Leiden: Leiden University Medical Centre, 2005.</w:t>
      </w:r>
      <w:bookmarkEnd w:id="14"/>
    </w:p>
    <w:p w14:paraId="15A43EF5" w14:textId="77777777" w:rsidR="00DE77D4" w:rsidRPr="00ED75AE" w:rsidRDefault="00DE77D4" w:rsidP="00DE77D4">
      <w:pPr>
        <w:pStyle w:val="a5"/>
        <w:widowControl/>
        <w:numPr>
          <w:ilvl w:val="0"/>
          <w:numId w:val="14"/>
        </w:numPr>
        <w:ind w:left="560" w:firstLineChars="0"/>
        <w:jc w:val="left"/>
        <w:rPr>
          <w:rFonts w:ascii="Times New Roman" w:eastAsia="宋体" w:hAnsi="Times New Roman" w:cs="Times New Roman"/>
          <w:sz w:val="18"/>
          <w:szCs w:val="18"/>
        </w:rPr>
      </w:pPr>
      <w:bookmarkStart w:id="15" w:name="_Ref216076422"/>
      <w:r w:rsidRPr="00ED75AE">
        <w:rPr>
          <w:rFonts w:ascii="Times New Roman" w:eastAsia="宋体" w:hAnsi="Times New Roman" w:cs="Times New Roman"/>
          <w:sz w:val="18"/>
          <w:szCs w:val="18"/>
        </w:rPr>
        <w:t>Long D A. The Raman Effect: A Unified Treatment of the Theory of Raman Scattering by Molecules[M]. Chichester: John Wiley &amp; Sons, 2002.</w:t>
      </w:r>
      <w:bookmarkEnd w:id="15"/>
    </w:p>
    <w:p w14:paraId="590FF9FF" w14:textId="3D8CDFE1" w:rsidR="00DE77D4" w:rsidRDefault="00DE77D4" w:rsidP="00DE77D4">
      <w:pPr>
        <w:pStyle w:val="a5"/>
        <w:widowControl/>
        <w:numPr>
          <w:ilvl w:val="0"/>
          <w:numId w:val="14"/>
        </w:numPr>
        <w:ind w:left="560" w:firstLineChars="0"/>
        <w:jc w:val="left"/>
        <w:rPr>
          <w:rFonts w:ascii="Times New Roman" w:eastAsia="宋体" w:hAnsi="Times New Roman" w:cs="Times New Roman"/>
          <w:sz w:val="18"/>
          <w:szCs w:val="18"/>
        </w:rPr>
      </w:pPr>
      <w:bookmarkStart w:id="16" w:name="_Ref216076425"/>
      <w:proofErr w:type="spellStart"/>
      <w:r w:rsidRPr="00ED75AE">
        <w:rPr>
          <w:rFonts w:ascii="Times New Roman" w:eastAsia="宋体" w:hAnsi="Times New Roman" w:cs="Times New Roman"/>
          <w:sz w:val="18"/>
          <w:szCs w:val="18"/>
        </w:rPr>
        <w:t>Lakowicz</w:t>
      </w:r>
      <w:proofErr w:type="spellEnd"/>
      <w:r w:rsidRPr="00ED75AE">
        <w:rPr>
          <w:rFonts w:ascii="Times New Roman" w:eastAsia="宋体" w:hAnsi="Times New Roman" w:cs="Times New Roman"/>
          <w:sz w:val="18"/>
          <w:szCs w:val="18"/>
        </w:rPr>
        <w:t xml:space="preserve"> J R. Principles of Fluorescence Spectroscopy[M]. 3rd ed. New York: Springer, 2006.</w:t>
      </w:r>
      <w:bookmarkEnd w:id="16"/>
    </w:p>
    <w:p w14:paraId="60759BEB" w14:textId="0055CF6F" w:rsidR="00200570" w:rsidRPr="00ED75AE" w:rsidRDefault="00200570" w:rsidP="00DE77D4">
      <w:pPr>
        <w:pStyle w:val="a5"/>
        <w:widowControl/>
        <w:numPr>
          <w:ilvl w:val="0"/>
          <w:numId w:val="14"/>
        </w:numPr>
        <w:ind w:left="560" w:firstLineChars="0"/>
        <w:jc w:val="left"/>
        <w:rPr>
          <w:rFonts w:ascii="Times New Roman" w:eastAsia="宋体" w:hAnsi="Times New Roman" w:cs="Times New Roman"/>
          <w:sz w:val="18"/>
          <w:szCs w:val="18"/>
        </w:rPr>
      </w:pPr>
      <w:bookmarkStart w:id="17" w:name="_Ref216076602"/>
      <w:r>
        <w:rPr>
          <w:rFonts w:ascii="Times New Roman" w:eastAsia="宋体" w:hAnsi="Times New Roman" w:cs="Times New Roman"/>
          <w:sz w:val="18"/>
          <w:szCs w:val="18"/>
        </w:rPr>
        <w:t xml:space="preserve">Yang Y, Wang </w:t>
      </w:r>
      <w:r w:rsidRPr="00200570">
        <w:rPr>
          <w:rFonts w:ascii="Times New Roman" w:eastAsia="宋体" w:hAnsi="Times New Roman" w:cs="Times New Roman"/>
          <w:sz w:val="18"/>
          <w:szCs w:val="18"/>
        </w:rPr>
        <w:t xml:space="preserve">J, Li L, Yang H, Quan Y, Liao J </w:t>
      </w:r>
      <w:proofErr w:type="spellStart"/>
      <w:r w:rsidRPr="00200570">
        <w:rPr>
          <w:rFonts w:ascii="Times New Roman" w:eastAsia="宋体" w:hAnsi="Times New Roman" w:cs="Times New Roman"/>
          <w:sz w:val="18"/>
          <w:szCs w:val="18"/>
        </w:rPr>
        <w:t>J</w:t>
      </w:r>
      <w:proofErr w:type="spellEnd"/>
      <w:r w:rsidRPr="00200570">
        <w:rPr>
          <w:rFonts w:ascii="Times New Roman" w:eastAsia="宋体" w:hAnsi="Times New Roman" w:cs="Times New Roman"/>
          <w:sz w:val="18"/>
          <w:szCs w:val="18"/>
        </w:rPr>
        <w:t xml:space="preserve"> S, Ouyang W, Yu G, Ling L. Unleashing the power of receptor-based assay on high-throughput detection: Assessing the feasibility of enzyme-linked immunosorbent assay on large-scale antibiotic monitoring[J]. Emerging Contaminants, 2025, 11(3): 100511</w:t>
      </w:r>
      <w:bookmarkEnd w:id="17"/>
    </w:p>
    <w:p w14:paraId="3E2E58C5" w14:textId="77777777" w:rsidR="00F42BB4" w:rsidRDefault="00F42BB4">
      <w:pPr>
        <w:ind w:firstLineChars="150" w:firstLine="270"/>
        <w:jc w:val="left"/>
        <w:rPr>
          <w:rFonts w:ascii="宋体" w:eastAsia="宋体" w:hAnsi="宋体"/>
          <w:sz w:val="18"/>
          <w:szCs w:val="18"/>
        </w:rPr>
      </w:pPr>
    </w:p>
    <w:sectPr w:rsidR="00F42BB4">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 New Roman (正文 CS 字体)">
    <w:altName w:val="宋体"/>
    <w:panose1 w:val="020B0604020202020204"/>
    <w:charset w:val="86"/>
    <w:family w:val="roman"/>
    <w:pitch w:val="default"/>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4ED9"/>
    <w:multiLevelType w:val="multilevel"/>
    <w:tmpl w:val="045B4ED9"/>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92F7B28"/>
    <w:multiLevelType w:val="multilevel"/>
    <w:tmpl w:val="092F7B28"/>
    <w:lvl w:ilvl="0">
      <w:start w:val="1"/>
      <w:numFmt w:val="decimal"/>
      <w:lvlText w:val="%1."/>
      <w:lvlJc w:val="left"/>
      <w:pPr>
        <w:ind w:left="541" w:hanging="360"/>
      </w:pPr>
      <w:rPr>
        <w:rFonts w:hint="default"/>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2" w15:restartNumberingAfterBreak="0">
    <w:nsid w:val="0B30618C"/>
    <w:multiLevelType w:val="multilevel"/>
    <w:tmpl w:val="0B30618C"/>
    <w:lvl w:ilvl="0">
      <w:start w:val="1"/>
      <w:numFmt w:val="decimal"/>
      <w:lvlText w:val="%1."/>
      <w:lvlJc w:val="left"/>
      <w:pPr>
        <w:ind w:left="541" w:hanging="360"/>
      </w:pPr>
      <w:rPr>
        <w:rFonts w:hint="default"/>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3" w15:restartNumberingAfterBreak="0">
    <w:nsid w:val="0CF54491"/>
    <w:multiLevelType w:val="multilevel"/>
    <w:tmpl w:val="0CF54491"/>
    <w:lvl w:ilvl="0">
      <w:start w:val="2"/>
      <w:numFmt w:val="japaneseCounting"/>
      <w:lvlText w:val="%1、"/>
      <w:lvlJc w:val="left"/>
      <w:pPr>
        <w:ind w:left="980" w:hanging="5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A503460"/>
    <w:multiLevelType w:val="multilevel"/>
    <w:tmpl w:val="1A503460"/>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BD24266"/>
    <w:multiLevelType w:val="multilevel"/>
    <w:tmpl w:val="2BD24266"/>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9B049FB"/>
    <w:multiLevelType w:val="multilevel"/>
    <w:tmpl w:val="F3A00086"/>
    <w:lvl w:ilvl="0">
      <w:start w:val="1"/>
      <w:numFmt w:val="decimal"/>
      <w:lvlText w:val="[%1]"/>
      <w:lvlJc w:val="left"/>
      <w:pPr>
        <w:ind w:left="980" w:hanging="560"/>
      </w:pPr>
      <w:rPr>
        <w:rFonts w:ascii="Times New Roman" w:hAnsi="Times New Roman" w:cs="Times New Roman"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431B1CA8"/>
    <w:multiLevelType w:val="multilevel"/>
    <w:tmpl w:val="431B1CA8"/>
    <w:lvl w:ilvl="0">
      <w:start w:val="1"/>
      <w:numFmt w:val="decimal"/>
      <w:lvlText w:val="%1."/>
      <w:lvlJc w:val="left"/>
      <w:pPr>
        <w:ind w:left="541" w:hanging="360"/>
      </w:pPr>
      <w:rPr>
        <w:rFonts w:hint="default"/>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8" w15:restartNumberingAfterBreak="0">
    <w:nsid w:val="4FE4118E"/>
    <w:multiLevelType w:val="multilevel"/>
    <w:tmpl w:val="4FE4118E"/>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1C661EA"/>
    <w:multiLevelType w:val="multilevel"/>
    <w:tmpl w:val="51C661EA"/>
    <w:lvl w:ilvl="0">
      <w:start w:val="1"/>
      <w:numFmt w:val="japaneseCounting"/>
      <w:lvlText w:val="%1、"/>
      <w:lvlJc w:val="left"/>
      <w:pPr>
        <w:ind w:left="980" w:hanging="5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543E06F4"/>
    <w:multiLevelType w:val="multilevel"/>
    <w:tmpl w:val="543E06F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4F50F96"/>
    <w:multiLevelType w:val="multilevel"/>
    <w:tmpl w:val="39B049FB"/>
    <w:styleLink w:val="1"/>
    <w:lvl w:ilvl="0">
      <w:start w:val="2"/>
      <w:numFmt w:val="none"/>
      <w:lvlText w:val="[1]"/>
      <w:lvlJc w:val="left"/>
      <w:pPr>
        <w:ind w:left="980" w:hanging="5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23B4DDC"/>
    <w:multiLevelType w:val="multilevel"/>
    <w:tmpl w:val="623B4DDC"/>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68A1ADF"/>
    <w:multiLevelType w:val="multilevel"/>
    <w:tmpl w:val="668A1ADF"/>
    <w:lvl w:ilvl="0">
      <w:start w:val="1"/>
      <w:numFmt w:val="decimal"/>
      <w:lvlText w:val="%1."/>
      <w:lvlJc w:val="left"/>
      <w:pPr>
        <w:ind w:left="541" w:hanging="360"/>
      </w:pPr>
      <w:rPr>
        <w:rFonts w:hint="default"/>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abstractNum w:abstractNumId="14" w15:restartNumberingAfterBreak="0">
    <w:nsid w:val="77024DB7"/>
    <w:multiLevelType w:val="multilevel"/>
    <w:tmpl w:val="77024DB7"/>
    <w:lvl w:ilvl="0">
      <w:start w:val="1"/>
      <w:numFmt w:val="decimal"/>
      <w:lvlText w:val="%1."/>
      <w:lvlJc w:val="left"/>
      <w:pPr>
        <w:ind w:left="541" w:hanging="360"/>
      </w:pPr>
      <w:rPr>
        <w:rFonts w:hint="default"/>
      </w:rPr>
    </w:lvl>
    <w:lvl w:ilvl="1">
      <w:start w:val="1"/>
      <w:numFmt w:val="lowerLetter"/>
      <w:lvlText w:val="%2)"/>
      <w:lvlJc w:val="left"/>
      <w:pPr>
        <w:ind w:left="1021" w:hanging="420"/>
      </w:pPr>
    </w:lvl>
    <w:lvl w:ilvl="2">
      <w:start w:val="1"/>
      <w:numFmt w:val="lowerRoman"/>
      <w:lvlText w:val="%3."/>
      <w:lvlJc w:val="right"/>
      <w:pPr>
        <w:ind w:left="1441" w:hanging="420"/>
      </w:pPr>
    </w:lvl>
    <w:lvl w:ilvl="3">
      <w:start w:val="1"/>
      <w:numFmt w:val="decimal"/>
      <w:lvlText w:val="%4."/>
      <w:lvlJc w:val="left"/>
      <w:pPr>
        <w:ind w:left="1861" w:hanging="420"/>
      </w:pPr>
    </w:lvl>
    <w:lvl w:ilvl="4">
      <w:start w:val="1"/>
      <w:numFmt w:val="lowerLetter"/>
      <w:lvlText w:val="%5)"/>
      <w:lvlJc w:val="left"/>
      <w:pPr>
        <w:ind w:left="2281" w:hanging="420"/>
      </w:pPr>
    </w:lvl>
    <w:lvl w:ilvl="5">
      <w:start w:val="1"/>
      <w:numFmt w:val="lowerRoman"/>
      <w:lvlText w:val="%6."/>
      <w:lvlJc w:val="right"/>
      <w:pPr>
        <w:ind w:left="2701" w:hanging="420"/>
      </w:pPr>
    </w:lvl>
    <w:lvl w:ilvl="6">
      <w:start w:val="1"/>
      <w:numFmt w:val="decimal"/>
      <w:lvlText w:val="%7."/>
      <w:lvlJc w:val="left"/>
      <w:pPr>
        <w:ind w:left="3121" w:hanging="420"/>
      </w:pPr>
    </w:lvl>
    <w:lvl w:ilvl="7">
      <w:start w:val="1"/>
      <w:numFmt w:val="lowerLetter"/>
      <w:lvlText w:val="%8)"/>
      <w:lvlJc w:val="left"/>
      <w:pPr>
        <w:ind w:left="3541" w:hanging="420"/>
      </w:pPr>
    </w:lvl>
    <w:lvl w:ilvl="8">
      <w:start w:val="1"/>
      <w:numFmt w:val="lowerRoman"/>
      <w:lvlText w:val="%9."/>
      <w:lvlJc w:val="right"/>
      <w:pPr>
        <w:ind w:left="3961" w:hanging="420"/>
      </w:pPr>
    </w:lvl>
  </w:abstractNum>
  <w:num w:numId="1">
    <w:abstractNumId w:val="0"/>
  </w:num>
  <w:num w:numId="2">
    <w:abstractNumId w:val="9"/>
  </w:num>
  <w:num w:numId="3">
    <w:abstractNumId w:val="13"/>
  </w:num>
  <w:num w:numId="4">
    <w:abstractNumId w:val="3"/>
  </w:num>
  <w:num w:numId="5">
    <w:abstractNumId w:val="7"/>
  </w:num>
  <w:num w:numId="6">
    <w:abstractNumId w:val="14"/>
  </w:num>
  <w:num w:numId="7">
    <w:abstractNumId w:val="12"/>
  </w:num>
  <w:num w:numId="8">
    <w:abstractNumId w:val="5"/>
  </w:num>
  <w:num w:numId="9">
    <w:abstractNumId w:val="10"/>
  </w:num>
  <w:num w:numId="10">
    <w:abstractNumId w:val="2"/>
  </w:num>
  <w:num w:numId="11">
    <w:abstractNumId w:val="8"/>
  </w:num>
  <w:num w:numId="12">
    <w:abstractNumId w:val="4"/>
  </w:num>
  <w:num w:numId="13">
    <w:abstractNumId w:val="1"/>
  </w:num>
  <w:num w:numId="14">
    <w:abstractNumId w:val="6"/>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D56"/>
    <w:rsid w:val="0006294B"/>
    <w:rsid w:val="00076288"/>
    <w:rsid w:val="000D3777"/>
    <w:rsid w:val="000D3BAA"/>
    <w:rsid w:val="000E21AA"/>
    <w:rsid w:val="00105F3B"/>
    <w:rsid w:val="00110D7F"/>
    <w:rsid w:val="00112F8E"/>
    <w:rsid w:val="00113990"/>
    <w:rsid w:val="001274E1"/>
    <w:rsid w:val="001422C9"/>
    <w:rsid w:val="0016572A"/>
    <w:rsid w:val="00165BBC"/>
    <w:rsid w:val="00173FB8"/>
    <w:rsid w:val="00186B1D"/>
    <w:rsid w:val="0019591E"/>
    <w:rsid w:val="001A309C"/>
    <w:rsid w:val="001B084E"/>
    <w:rsid w:val="001C1D32"/>
    <w:rsid w:val="001D762F"/>
    <w:rsid w:val="00200570"/>
    <w:rsid w:val="002110DB"/>
    <w:rsid w:val="002152DF"/>
    <w:rsid w:val="00240A80"/>
    <w:rsid w:val="00244386"/>
    <w:rsid w:val="00250782"/>
    <w:rsid w:val="002568AD"/>
    <w:rsid w:val="00272240"/>
    <w:rsid w:val="00274E9C"/>
    <w:rsid w:val="002B700E"/>
    <w:rsid w:val="002F0E45"/>
    <w:rsid w:val="0030023C"/>
    <w:rsid w:val="0030372E"/>
    <w:rsid w:val="00312DC8"/>
    <w:rsid w:val="00316370"/>
    <w:rsid w:val="00321412"/>
    <w:rsid w:val="00344907"/>
    <w:rsid w:val="0036351C"/>
    <w:rsid w:val="0037142B"/>
    <w:rsid w:val="00385AAE"/>
    <w:rsid w:val="00392342"/>
    <w:rsid w:val="003A2993"/>
    <w:rsid w:val="003A6645"/>
    <w:rsid w:val="003A7E06"/>
    <w:rsid w:val="003F20C9"/>
    <w:rsid w:val="003F2CD0"/>
    <w:rsid w:val="003F63AE"/>
    <w:rsid w:val="00400A07"/>
    <w:rsid w:val="004040C7"/>
    <w:rsid w:val="00411151"/>
    <w:rsid w:val="00431CDA"/>
    <w:rsid w:val="004338A8"/>
    <w:rsid w:val="00443C09"/>
    <w:rsid w:val="00447F38"/>
    <w:rsid w:val="00451160"/>
    <w:rsid w:val="00454F23"/>
    <w:rsid w:val="0047103D"/>
    <w:rsid w:val="00480ADE"/>
    <w:rsid w:val="00480BD2"/>
    <w:rsid w:val="00483E7D"/>
    <w:rsid w:val="00495A02"/>
    <w:rsid w:val="004A5321"/>
    <w:rsid w:val="004B6686"/>
    <w:rsid w:val="004C5175"/>
    <w:rsid w:val="004E07DE"/>
    <w:rsid w:val="004E252F"/>
    <w:rsid w:val="004F6952"/>
    <w:rsid w:val="00520759"/>
    <w:rsid w:val="00522B1E"/>
    <w:rsid w:val="00525560"/>
    <w:rsid w:val="00550B3E"/>
    <w:rsid w:val="00552500"/>
    <w:rsid w:val="005706B7"/>
    <w:rsid w:val="00572CFE"/>
    <w:rsid w:val="00582485"/>
    <w:rsid w:val="00594A90"/>
    <w:rsid w:val="005A6E13"/>
    <w:rsid w:val="005A6ED5"/>
    <w:rsid w:val="005C2142"/>
    <w:rsid w:val="005C407A"/>
    <w:rsid w:val="005D7B2B"/>
    <w:rsid w:val="005E0BE8"/>
    <w:rsid w:val="005E3D56"/>
    <w:rsid w:val="005F1D30"/>
    <w:rsid w:val="005F2AA4"/>
    <w:rsid w:val="00614CBA"/>
    <w:rsid w:val="00617D9A"/>
    <w:rsid w:val="00635D16"/>
    <w:rsid w:val="0064740E"/>
    <w:rsid w:val="00672A14"/>
    <w:rsid w:val="0067334B"/>
    <w:rsid w:val="00674834"/>
    <w:rsid w:val="006759AB"/>
    <w:rsid w:val="00687AD2"/>
    <w:rsid w:val="0069167C"/>
    <w:rsid w:val="006C4BD5"/>
    <w:rsid w:val="006C7787"/>
    <w:rsid w:val="006E0D06"/>
    <w:rsid w:val="006F2C62"/>
    <w:rsid w:val="006F5D66"/>
    <w:rsid w:val="00706F8C"/>
    <w:rsid w:val="00707833"/>
    <w:rsid w:val="00711972"/>
    <w:rsid w:val="00715C8B"/>
    <w:rsid w:val="00721032"/>
    <w:rsid w:val="00727705"/>
    <w:rsid w:val="00734DC3"/>
    <w:rsid w:val="00747BF1"/>
    <w:rsid w:val="00752E6D"/>
    <w:rsid w:val="00781696"/>
    <w:rsid w:val="00795965"/>
    <w:rsid w:val="007B4FB4"/>
    <w:rsid w:val="007D450C"/>
    <w:rsid w:val="007E0500"/>
    <w:rsid w:val="007F2C92"/>
    <w:rsid w:val="007F7C62"/>
    <w:rsid w:val="0081230B"/>
    <w:rsid w:val="00816081"/>
    <w:rsid w:val="00824E18"/>
    <w:rsid w:val="00830B66"/>
    <w:rsid w:val="00834796"/>
    <w:rsid w:val="00846AD2"/>
    <w:rsid w:val="00853187"/>
    <w:rsid w:val="008549E3"/>
    <w:rsid w:val="0085699B"/>
    <w:rsid w:val="0088026A"/>
    <w:rsid w:val="008B60DB"/>
    <w:rsid w:val="008C0C8C"/>
    <w:rsid w:val="008D0801"/>
    <w:rsid w:val="008E0472"/>
    <w:rsid w:val="008E78D8"/>
    <w:rsid w:val="008F5048"/>
    <w:rsid w:val="00922E2E"/>
    <w:rsid w:val="00924F1E"/>
    <w:rsid w:val="0093439D"/>
    <w:rsid w:val="0096211E"/>
    <w:rsid w:val="009775A2"/>
    <w:rsid w:val="009C046C"/>
    <w:rsid w:val="009D25E6"/>
    <w:rsid w:val="009D4196"/>
    <w:rsid w:val="009E13A3"/>
    <w:rsid w:val="009F137D"/>
    <w:rsid w:val="00A1161B"/>
    <w:rsid w:val="00A13380"/>
    <w:rsid w:val="00A4364A"/>
    <w:rsid w:val="00A43675"/>
    <w:rsid w:val="00A53BF7"/>
    <w:rsid w:val="00A74C12"/>
    <w:rsid w:val="00A9062C"/>
    <w:rsid w:val="00A97FC9"/>
    <w:rsid w:val="00AE2943"/>
    <w:rsid w:val="00B0283C"/>
    <w:rsid w:val="00B069DA"/>
    <w:rsid w:val="00B13A20"/>
    <w:rsid w:val="00B2392C"/>
    <w:rsid w:val="00B40DFB"/>
    <w:rsid w:val="00B515D6"/>
    <w:rsid w:val="00B61F63"/>
    <w:rsid w:val="00B65FDF"/>
    <w:rsid w:val="00B67272"/>
    <w:rsid w:val="00BD122A"/>
    <w:rsid w:val="00BD7E00"/>
    <w:rsid w:val="00BE3A71"/>
    <w:rsid w:val="00C35367"/>
    <w:rsid w:val="00C4605D"/>
    <w:rsid w:val="00C83035"/>
    <w:rsid w:val="00C921ED"/>
    <w:rsid w:val="00CB0A11"/>
    <w:rsid w:val="00CD02AA"/>
    <w:rsid w:val="00CF1D53"/>
    <w:rsid w:val="00CF6C2A"/>
    <w:rsid w:val="00D010CD"/>
    <w:rsid w:val="00D20661"/>
    <w:rsid w:val="00D844C8"/>
    <w:rsid w:val="00D959A7"/>
    <w:rsid w:val="00DA30D4"/>
    <w:rsid w:val="00DB1F91"/>
    <w:rsid w:val="00DB3F1D"/>
    <w:rsid w:val="00DD1DC7"/>
    <w:rsid w:val="00DE3B2A"/>
    <w:rsid w:val="00DE77D4"/>
    <w:rsid w:val="00DF7335"/>
    <w:rsid w:val="00DF773E"/>
    <w:rsid w:val="00E0540E"/>
    <w:rsid w:val="00E167BB"/>
    <w:rsid w:val="00E272F2"/>
    <w:rsid w:val="00E40021"/>
    <w:rsid w:val="00E430B9"/>
    <w:rsid w:val="00E66428"/>
    <w:rsid w:val="00E8161B"/>
    <w:rsid w:val="00E842A3"/>
    <w:rsid w:val="00E862B6"/>
    <w:rsid w:val="00E95FD9"/>
    <w:rsid w:val="00EA147E"/>
    <w:rsid w:val="00ED5568"/>
    <w:rsid w:val="00F376CE"/>
    <w:rsid w:val="00F42BB4"/>
    <w:rsid w:val="00F67287"/>
    <w:rsid w:val="00F708EB"/>
    <w:rsid w:val="00F75D63"/>
    <w:rsid w:val="00FB473F"/>
    <w:rsid w:val="00FD411A"/>
    <w:rsid w:val="05252002"/>
    <w:rsid w:val="19AE3E6E"/>
    <w:rsid w:val="4F654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16591"/>
  <w15:docId w15:val="{78949080-A036-0E44-B4E0-455B2368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Normal (Web)"/>
    <w:basedOn w:val="a"/>
    <w:uiPriority w:val="99"/>
    <w:semiHidden/>
    <w:unhideWhenUsed/>
    <w:rPr>
      <w:rFonts w:ascii="Times New Roman" w:hAnsi="Times New Roman" w:cs="Times New Roman"/>
      <w:sz w:val="24"/>
    </w:rPr>
  </w:style>
  <w:style w:type="paragraph" w:styleId="a5">
    <w:name w:val="List Paragraph"/>
    <w:basedOn w:val="a"/>
    <w:uiPriority w:val="34"/>
    <w:qFormat/>
    <w:pPr>
      <w:ind w:firstLineChars="200" w:firstLine="420"/>
    </w:pPr>
  </w:style>
  <w:style w:type="numbering" w:customStyle="1" w:styleId="1">
    <w:name w:val="当前列表1"/>
    <w:uiPriority w:val="99"/>
    <w:rsid w:val="00DE77D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82286">
      <w:bodyDiv w:val="1"/>
      <w:marLeft w:val="0"/>
      <w:marRight w:val="0"/>
      <w:marTop w:val="0"/>
      <w:marBottom w:val="0"/>
      <w:divBdr>
        <w:top w:val="none" w:sz="0" w:space="0" w:color="auto"/>
        <w:left w:val="none" w:sz="0" w:space="0" w:color="auto"/>
        <w:bottom w:val="none" w:sz="0" w:space="0" w:color="auto"/>
        <w:right w:val="none" w:sz="0" w:space="0" w:color="auto"/>
      </w:divBdr>
    </w:div>
    <w:div w:id="589896030">
      <w:bodyDiv w:val="1"/>
      <w:marLeft w:val="0"/>
      <w:marRight w:val="0"/>
      <w:marTop w:val="0"/>
      <w:marBottom w:val="0"/>
      <w:divBdr>
        <w:top w:val="none" w:sz="0" w:space="0" w:color="auto"/>
        <w:left w:val="none" w:sz="0" w:space="0" w:color="auto"/>
        <w:bottom w:val="none" w:sz="0" w:space="0" w:color="auto"/>
        <w:right w:val="none" w:sz="0" w:space="0" w:color="auto"/>
      </w:divBdr>
    </w:div>
    <w:div w:id="724375575">
      <w:bodyDiv w:val="1"/>
      <w:marLeft w:val="0"/>
      <w:marRight w:val="0"/>
      <w:marTop w:val="0"/>
      <w:marBottom w:val="0"/>
      <w:divBdr>
        <w:top w:val="none" w:sz="0" w:space="0" w:color="auto"/>
        <w:left w:val="none" w:sz="0" w:space="0" w:color="auto"/>
        <w:bottom w:val="none" w:sz="0" w:space="0" w:color="auto"/>
        <w:right w:val="none" w:sz="0" w:space="0" w:color="auto"/>
      </w:divBdr>
    </w:div>
    <w:div w:id="1035892012">
      <w:bodyDiv w:val="1"/>
      <w:marLeft w:val="0"/>
      <w:marRight w:val="0"/>
      <w:marTop w:val="0"/>
      <w:marBottom w:val="0"/>
      <w:divBdr>
        <w:top w:val="none" w:sz="0" w:space="0" w:color="auto"/>
        <w:left w:val="none" w:sz="0" w:space="0" w:color="auto"/>
        <w:bottom w:val="none" w:sz="0" w:space="0" w:color="auto"/>
        <w:right w:val="none" w:sz="0" w:space="0" w:color="auto"/>
      </w:divBdr>
    </w:div>
    <w:div w:id="1213620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93837E21-8178-6243-A61C-0640A56C9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2913</Words>
  <Characters>16610</Characters>
  <Application>Microsoft Office Word</Application>
  <DocSecurity>0</DocSecurity>
  <Lines>138</Lines>
  <Paragraphs>38</Paragraphs>
  <ScaleCrop>false</ScaleCrop>
  <Company/>
  <LinksUpToDate>false</LinksUpToDate>
  <CharactersWithSpaces>19485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 Crystal NaNa [Student]</dc:creator>
  <cp:lastModifiedBy>CHEN, Crystal NaNa [Student]</cp:lastModifiedBy>
  <cp:revision>38</cp:revision>
  <dcterms:created xsi:type="dcterms:W3CDTF">2025-11-17T06:03:00Z</dcterms:created>
  <dcterms:modified xsi:type="dcterms:W3CDTF">2025-12-08T00:56:00Z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eyJoZGlkIjoiMzlmNGI2ZTUxZmEwODRkYjVkNjQ2YmE1MTBhZGJiNmMiLCJ1c2VySWQiOiIyNDM0NTkwOTQifQ==</vt:lpwstr>
  </property>
  <property fmtid="{D5CDD505-2E9C-101B-9397-08002B2CF9AE}" pid="3" name="KSOProductBuildVer">
    <vt:lpwstr>2052-12.1.0.24034</vt:lpwstr>
  </property>
  <property fmtid="{D5CDD505-2E9C-101B-9397-08002B2CF9AE}" pid="4" name="ICV">
    <vt:lpwstr>88F8BD8A78074ADB95817269D7492E6B_12</vt:lpwstr>
  </property>
</Properties>
</file>