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Arial" w:hAnsi="Arial"/>
          <w:b/>
          <w:i w:val="0"/>
          <w:sz w:val="32"/>
        </w:rPr>
        <w:t>Atividade 01 — Título, palavras-chave, fichamento de artigos, Introdução e Metodologia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Projeto:</w:t>
      </w:r>
      <w:r>
        <w:rPr>
          <w:rFonts w:ascii="Arial" w:hAnsi="Arial"/>
          <w:b w:val="0"/>
          <w:i w:val="0"/>
          <w:sz w:val="24"/>
        </w:rPr>
        <w:t xml:space="preserve"> CDC-CNPJ · </w:t>
      </w:r>
      <w:r>
        <w:rPr>
          <w:rFonts w:ascii="Arial" w:hAnsi="Arial"/>
          <w:b/>
          <w:i w:val="0"/>
          <w:sz w:val="24"/>
        </w:rPr>
        <w:t>Curso:</w:t>
      </w:r>
      <w:r>
        <w:rPr>
          <w:rFonts w:ascii="Arial" w:hAnsi="Arial"/>
          <w:b w:val="0"/>
          <w:i w:val="0"/>
          <w:sz w:val="24"/>
        </w:rPr>
        <w:t xml:space="preserve"> Univesp · </w:t>
      </w:r>
      <w:r>
        <w:rPr>
          <w:rFonts w:ascii="Arial" w:hAnsi="Arial"/>
          <w:b/>
          <w:i w:val="0"/>
          <w:sz w:val="24"/>
        </w:rPr>
        <w:t>Entrega:</w:t>
      </w:r>
      <w:r>
        <w:rPr>
          <w:rFonts w:ascii="Arial" w:hAnsi="Arial"/>
          <w:b w:val="0"/>
          <w:i w:val="0"/>
          <w:sz w:val="24"/>
        </w:rPr>
        <w:t xml:space="preserve"> Atividade 01 (primeira entrega) </w:t>
      </w:r>
      <w:r>
        <w:rPr>
          <w:rFonts w:ascii="Arial" w:hAnsi="Arial"/>
          <w:b/>
          <w:i w:val="0"/>
          <w:sz w:val="24"/>
        </w:rPr>
        <w:t>Data:</w:t>
      </w:r>
      <w:r>
        <w:rPr>
          <w:rFonts w:ascii="Arial" w:hAnsi="Arial"/>
          <w:b w:val="0"/>
          <w:i w:val="0"/>
          <w:sz w:val="24"/>
        </w:rPr>
        <w:t xml:space="preserve"> 2026-08-18 · </w:t>
      </w:r>
      <w:r>
        <w:rPr>
          <w:rFonts w:ascii="Arial" w:hAnsi="Arial"/>
          <w:b/>
          <w:i w:val="0"/>
          <w:sz w:val="24"/>
        </w:rPr>
        <w:t>Semana do projeto:</w:t>
      </w:r>
      <w:r>
        <w:rPr>
          <w:rFonts w:ascii="Arial" w:hAnsi="Arial"/>
          <w:b w:val="0"/>
          <w:i w:val="0"/>
          <w:sz w:val="24"/>
        </w:rPr>
        <w:t xml:space="preserve"> S1 de 13 · </w:t>
      </w:r>
      <w:r>
        <w:rPr>
          <w:rFonts w:ascii="Arial" w:hAnsi="Arial"/>
          <w:b/>
          <w:i w:val="0"/>
          <w:sz w:val="24"/>
        </w:rPr>
        <w:t>Equipe:</w:t>
      </w:r>
      <w:r>
        <w:rPr>
          <w:rFonts w:ascii="Arial" w:hAnsi="Arial"/>
          <w:b w:val="0"/>
          <w:i w:val="0"/>
          <w:sz w:val="24"/>
        </w:rPr>
        <w:t xml:space="preserve"> 4 integrantes </w:t>
      </w:r>
      <w:r>
        <w:rPr>
          <w:rFonts w:ascii="Arial" w:hAnsi="Arial"/>
          <w:b/>
          <w:i w:val="0"/>
          <w:sz w:val="24"/>
        </w:rPr>
        <w:t>Fonte normativa: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Consolas" w:hAnsi="Consolas"/>
          <w:b w:val="0"/>
          <w:i w:val="0"/>
          <w:sz w:val="19"/>
        </w:rPr>
        <w:t>docs/superpowers/specs/2026-08-18-cdc-cnpj-design.md</w:t>
      </w:r>
      <w:r>
        <w:rPr>
          <w:rFonts w:ascii="Arial" w:hAnsi="Arial"/>
          <w:b w:val="0"/>
          <w:i w:val="0"/>
          <w:sz w:val="24"/>
        </w:rPr>
        <w:t xml:space="preserve"> (spec v1.0)</w:t>
      </w:r>
    </w:p>
    <w:p>
      <w:pPr>
        <w:spacing w:line="276" w:lineRule="auto" w:after="160"/>
        <w:ind w:left="567"/>
        <w:jc w:val="both"/>
      </w:pPr>
      <w:r>
        <w:rPr>
          <w:rFonts w:ascii="Arial" w:hAnsi="Arial"/>
          <w:b/>
          <w:i/>
          <w:color w:val="444444"/>
          <w:sz w:val="24"/>
        </w:rPr>
        <w:t>Como este documento foi montado.</w:t>
      </w:r>
      <w:r>
        <w:rPr>
          <w:rFonts w:ascii="Arial" w:hAnsi="Arial"/>
          <w:b w:val="0"/>
          <w:i/>
          <w:color w:val="444444"/>
          <w:sz w:val="24"/>
        </w:rPr>
        <w:t xml:space="preserve"> Título, introdução e metodologia derivam da spec v1.0 (§1–§3 e §9–§11) e do ADR-001. As referências foram escolhidas para cobrir os quatro eixos que o trabalho precisa sustentar na banca: </w:t>
      </w:r>
      <w:r>
        <w:rPr>
          <w:rFonts w:ascii="Arial" w:hAnsi="Arial"/>
          <w:b w:val="0"/>
          <w:i/>
          <w:color w:val="444444"/>
          <w:sz w:val="24"/>
        </w:rPr>
        <w:t>snapshot differencing</w:t>
      </w:r>
      <w:r>
        <w:rPr>
          <w:rFonts w:ascii="Arial" w:hAnsi="Arial"/>
          <w:b w:val="0"/>
          <w:i/>
          <w:color w:val="444444"/>
          <w:sz w:val="24"/>
        </w:rPr>
        <w:t>, CDC clássico, armazenamento colunar e qualidade de dados em ETL.</w:t>
      </w:r>
    </w:p>
    <w:p>
      <w:pPr>
        <w:spacing w:line="276" w:lineRule="auto" w:after="160"/>
        <w:ind w:left="567"/>
        <w:jc w:val="both"/>
      </w:pPr>
      <w:r>
        <w:rPr>
          <w:rFonts w:ascii="Arial" w:hAnsi="Arial"/>
          <w:b/>
          <w:i/>
          <w:color w:val="444444"/>
          <w:sz w:val="24"/>
        </w:rPr>
        <w:t>Regra da spec §15 que continua valendo:</w:t>
      </w:r>
      <w:r>
        <w:rPr>
          <w:rFonts w:ascii="Arial" w:hAnsi="Arial"/>
          <w:b w:val="0"/>
          <w:i/>
          <w:color w:val="444444"/>
          <w:sz w:val="24"/>
        </w:rPr>
        <w:t xml:space="preserve"> nenhuma referência entra na monografia sem ter sido lida na fonte original. As fichas abaixo são </w:t>
      </w:r>
      <w:r>
        <w:rPr>
          <w:rFonts w:ascii="Arial" w:hAnsi="Arial"/>
          <w:b/>
          <w:i/>
          <w:color w:val="444444"/>
          <w:sz w:val="24"/>
        </w:rPr>
        <w:t>ponto de partida para a leitura</w:t>
      </w:r>
      <w:r>
        <w:rPr>
          <w:rFonts w:ascii="Arial" w:hAnsi="Arial"/>
          <w:b w:val="0"/>
          <w:i/>
          <w:color w:val="444444"/>
          <w:sz w:val="24"/>
        </w:rPr>
        <w:t xml:space="preserve">, não substituto dela. Cada ficha traz um campo </w:t>
      </w:r>
      <w:r>
        <w:rPr>
          <w:rFonts w:ascii="Arial" w:hAnsi="Arial"/>
          <w:b w:val="0"/>
          <w:i/>
          <w:color w:val="444444"/>
          <w:sz w:val="24"/>
        </w:rPr>
        <w:t>Estado da leitura</w:t>
      </w:r>
      <w:r>
        <w:rPr>
          <w:rFonts w:ascii="Arial" w:hAnsi="Arial"/>
          <w:b w:val="0"/>
          <w:i/>
          <w:color w:val="444444"/>
          <w:sz w:val="24"/>
        </w:rPr>
        <w:t xml:space="preserve"> — atualize-o conforme o time avançar.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1. Título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Título principal (proposto):</w:t>
      </w:r>
    </w:p>
    <w:p>
      <w:pPr>
        <w:spacing w:line="276" w:lineRule="auto" w:after="160"/>
        <w:ind w:left="567"/>
        <w:jc w:val="both"/>
      </w:pPr>
      <w:r>
        <w:rPr>
          <w:rFonts w:ascii="Arial" w:hAnsi="Arial"/>
          <w:b/>
          <w:i/>
          <w:color w:val="444444"/>
          <w:sz w:val="24"/>
        </w:rPr>
        <w:t>Change Data Capture sobre snapshots de dados abertos: um pipeline reprodutível para detecção e publicação de eventos de mudança no cadastro do CNPJ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Subtítulo alternativo, caso a banca prefira ênfase experimental:</w:t>
      </w:r>
    </w:p>
    <w:p>
      <w:pPr>
        <w:spacing w:line="276" w:lineRule="auto" w:after="160"/>
        <w:ind w:left="567"/>
        <w:jc w:val="both"/>
      </w:pPr>
      <w:r>
        <w:rPr>
          <w:rFonts w:ascii="Arial" w:hAnsi="Arial"/>
          <w:b w:val="0"/>
          <w:i/>
          <w:color w:val="444444"/>
          <w:sz w:val="24"/>
        </w:rPr>
        <w:t>…: comparação entre uma estratégia relacional e uma estratégia particionada por hash em hardware de commodity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Alternativas descartadas e por quê: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Alternativa</w:t>
            </w:r>
          </w:p>
        </w:tc>
        <w:tc>
          <w:tcPr>
            <w:tcW w:type="dxa" w:w="4535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Por que não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"Big Data aplicado aos dados abertos do CNPJ"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Vago; não diz o que foi construído nem o que foi medido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"Pipeline ETL para os dados públicos do CNPJ"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Descreve um ETL comum; esconde a contribuição, que é o </w:t>
            </w:r>
            <w:r>
              <w:rPr>
                <w:rFonts w:ascii="Arial" w:hAnsi="Arial"/>
                <w:b w:val="0"/>
                <w:i/>
                <w:sz w:val="18"/>
              </w:rPr>
              <w:t>diff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de snapshots e o contrato de eventos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"Detecção de mudanças em grandes volumes de dados"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Genérico demais; perde o domínio e a reprodutibilidade, que são os diferenciais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both"/>
      </w:pPr>
      <w:r>
        <w:rPr>
          <w:rFonts w:ascii="Arial" w:hAnsi="Arial"/>
          <w:b w:val="0"/>
          <w:i/>
          <w:sz w:val="24"/>
        </w:rPr>
      </w:r>
      <w:r>
        <w:rPr>
          <w:rFonts w:ascii="Arial" w:hAnsi="Arial"/>
          <w:b w:val="0"/>
          <w:i/>
          <w:sz w:val="24"/>
        </w:rPr>
        <w:t xml:space="preserve">Título em inglês (para o </w:t>
      </w:r>
      <w:r>
        <w:rPr>
          <w:rFonts w:ascii="Arial" w:hAnsi="Arial"/>
          <w:b w:val="0"/>
          <w:i w:val="0"/>
          <w:sz w:val="24"/>
        </w:rPr>
        <w:t>abstract</w:t>
      </w:r>
      <w:r>
        <w:rPr>
          <w:rFonts w:ascii="Arial" w:hAnsi="Arial"/>
          <w:b w:val="0"/>
          <w:i/>
          <w:sz w:val="24"/>
        </w:rPr>
        <w:t>):</w:t>
      </w:r>
      <w:r>
        <w:rPr>
          <w:rFonts w:ascii="Arial" w:hAnsi="Arial"/>
          <w:b w:val="0"/>
          <w:i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>Change Data Capture over open-data snapshots: a reproducible pipeline for detecting and publishing change events in the Brazilian business registry (CNPJ)*</w:t>
      </w:r>
    </w:p>
    <w:p>
      <w:pPr>
        <w:spacing w:line="276" w:lineRule="auto" w:after="160"/>
        <w:ind w:left="567"/>
        <w:jc w:val="both"/>
      </w:pPr>
      <w:r>
        <w:rPr>
          <w:rFonts w:ascii="Arial" w:hAnsi="Arial"/>
          <w:b/>
          <w:i/>
          <w:color w:val="444444"/>
          <w:sz w:val="24"/>
        </w:rPr>
        <w:t>Pendência de time:</w:t>
      </w:r>
      <w:r>
        <w:rPr>
          <w:rFonts w:ascii="Arial" w:hAnsi="Arial"/>
          <w:b w:val="0"/>
          <w:i/>
          <w:color w:val="444444"/>
          <w:sz w:val="24"/>
        </w:rPr>
        <w:t xml:space="preserve"> o título é uma decisão que afeta as quatro frentes. Registrado como </w:t>
      </w:r>
      <w:r>
        <w:rPr>
          <w:rFonts w:ascii="Arial" w:hAnsi="Arial"/>
          <w:b/>
          <w:i/>
          <w:color w:val="444444"/>
          <w:sz w:val="24"/>
        </w:rPr>
        <w:t>ADR-003 (estado: proposto)</w:t>
      </w:r>
      <w:r>
        <w:rPr>
          <w:rFonts w:ascii="Arial" w:hAnsi="Arial"/>
          <w:b w:val="0"/>
          <w:i/>
          <w:color w:val="444444"/>
          <w:sz w:val="24"/>
        </w:rPr>
        <w:t xml:space="preserve"> em </w:t>
      </w:r>
      <w:r>
        <w:rPr>
          <w:rFonts w:ascii="Consolas" w:hAnsi="Consolas"/>
          <w:b w:val="0"/>
          <w:i/>
          <w:color w:val="444444"/>
          <w:sz w:val="19"/>
        </w:rPr>
        <w:t>docs/DECISOES.md</w:t>
      </w:r>
      <w:r>
        <w:rPr>
          <w:rFonts w:ascii="Arial" w:hAnsi="Arial"/>
          <w:b w:val="0"/>
          <w:i/>
          <w:color w:val="444444"/>
          <w:sz w:val="24"/>
        </w:rPr>
        <w:t>. Ratificar até 24/ago.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2. Palavras-chave para busca no Google Acadêmico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literatura central deste tema é publicada </w:t>
      </w:r>
      <w:r>
        <w:rPr>
          <w:rFonts w:ascii="Arial" w:hAnsi="Arial"/>
          <w:b/>
          <w:i w:val="0"/>
          <w:sz w:val="24"/>
        </w:rPr>
        <w:t>em inglês</w:t>
      </w:r>
      <w:r>
        <w:rPr>
          <w:rFonts w:ascii="Arial" w:hAnsi="Arial"/>
          <w:b w:val="0"/>
          <w:i w:val="0"/>
          <w:sz w:val="24"/>
        </w:rPr>
        <w:t>. As buscas em português servem para contexto nacional (dados abertos, CNPJ) e devem ser tratadas como complementares.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2.1 Palavras-chave (8 — o guia pede no mínimo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Português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Inglês (termo de busca real)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Para que serve no trabalho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Diferenciação de snapshots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snapshot differential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snapshot differencing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Âncora teórica direta: é exatamente o nosso problema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Captura de dados de mudança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change data capture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CDC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Área-mãe; posiciona o trabalho e mostra por que a via clássica não se aplica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Detecção de alterações em dados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change detection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delta computation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differential refresh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Sinônimos usados pela literatura de data warehouse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Particionamento por hash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hash partitioning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partitioned hash join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Fundamenta o motor E3 e a hipótese H1 (memória constante)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Armazenamento colunar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columnar storage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column-oriented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record shredding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Justifica a camada canônica em Parquet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Arquitetura orientada a eventos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event streaming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log-based architecture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Apache Kafka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Fundamenta o estágio 4 e o contrato de eventos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Qualidade de dados em ETL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data cleaning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data quality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ETL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Fundamenta os contadores de rejeição e o limite de 0,1%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Dados abertos governamentais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open government data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open data reuse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Justificativa social e contexto brasileiro</w:t>
            </w:r>
          </w:p>
        </w:tc>
      </w:tr>
    </w:tbl>
    <w:p>
      <w:pPr>
        <w:spacing w:after="0"/>
      </w:pPr>
    </w:p>
    <w:p>
      <w:pPr>
        <w:spacing w:line="360" w:lineRule="auto" w:after="120"/>
        <w:jc w:val="both"/>
      </w:pPr>
      <w:r>
        <w:rPr>
          <w:rFonts w:ascii="Arial" w:hAnsi="Arial"/>
          <w:b w:val="0"/>
          <w:i/>
          <w:sz w:val="24"/>
        </w:rPr>
        <w:t>Extra, só para a Expansão (Sócios / problema P2):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Consolas" w:hAnsi="Consolas"/>
          <w:b w:val="0"/>
          <w:i w:val="0"/>
          <w:sz w:val="19"/>
        </w:rPr>
        <w:t>record linkage</w:t>
      </w:r>
      <w:r>
        <w:rPr>
          <w:rFonts w:ascii="Arial" w:hAnsi="Arial"/>
          <w:b w:val="0"/>
          <w:i w:val="0"/>
          <w:sz w:val="24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entity resolution</w:t>
      </w:r>
      <w:r>
        <w:rPr>
          <w:rFonts w:ascii="Arial" w:hAnsi="Arial"/>
          <w:b w:val="0"/>
          <w:i w:val="0"/>
          <w:sz w:val="24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data matching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2.2 Strings de busca prontas (copiar e colar no Google Acadêmico)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"snapshot differential" AND ("data warehouse" OR "change detection")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"change data capture" AND ("transaction log" OR "log-based") AND (evaluation OR benchmark)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("snapshot differencing" OR "delta computation") AND ("hash partitioning" OR "partitioned join")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"columnar storage" AND (Parquet OR "record shredding" OR "nested data")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"event streaming" AND Kafka AND ("exactly-once" OR "at-least-once" OR idempoten*)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"data quality" AND ETL AND ("rejection rate" OR "error detection" OR "data cleaning")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"open government data" AND (reuse OR "data quality") AND Brazil</w:t>
      </w:r>
    </w:p>
    <w:p>
      <w:pPr>
        <w:spacing w:line="0" w:lineRule="auto" w:after="0"/>
        <w:ind w:left="340"/>
      </w:pPr>
      <w:r>
        <w:rPr>
          <w:rFonts w:ascii="Consolas" w:hAnsi="Consolas"/>
          <w:sz w:val="19"/>
        </w:rPr>
        <w:t>"record linkage" AND ("entity resolution" OR "data matching") AND blocking</w:t>
      </w:r>
    </w:p>
    <w:p>
      <w:pPr>
        <w:spacing w:after="0"/>
      </w:pP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Filtros recomendados:</w:t>
      </w:r>
      <w:r>
        <w:rPr>
          <w:rFonts w:ascii="Arial" w:hAnsi="Arial"/>
          <w:b w:val="0"/>
          <w:i w:val="0"/>
          <w:sz w:val="24"/>
        </w:rPr>
        <w:t xml:space="preserve"> para os eixos 1, 3 e 7, </w:t>
      </w:r>
      <w:r>
        <w:rPr>
          <w:rFonts w:ascii="Arial" w:hAnsi="Arial"/>
          <w:b/>
          <w:i w:val="0"/>
          <w:sz w:val="24"/>
        </w:rPr>
        <w:t>não</w:t>
      </w:r>
      <w:r>
        <w:rPr>
          <w:rFonts w:ascii="Arial" w:hAnsi="Arial"/>
          <w:b w:val="0"/>
          <w:i w:val="0"/>
          <w:sz w:val="24"/>
        </w:rPr>
        <w:t xml:space="preserve"> limite por ano — as obras fundadoras são de 1996–2009. Para os eixos 2, 5 e 6, filtre </w:t>
      </w:r>
      <w:r>
        <w:rPr>
          <w:rFonts w:ascii="Arial" w:hAnsi="Arial"/>
          <w:b/>
          <w:i w:val="0"/>
          <w:sz w:val="24"/>
        </w:rPr>
        <w:t>a partir de 2015</w:t>
      </w:r>
      <w:r>
        <w:rPr>
          <w:rFonts w:ascii="Arial" w:hAnsi="Arial"/>
          <w:b w:val="0"/>
          <w:i w:val="0"/>
          <w:sz w:val="24"/>
        </w:rPr>
        <w:t>, porque a prática mudou muito.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3. Fichamento dos artigos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Oito fichas, cada uma com </w:t>
      </w:r>
      <w:r>
        <w:rPr>
          <w:rFonts w:ascii="Arial" w:hAnsi="Arial"/>
          <w:b/>
          <w:i w:val="0"/>
          <w:sz w:val="24"/>
        </w:rPr>
        <w:t>referência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/>
          <w:i w:val="0"/>
          <w:sz w:val="24"/>
        </w:rPr>
        <w:t>metodologia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/>
          <w:i w:val="0"/>
          <w:sz w:val="24"/>
        </w:rPr>
        <w:t>arquitetura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/>
          <w:i w:val="0"/>
          <w:sz w:val="24"/>
        </w:rPr>
        <w:t>limitações</w:t>
      </w:r>
      <w:r>
        <w:rPr>
          <w:rFonts w:ascii="Arial" w:hAnsi="Arial"/>
          <w:b w:val="0"/>
          <w:i w:val="0"/>
          <w:sz w:val="24"/>
        </w:rPr>
        <w:t xml:space="preserve"> — os quatro campos pedidos pelo guia —, mais um campo de uso no nosso trabalho.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Visão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Obra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Eixo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Papel no TCC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Labio &amp; Garcia-Molina (1996)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Snapshot differencing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Âncora teórica.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E1 e E3 são posicionados na taxonomia deste artigo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Andreakis &amp; Papapanagiotou (2020)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CDC baseado em log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Define o "caminho feliz" do CDC — e mostra por que ele </w:t>
            </w:r>
            <w:r>
              <w:rPr>
                <w:rFonts w:ascii="Arial" w:hAnsi="Arial"/>
                <w:b/>
                <w:i w:val="0"/>
                <w:sz w:val="18"/>
              </w:rPr>
              <w:t>não se aplica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ao nosso caso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Kreps, Narkhede &amp; Rao (2011)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Streaming de eventos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Fundamenta o estágio 4 e a semântica </w:t>
            </w:r>
            <w:r>
              <w:rPr>
                <w:rFonts w:ascii="Arial" w:hAnsi="Arial"/>
                <w:b w:val="0"/>
                <w:i/>
                <w:sz w:val="18"/>
              </w:rPr>
              <w:t>at-least-once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(P7)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Melnik et al. (2010)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Armazenamento colunar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Fundamenta a escolha do Parquet como camada canônica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Armbrust et al. (2020)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Lakehouse / changelog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Contraponto: changelog só existe quando se controla a escrita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Vassiliadis (2009)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ETL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Vocabulário e posicionamento do pipeline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Rahm &amp; Do (2000)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Qualidade de dados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Fundamenta contadores de rejeição e o princípio de falha ruidosa (R4)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A8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Fellegi &amp; Sunter (1969)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Record linkage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Só para a </w:t>
            </w:r>
            <w:r>
              <w:rPr>
                <w:rFonts w:ascii="Arial" w:hAnsi="Arial"/>
                <w:b/>
                <w:i w:val="0"/>
                <w:sz w:val="18"/>
              </w:rPr>
              <w:t>Expansão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(Sócios, problema P2)</w:t>
            </w:r>
          </w:p>
        </w:tc>
      </w:tr>
    </w:tbl>
    <w:p>
      <w:pPr>
        <w:spacing w:after="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 xml:space="preserve">A1 — Labio &amp; Garcia-Molina (1996) · </w:t>
      </w:r>
      <w:r>
        <w:rPr>
          <w:rFonts w:ascii="Arial" w:hAnsi="Arial"/>
          <w:b/>
          <w:i/>
          <w:sz w:val="24"/>
        </w:rPr>
        <w:t>a referência central deste TCC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LABIO, Wilburt J.; GARCIA-MOLINA, Hector. Efficient snapshot differential algorithms for data warehousing. In: INTERNATIONAL CONFERENCE ON VERY LARGE DATA BASES (VLDB), 22., 1996, Bombaim. </w:t>
      </w:r>
      <w:r>
        <w:rPr>
          <w:rFonts w:ascii="Arial" w:hAnsi="Arial"/>
          <w:b w:val="0"/>
          <w:i/>
          <w:sz w:val="24"/>
        </w:rPr>
        <w:t>Proceedings</w:t>
      </w:r>
      <w:r>
        <w:rPr>
          <w:rFonts w:ascii="Arial" w:hAnsi="Arial"/>
          <w:b w:val="0"/>
          <w:i w:val="0"/>
          <w:sz w:val="24"/>
        </w:rPr>
        <w:t xml:space="preserve"> […]. San Francisco: Morgan Kaufmann, 1996. p. 63–74. Disponível em: https://www.vldb.org/conf/1996/P063.PDF.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Proposição algorítmica acompanhada de modelagem analítica de custo (I/O e memória) e de avaliação experimental sobre snapshots gerados sinteticamente, variando o grau de similaridade entre as duas fotografias, a memória disponível e o tamanho do registro.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Trata o </w:t>
      </w:r>
      <w:r>
        <w:rPr>
          <w:rFonts w:ascii="Arial" w:hAnsi="Arial"/>
          <w:b w:val="0"/>
          <w:i/>
          <w:sz w:val="24"/>
        </w:rPr>
        <w:t>snapshot differential</w:t>
      </w:r>
      <w:r>
        <w:rPr>
          <w:rFonts w:ascii="Arial" w:hAnsi="Arial"/>
          <w:b w:val="0"/>
          <w:i w:val="0"/>
          <w:sz w:val="24"/>
        </w:rPr>
        <w:t xml:space="preserve"> como componente do processo de manutenção de um data warehouse cuja fonte não emite log de mudanças: recebe dois arquivos-fotografia e produz o conjunto de inserções, remoções e atualizações. Apresenta uma família de algoritmos — </w:t>
      </w:r>
      <w:r>
        <w:rPr>
          <w:rFonts w:ascii="Arial" w:hAnsi="Arial"/>
          <w:b w:val="0"/>
          <w:i/>
          <w:sz w:val="24"/>
        </w:rPr>
        <w:t>outer join</w:t>
      </w:r>
      <w:r>
        <w:rPr>
          <w:rFonts w:ascii="Arial" w:hAnsi="Arial"/>
          <w:b w:val="0"/>
          <w:i w:val="0"/>
          <w:sz w:val="24"/>
        </w:rPr>
        <w:t xml:space="preserve"> por ordenação, algoritmos de janela que exploram a similaridade de ordenação entre snapshots consecutivos, e variantes com particionamento por hash — e usa compressão de registros em assinaturas curtas para reduzir I/O e memória.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Pressupõe registros com chave estável e comparação por igualdade exata; (ii) as assinaturas comprimidas introduzem probabilidade não nula de colisão, isto é, de mudança não detectada; (iii) a avaliação é predominantemente sintética; (iv) as premissas de hardware são de 1996 — disco magnético, nó único, memória escassa —, o que torna os números não transponíveis; (v) a saída é um delta relacional bruto, sem tipagem semântica do evento nem contrato de publicação; (vi) não trata parsing, encoding nem qualidade do dado de origem.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É a obra contra a qual o Capítulo de Trabalhos Relacionados se posiciona. </w:t>
      </w:r>
      <w:r>
        <w:rPr>
          <w:rFonts w:ascii="Arial" w:hAnsi="Arial"/>
          <w:b/>
          <w:i w:val="0"/>
          <w:sz w:val="24"/>
        </w:rPr>
        <w:t>E1</w:t>
      </w:r>
      <w:r>
        <w:rPr>
          <w:rFonts w:ascii="Arial" w:hAnsi="Arial"/>
          <w:b w:val="0"/>
          <w:i w:val="0"/>
          <w:sz w:val="24"/>
        </w:rPr>
        <w:t xml:space="preserve"> (Postgres, </w:t>
      </w:r>
      <w:r>
        <w:rPr>
          <w:rFonts w:ascii="Consolas" w:hAnsi="Consolas"/>
          <w:b w:val="0"/>
          <w:i w:val="0"/>
          <w:sz w:val="19"/>
        </w:rPr>
        <w:t>FULL OUTER JOIN</w:t>
      </w:r>
      <w:r>
        <w:rPr>
          <w:rFonts w:ascii="Arial" w:hAnsi="Arial"/>
          <w:b w:val="0"/>
          <w:i w:val="0"/>
          <w:sz w:val="24"/>
        </w:rPr>
        <w:t xml:space="preserve"> por bucket) e </w:t>
      </w:r>
      <w:r>
        <w:rPr>
          <w:rFonts w:ascii="Arial" w:hAnsi="Arial"/>
          <w:b/>
          <w:i w:val="0"/>
          <w:sz w:val="24"/>
        </w:rPr>
        <w:t>E3</w:t>
      </w:r>
      <w:r>
        <w:rPr>
          <w:rFonts w:ascii="Arial" w:hAnsi="Arial"/>
          <w:b w:val="0"/>
          <w:i w:val="0"/>
          <w:sz w:val="24"/>
        </w:rPr>
        <w:t xml:space="preserve"> (hash particionado) devem ser explicitamente mapeados na taxonomia deste artigo, e as limitações (iii), (v) e (vi) são exatamente as lacunas que este TCC preenche: dado real, evento tipado e contrato versionado.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 na íntegra (PDF aberto e gratuito no link acima).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A2 — Andreakis &amp; Papapanagiotou (2020)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ANDREAKIS, Andreas; PAPAPANAGIOTOU, Ioannis. </w:t>
      </w:r>
      <w:r>
        <w:rPr>
          <w:rFonts w:ascii="Arial" w:hAnsi="Arial"/>
          <w:b/>
          <w:i w:val="0"/>
          <w:sz w:val="24"/>
        </w:rPr>
        <w:t>DBLog: a watermark based change-data-capture framework</w:t>
      </w:r>
      <w:r>
        <w:rPr>
          <w:rFonts w:ascii="Arial" w:hAnsi="Arial"/>
          <w:b w:val="0"/>
          <w:i w:val="0"/>
          <w:sz w:val="24"/>
        </w:rPr>
        <w:t>. arXiv:2010.12597, 2020. Disponível em: https://arxiv.org/abs/2010.12597.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Relato de projeto de sistema (</w:t>
      </w:r>
      <w:r>
        <w:rPr>
          <w:rFonts w:ascii="Arial" w:hAnsi="Arial"/>
          <w:b w:val="0"/>
          <w:i/>
          <w:sz w:val="24"/>
        </w:rPr>
        <w:t>systems paper</w:t>
      </w:r>
      <w:r>
        <w:rPr>
          <w:rFonts w:ascii="Arial" w:hAnsi="Arial"/>
          <w:b w:val="0"/>
          <w:i w:val="0"/>
          <w:sz w:val="24"/>
        </w:rPr>
        <w:t>) com descrição do algoritmo e avaliação por experiência operacional em produção, na Netflix, e não por benchmark controlado.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CDC baseado no log de transações do banco de origem, com o problema específico de combinar o </w:t>
      </w:r>
      <w:r>
        <w:rPr>
          <w:rFonts w:ascii="Arial" w:hAnsi="Arial"/>
          <w:b w:val="0"/>
          <w:i/>
          <w:sz w:val="24"/>
        </w:rPr>
        <w:t>dump</w:t>
      </w:r>
      <w:r>
        <w:rPr>
          <w:rFonts w:ascii="Arial" w:hAnsi="Arial"/>
          <w:b w:val="0"/>
          <w:i w:val="0"/>
          <w:sz w:val="24"/>
        </w:rPr>
        <w:t xml:space="preserve"> do estado atual com o fluxo contínuo de eventos do log. A solução são </w:t>
      </w:r>
      <w:r>
        <w:rPr>
          <w:rFonts w:ascii="Arial" w:hAnsi="Arial"/>
          <w:b w:val="0"/>
          <w:i/>
          <w:sz w:val="24"/>
        </w:rPr>
        <w:t>watermarks</w:t>
      </w:r>
      <w:r>
        <w:rPr>
          <w:rFonts w:ascii="Arial" w:hAnsi="Arial"/>
          <w:b w:val="0"/>
          <w:i w:val="0"/>
          <w:sz w:val="24"/>
        </w:rPr>
        <w:t>: o processo grava marcas em uma tabela auxiliar para delimitar uma janela no log, seleciona a tabela em blocos e deduplica as linhas do bloco contra os eventos daquela janela — o que permite intercalar dump e log sem travar tabelas nem interromper o log. Alta disponibilidade por arquitetura ativo-passivo; saída para Kafka ou outro destino.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</w:t>
      </w:r>
      <w:r>
        <w:rPr>
          <w:rFonts w:ascii="Arial" w:hAnsi="Arial"/>
          <w:b/>
          <w:i w:val="0"/>
          <w:sz w:val="24"/>
        </w:rPr>
        <w:t>Exige log de transações e permissão de escrita na origem</w:t>
      </w:r>
      <w:r>
        <w:rPr>
          <w:rFonts w:ascii="Arial" w:hAnsi="Arial"/>
          <w:b w:val="0"/>
          <w:i w:val="0"/>
          <w:sz w:val="24"/>
        </w:rPr>
        <w:t xml:space="preserve"> (a tabela de watermarks); (ii) implementação acoplada a MySQL e PostgreSQL; (iii) avaliação sem benchmark público reproduzível; (iv) não se aplica a fontes que publicam apenas fotografias periódicas.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É o </w:t>
      </w:r>
      <w:r>
        <w:rPr>
          <w:rFonts w:ascii="Arial" w:hAnsi="Arial"/>
          <w:b/>
          <w:i w:val="0"/>
          <w:sz w:val="24"/>
        </w:rPr>
        <w:t>contraponto que justifica o problema</w:t>
      </w:r>
      <w:r>
        <w:rPr>
          <w:rFonts w:ascii="Arial" w:hAnsi="Arial"/>
          <w:b w:val="0"/>
          <w:i w:val="0"/>
          <w:sz w:val="24"/>
        </w:rPr>
        <w:t>. A limitação (i) é precisamente a condição que a Receita Federal não oferece: não há banco acessível, não há log, não há como escrever nada na origem. Este artigo permite escrever, na Introdução, a frase "o CDC canônico supõe X; aqui X não existe" com respaldo bibliográfico em vez de afirmação nossa.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 (arXiv, acesso livre).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A3 — Kreps, Narkhede &amp; Rao (2011)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KREPS, Jay; NARKHEDE, Neha; RAO, Jun. Kafka: a distributed messaging system for log processing. In: WORKSHOP ON NETWORKING MEETS DATABASES (NetDB), 6., 2011, Atenas. </w:t>
      </w:r>
      <w:r>
        <w:rPr>
          <w:rFonts w:ascii="Arial" w:hAnsi="Arial"/>
          <w:b w:val="0"/>
          <w:i/>
          <w:sz w:val="24"/>
        </w:rPr>
        <w:t>Proceedings</w:t>
      </w:r>
      <w:r>
        <w:rPr>
          <w:rFonts w:ascii="Arial" w:hAnsi="Arial"/>
          <w:b w:val="0"/>
          <w:i w:val="0"/>
          <w:sz w:val="24"/>
        </w:rPr>
        <w:t xml:space="preserve"> […]. [S. l.: s. n.], 2011. p. 1–7.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Descrição de sistema seguida de comparação experimental de vazão de produção e consumo contra dois sistemas de mensageria estabelecidos, complementada por relato de uso em produção no LinkedIn.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Tópicos divididos em partições distribuídas entre </w:t>
      </w:r>
      <w:r>
        <w:rPr>
          <w:rFonts w:ascii="Arial" w:hAnsi="Arial"/>
          <w:b w:val="0"/>
          <w:i/>
          <w:sz w:val="24"/>
        </w:rPr>
        <w:t>brokers</w:t>
      </w:r>
      <w:r>
        <w:rPr>
          <w:rFonts w:ascii="Arial" w:hAnsi="Arial"/>
          <w:b w:val="0"/>
          <w:i w:val="0"/>
          <w:sz w:val="24"/>
        </w:rPr>
        <w:t xml:space="preserve">; armazenamento em arquivos de segmento apenas-anexação; ausência deliberada de metadados por mensagem no broker; consumidores em modelo </w:t>
      </w:r>
      <w:r>
        <w:rPr>
          <w:rFonts w:ascii="Arial" w:hAnsi="Arial"/>
          <w:b w:val="0"/>
          <w:i/>
          <w:sz w:val="24"/>
        </w:rPr>
        <w:t>pull</w:t>
      </w:r>
      <w:r>
        <w:rPr>
          <w:rFonts w:ascii="Arial" w:hAnsi="Arial"/>
          <w:b w:val="0"/>
          <w:i w:val="0"/>
          <w:sz w:val="24"/>
        </w:rPr>
        <w:t xml:space="preserve">, responsáveis pelo próprio </w:t>
      </w:r>
      <w:r>
        <w:rPr>
          <w:rFonts w:ascii="Arial" w:hAnsi="Arial"/>
          <w:b w:val="0"/>
          <w:i/>
          <w:sz w:val="24"/>
        </w:rPr>
        <w:t>offset</w:t>
      </w:r>
      <w:r>
        <w:rPr>
          <w:rFonts w:ascii="Arial" w:hAnsi="Arial"/>
          <w:b w:val="0"/>
          <w:i w:val="0"/>
          <w:sz w:val="24"/>
        </w:rPr>
        <w:t xml:space="preserve">; uso de </w:t>
      </w:r>
      <w:r>
        <w:rPr>
          <w:rFonts w:ascii="Consolas" w:hAnsi="Consolas"/>
          <w:b w:val="0"/>
          <w:i w:val="0"/>
          <w:sz w:val="19"/>
        </w:rPr>
        <w:t>sendfile</w:t>
      </w:r>
      <w:r>
        <w:rPr>
          <w:rFonts w:ascii="Arial" w:hAnsi="Arial"/>
          <w:b w:val="0"/>
          <w:i w:val="0"/>
          <w:sz w:val="24"/>
        </w:rPr>
        <w:t xml:space="preserve"> para transferência sem cópia; coordenação e rebalanceamento via ZooKeeper. Entrega </w:t>
      </w:r>
      <w:r>
        <w:rPr>
          <w:rFonts w:ascii="Arial" w:hAnsi="Arial"/>
          <w:b/>
          <w:i w:val="0"/>
          <w:sz w:val="24"/>
        </w:rPr>
        <w:t>at-least-once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A garantia é </w:t>
      </w:r>
      <w:r>
        <w:rPr>
          <w:rFonts w:ascii="Arial" w:hAnsi="Arial"/>
          <w:b w:val="0"/>
          <w:i/>
          <w:sz w:val="24"/>
        </w:rPr>
        <w:t>at-least-once</w:t>
      </w:r>
      <w:r>
        <w:rPr>
          <w:rFonts w:ascii="Arial" w:hAnsi="Arial"/>
          <w:b w:val="0"/>
          <w:i w:val="0"/>
          <w:sz w:val="24"/>
        </w:rPr>
        <w:t xml:space="preserve"> — duplicatas são possíveis em falha, e cabe ao consumidor lidar com isso; (ii) a ordenação é garantida apenas dentro de uma partição; (iii) o benchmark é de configuração única e hoje datado; (iv) o artigo não trata de governança de schema, que é problema real de quem publica eventos.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Fundamenta duas decisões de projeto. A limitação (i) é a razão direta de </w:t>
      </w:r>
      <w:r>
        <w:rPr>
          <w:rFonts w:ascii="Consolas" w:hAnsi="Consolas"/>
          <w:b w:val="0"/>
          <w:i w:val="0"/>
          <w:sz w:val="19"/>
        </w:rPr>
        <w:t>event_id</w:t>
      </w:r>
      <w:r>
        <w:rPr>
          <w:rFonts w:ascii="Arial" w:hAnsi="Arial"/>
          <w:b w:val="0"/>
          <w:i w:val="0"/>
          <w:sz w:val="24"/>
        </w:rPr>
        <w:t xml:space="preserve"> ser determinístico (</w:t>
      </w:r>
      <w:r>
        <w:rPr>
          <w:rFonts w:ascii="Consolas" w:hAnsi="Consolas"/>
          <w:b w:val="0"/>
          <w:i w:val="0"/>
          <w:sz w:val="19"/>
        </w:rPr>
        <w:t>uuid_v5</w:t>
      </w:r>
      <w:r>
        <w:rPr>
          <w:rFonts w:ascii="Arial" w:hAnsi="Arial"/>
          <w:b w:val="0"/>
          <w:i w:val="0"/>
          <w:sz w:val="24"/>
        </w:rPr>
        <w:t xml:space="preserve">, decisão D3 da spec): idempotência no consumo sai de graça. A limitação (ii) é a razão de a chave de partição ser </w:t>
      </w:r>
      <w:r>
        <w:rPr>
          <w:rFonts w:ascii="Consolas" w:hAnsi="Consolas"/>
          <w:b w:val="0"/>
          <w:i w:val="0"/>
          <w:sz w:val="19"/>
        </w:rPr>
        <w:t>cnpj_basico</w:t>
      </w:r>
      <w:r>
        <w:rPr>
          <w:rFonts w:ascii="Arial" w:hAnsi="Arial"/>
          <w:b w:val="0"/>
          <w:i w:val="0"/>
          <w:sz w:val="24"/>
        </w:rPr>
        <w:t xml:space="preserve"> — assim a ordenação por empresa está garantida, que é a única ordenação que o domínio exige. A limitação (iv) é o que o nosso JSON Schema versionado endereça.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A4 — Melnik et al. (2010)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MELNIK, Sergey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Dremel: interactive analysis of web-scale datasets. </w:t>
      </w:r>
      <w:r>
        <w:rPr>
          <w:rFonts w:ascii="Arial" w:hAnsi="Arial"/>
          <w:b w:val="0"/>
          <w:i/>
          <w:sz w:val="24"/>
        </w:rPr>
        <w:t>Proceedings of the VLDB Endowment</w:t>
      </w:r>
      <w:r>
        <w:rPr>
          <w:rFonts w:ascii="Arial" w:hAnsi="Arial"/>
          <w:b w:val="0"/>
          <w:i w:val="0"/>
          <w:sz w:val="24"/>
        </w:rPr>
        <w:t>, v. 3, n. 1–2, p. 330–339, 2010. DOI: 10.14778/1920841.1920886.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Descrição de sistema com avaliação experimental sobre cargas reais de produção do Google, incluindo comparação de desempenho com uma abordagem MapReduce equivalente.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Formato de armazenamento colunar para dados </w:t>
      </w:r>
      <w:r>
        <w:rPr>
          <w:rFonts w:ascii="Arial" w:hAnsi="Arial"/>
          <w:b/>
          <w:i w:val="0"/>
          <w:sz w:val="24"/>
        </w:rPr>
        <w:t>aninhados</w:t>
      </w:r>
      <w:r>
        <w:rPr>
          <w:rFonts w:ascii="Arial" w:hAnsi="Arial"/>
          <w:b w:val="0"/>
          <w:i w:val="0"/>
          <w:sz w:val="24"/>
        </w:rPr>
        <w:t>, com níveis de repetição e definição que permitem decompor e reconstruir registros sem perda; execução de consultas por árvore de servidores em múltiplos níveis, com agregação parcial nos nós intermediários.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Voltado a consultas analíticas de leitura e agregação, não a comparação registro a registro nem a atualização; (ii) sistema proprietário, avaliado sobre dados internos — os resultados não são reproduzíveis externamente; (iii) o custo de escrita colunar é maior que o de escrita em linhas, ponto pouco explorado no artigo.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É a fundamentação teórica do </w:t>
      </w:r>
      <w:r>
        <w:rPr>
          <w:rFonts w:ascii="Arial" w:hAnsi="Arial"/>
          <w:b/>
          <w:i w:val="0"/>
          <w:sz w:val="24"/>
        </w:rPr>
        <w:t>Parquet</w:t>
      </w:r>
      <w:r>
        <w:rPr>
          <w:rFonts w:ascii="Arial" w:hAnsi="Arial"/>
          <w:b w:val="0"/>
          <w:i w:val="0"/>
          <w:sz w:val="24"/>
        </w:rPr>
        <w:t>, que implementa este modelo em formato aberto. Sustenta na monografia a escolha da camada canônica: a projeção de colunas permite ler apenas os campos comparáveis no estágio de diff, e a compressão por coluna é o que faz duas competências caberem no disco disponível (restrição de 216 GB, spec §6.1). A limitação (i) é honesta e deve ser declarada: usamos o formato pelo armazenamento, não pelo motor de consulta.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 (PDF público no Google Research).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A5 — Armbrust et al. (2020)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ARMBRUST, Michael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Delta Lake: high-performance ACID table storage over cloud object stores. </w:t>
      </w:r>
      <w:r>
        <w:rPr>
          <w:rFonts w:ascii="Arial" w:hAnsi="Arial"/>
          <w:b w:val="0"/>
          <w:i/>
          <w:sz w:val="24"/>
        </w:rPr>
        <w:t>Proceedings of the VLDB Endowment</w:t>
      </w:r>
      <w:r>
        <w:rPr>
          <w:rFonts w:ascii="Arial" w:hAnsi="Arial"/>
          <w:b w:val="0"/>
          <w:i w:val="0"/>
          <w:sz w:val="24"/>
        </w:rPr>
        <w:t>, v. 13, n. 12, p. 3411–3424, 2020. DOI: 10.14778/3415478.3415560.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Descrição de sistema, avaliação com cargas de benchmark padronizadas e relato de casos de uso em produção.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Camada de log de transações (arquivos JSON com </w:t>
      </w:r>
      <w:r>
        <w:rPr>
          <w:rFonts w:ascii="Arial" w:hAnsi="Arial"/>
          <w:b w:val="0"/>
          <w:i/>
          <w:sz w:val="24"/>
        </w:rPr>
        <w:t>checkpoints</w:t>
      </w:r>
      <w:r>
        <w:rPr>
          <w:rFonts w:ascii="Arial" w:hAnsi="Arial"/>
          <w:b w:val="0"/>
          <w:i w:val="0"/>
          <w:sz w:val="24"/>
        </w:rPr>
        <w:t xml:space="preserve"> em Parquet) sobre arquivos Parquet armazenados em object storage, oferecendo ACID, </w:t>
      </w:r>
      <w:r>
        <w:rPr>
          <w:rFonts w:ascii="Arial" w:hAnsi="Arial"/>
          <w:b w:val="0"/>
          <w:i/>
          <w:sz w:val="24"/>
        </w:rPr>
        <w:t>time travel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merge/upsert</w:t>
      </w:r>
      <w:r>
        <w:rPr>
          <w:rFonts w:ascii="Arial" w:hAnsi="Arial"/>
          <w:b w:val="0"/>
          <w:i w:val="0"/>
          <w:sz w:val="24"/>
        </w:rPr>
        <w:t xml:space="preserve"> e consumo em streaming da tabela como fluxo de mudanças.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O changelog só existe porque o sistema </w:t>
      </w:r>
      <w:r>
        <w:rPr>
          <w:rFonts w:ascii="Arial" w:hAnsi="Arial"/>
          <w:b/>
          <w:i w:val="0"/>
          <w:sz w:val="24"/>
        </w:rPr>
        <w:t>controla o caminho de escrita</w:t>
      </w:r>
      <w:r>
        <w:rPr>
          <w:rFonts w:ascii="Arial" w:hAnsi="Arial"/>
          <w:b w:val="0"/>
          <w:i w:val="0"/>
          <w:sz w:val="24"/>
        </w:rPr>
        <w:t xml:space="preserve"> — é inaplicável quando a origem entrega fotografias opacas; (ii) fortemente orientado a object storage e ao ecossistema Spark, ambos fora da nossa stack (spec §5.3); (iii) avaliação conduzida pelos próprios autores/fornecedor; (iv) sobrecarga de metadados relevante em volumes pequenos.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Reforça o argumento central da Introdução: as soluções modernas de changelog pressupõem propriedade sobre a escrita. Quem consome dado público não tem essa propriedade, e por isso o </w:t>
      </w:r>
      <w:r>
        <w:rPr>
          <w:rFonts w:ascii="Arial" w:hAnsi="Arial"/>
          <w:b w:val="0"/>
          <w:i/>
          <w:sz w:val="24"/>
        </w:rPr>
        <w:t>snapshot differencing</w:t>
      </w:r>
      <w:r>
        <w:rPr>
          <w:rFonts w:ascii="Arial" w:hAnsi="Arial"/>
          <w:b w:val="0"/>
          <w:i w:val="0"/>
          <w:sz w:val="24"/>
        </w:rPr>
        <w:t xml:space="preserve"> — tratado como recurso de último caso pela literatura — volta a ser a única via. Também sustenta a decisão de manter Spark fora do escopo.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A6 — Vassiliadis (2009)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VASSILIADIS, Panos. A survey of extract–transform–load technology. </w:t>
      </w:r>
      <w:r>
        <w:rPr>
          <w:rFonts w:ascii="Arial" w:hAnsi="Arial"/>
          <w:b w:val="0"/>
          <w:i/>
          <w:sz w:val="24"/>
        </w:rPr>
        <w:t>International Journal of Data Warehousing and Mining</w:t>
      </w:r>
      <w:r>
        <w:rPr>
          <w:rFonts w:ascii="Arial" w:hAnsi="Arial"/>
          <w:b w:val="0"/>
          <w:i w:val="0"/>
          <w:sz w:val="24"/>
        </w:rPr>
        <w:t>, v. 5, n. 3, p. 1–27, 2009. DOI: 10.4018/jdwm.2009070101.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Revisão de literatura, organizando o estado da arte de ETL em torno das fases de modelagem conceitual, lógica e física, e da otimização de fluxos.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O processo de ETL como grafo de atividades entre fontes e o data warehouse, cobrindo extração (incluindo o problema de identificar o que mudou na fonte), transformação e carga, com discussão de otimização e de tratamento de falhas.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É survey — não produz medição própria; (ii) assume o modelo clássico de janela noturna de carga em lote, anterior à consolidação de arquiteturas de streaming; (iii) não trata de contrato de eventos, versionamento de schema nem publicação para consumidores externos; (iv) volumes considerados são de outra ordem de grandeza.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Fornece vocabulário canônico (extração, staging, área de transformação, carga) para descrever os cinco estágios da nossa arquitetura sem inventar terminologia. A limitação (iii) delimita a contribuição do TCC: onde o ETL clássico termina na carga, este trabalho segue até o evento publicado e consumido.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A7 — Rahm &amp; Do (2000)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RAHM, Erhard; DO, Hong Hai. Data cleaning: problems and current approaches. </w:t>
      </w:r>
      <w:r>
        <w:rPr>
          <w:rFonts w:ascii="Arial" w:hAnsi="Arial"/>
          <w:b w:val="0"/>
          <w:i/>
          <w:sz w:val="24"/>
        </w:rPr>
        <w:t>IEEE Data Engineering Bulletin</w:t>
      </w:r>
      <w:r>
        <w:rPr>
          <w:rFonts w:ascii="Arial" w:hAnsi="Arial"/>
          <w:b w:val="0"/>
          <w:i w:val="0"/>
          <w:sz w:val="24"/>
        </w:rPr>
        <w:t>, v. 23, n. 4, p. 3–13, 2000.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Artigo de classificação e revisão: constrói uma taxonomia dos problemas de qualidade de dados e mapeia as abordagens existentes contra ela.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Separa problemas de fonte única e de múltiplas fontes, e, dentro de cada um, problemas de nível de schema e de nível de instância. Descreve o </w:t>
      </w:r>
      <w:r>
        <w:rPr>
          <w:rFonts w:ascii="Arial" w:hAnsi="Arial"/>
          <w:b w:val="0"/>
          <w:i/>
          <w:sz w:val="24"/>
        </w:rPr>
        <w:t>data cleaning</w:t>
      </w:r>
      <w:r>
        <w:rPr>
          <w:rFonts w:ascii="Arial" w:hAnsi="Arial"/>
          <w:b w:val="0"/>
          <w:i w:val="0"/>
          <w:sz w:val="24"/>
        </w:rPr>
        <w:t xml:space="preserve"> como fluxo em etapas — análise, definição do fluxo de transformação, verificação, transformação e retorno do dado limpo à origem.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Não apresenta avaliação quantitativa; (ii) o foco está na integração de fontes heterogêneas, não em fotografias sucessivas da mesma fonte; (iii) anterior às ferramentas e escalas atuais; (iv) não quantifica o efeito de erros de limpeza sobre análises a jusante.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Fundamenta a regra </w:t>
      </w:r>
      <w:r>
        <w:rPr>
          <w:rFonts w:ascii="Arial" w:hAnsi="Arial"/>
          <w:b/>
          <w:i w:val="0"/>
          <w:sz w:val="24"/>
        </w:rPr>
        <w:t>R4 — falhar ruidosamente, nunca mentir baixinho</w:t>
      </w:r>
      <w:r>
        <w:rPr>
          <w:rFonts w:ascii="Arial" w:hAnsi="Arial"/>
          <w:b w:val="0"/>
          <w:i w:val="0"/>
          <w:sz w:val="24"/>
        </w:rPr>
        <w:t xml:space="preserve">: os contadores de linhas lidas e rejeitadas por arquivo e o limite de rejeição de </w:t>
      </w:r>
      <w:r>
        <w:rPr>
          <w:rFonts w:ascii="Arial" w:hAnsi="Arial"/>
          <w:b/>
          <w:i w:val="0"/>
          <w:sz w:val="24"/>
        </w:rPr>
        <w:t>0,1%</w:t>
      </w:r>
      <w:r>
        <w:rPr>
          <w:rFonts w:ascii="Arial" w:hAnsi="Arial"/>
          <w:b w:val="0"/>
          <w:i w:val="0"/>
          <w:sz w:val="24"/>
        </w:rPr>
        <w:t xml:space="preserve"> que faz o estágio falhar. Dá respaldo bibliográfico ao argumento de que diff sobre dado silenciosamente corrompido produz evento falso, e evento falso invalida o experimento inteiro.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 xml:space="preserve">A8 — Fellegi &amp; Sunter (1969) · </w:t>
      </w:r>
      <w:r>
        <w:rPr>
          <w:rFonts w:ascii="Arial" w:hAnsi="Arial"/>
          <w:b/>
          <w:i/>
          <w:sz w:val="24"/>
        </w:rPr>
        <w:t>apenas para a Expansão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Referência (ABNT).</w:t>
      </w:r>
      <w:r>
        <w:rPr>
          <w:rFonts w:ascii="Arial" w:hAnsi="Arial"/>
          <w:b w:val="0"/>
          <w:i w:val="0"/>
          <w:sz w:val="24"/>
        </w:rPr>
        <w:t xml:space="preserve"> FELLEGI, Ivan P.; SUNTER, Alan B. A theory for record linkage. </w:t>
      </w:r>
      <w:r>
        <w:rPr>
          <w:rFonts w:ascii="Arial" w:hAnsi="Arial"/>
          <w:b w:val="0"/>
          <w:i/>
          <w:sz w:val="24"/>
        </w:rPr>
        <w:t>Journal of the American Statistical Association</w:t>
      </w:r>
      <w:r>
        <w:rPr>
          <w:rFonts w:ascii="Arial" w:hAnsi="Arial"/>
          <w:b w:val="0"/>
          <w:i w:val="0"/>
          <w:sz w:val="24"/>
        </w:rPr>
        <w:t>, v. 64, n. 328, p. 1183–1210, 1969. DOI: 10.1080/01621459.1969.10501049.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Metodologia.</w:t>
      </w:r>
      <w:r>
        <w:rPr>
          <w:rFonts w:ascii="Arial" w:hAnsi="Arial"/>
          <w:b w:val="0"/>
          <w:i w:val="0"/>
          <w:sz w:val="24"/>
        </w:rPr>
        <w:t xml:space="preserve"> Trabalho teórico-formal: modela o pareamento de registros como problema de decisão sobre vetores de comparação e demonstra a otimalidade de uma regra de limiar dados níveis fixos de erro dos dois tipos.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Arquitetura.</w:t>
      </w:r>
      <w:r>
        <w:rPr>
          <w:rFonts w:ascii="Arial" w:hAnsi="Arial"/>
          <w:b w:val="0"/>
          <w:i w:val="0"/>
          <w:sz w:val="24"/>
        </w:rPr>
        <w:t xml:space="preserve"> Espaço de comparação entre pares de registros, padrões de concordância, probabilidades condicionais de concordância entre pares verdadeiros e falsos, razão de verossimilhança e três regiões de decisão — parear, não parear e a zona de revisão manual.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Limitações.</w:t>
      </w:r>
      <w:r>
        <w:rPr>
          <w:rFonts w:ascii="Arial" w:hAnsi="Arial"/>
          <w:b w:val="0"/>
          <w:i w:val="0"/>
          <w:sz w:val="24"/>
        </w:rPr>
        <w:t xml:space="preserve"> (i) Supõe independência condicional entre os campos comparados, hipótese frequentemente violada; (ii) a estimação dos parâmetros é difícil sem dado rotulado; (iii) sem </w:t>
      </w:r>
      <w:r>
        <w:rPr>
          <w:rFonts w:ascii="Arial" w:hAnsi="Arial"/>
          <w:b w:val="0"/>
          <w:i/>
          <w:sz w:val="24"/>
        </w:rPr>
        <w:t>blocking</w:t>
      </w:r>
      <w:r>
        <w:rPr>
          <w:rFonts w:ascii="Arial" w:hAnsi="Arial"/>
          <w:b w:val="0"/>
          <w:i w:val="0"/>
          <w:sz w:val="24"/>
        </w:rPr>
        <w:t>, o número de comparações é quadrático; (iv) prevê revisão humana, inviável em escala automatizada.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Uso no trabalho.</w:t>
      </w:r>
      <w:r>
        <w:rPr>
          <w:rFonts w:ascii="Arial" w:hAnsi="Arial"/>
          <w:b w:val="0"/>
          <w:i w:val="0"/>
          <w:sz w:val="24"/>
        </w:rPr>
        <w:t xml:space="preserve"> Só é acionado se a </w:t>
      </w:r>
      <w:r>
        <w:rPr>
          <w:rFonts w:ascii="Arial" w:hAnsi="Arial"/>
          <w:b/>
          <w:i w:val="0"/>
          <w:sz w:val="24"/>
        </w:rPr>
        <w:t>Expansão X2 (tabela Sócios)</w:t>
      </w:r>
      <w:r>
        <w:rPr>
          <w:rFonts w:ascii="Arial" w:hAnsi="Arial"/>
          <w:b w:val="0"/>
          <w:i w:val="0"/>
          <w:sz w:val="24"/>
        </w:rPr>
        <w:t xml:space="preserve"> ocorrer. O problema P2 é que a tabela de sócios não tem chave estável, e sem pareamento correto o pipeline emite pares falsos de </w:t>
      </w:r>
      <w:r>
        <w:rPr>
          <w:rFonts w:ascii="Consolas" w:hAnsi="Consolas"/>
          <w:b w:val="0"/>
          <w:i w:val="0"/>
          <w:sz w:val="19"/>
        </w:rPr>
        <w:t>socio.excluido</w:t>
      </w:r>
      <w:r>
        <w:rPr>
          <w:rFonts w:ascii="Arial" w:hAnsi="Arial"/>
          <w:b w:val="0"/>
          <w:i w:val="0"/>
          <w:sz w:val="24"/>
        </w:rPr>
        <w:t xml:space="preserve"> + </w:t>
      </w:r>
      <w:r>
        <w:rPr>
          <w:rFonts w:ascii="Consolas" w:hAnsi="Consolas"/>
          <w:b w:val="0"/>
          <w:i w:val="0"/>
          <w:sz w:val="19"/>
        </w:rPr>
        <w:t>socio.incluido</w:t>
      </w:r>
      <w:r>
        <w:rPr>
          <w:rFonts w:ascii="Arial" w:hAnsi="Arial"/>
          <w:b w:val="0"/>
          <w:i w:val="0"/>
          <w:sz w:val="24"/>
        </w:rPr>
        <w:t xml:space="preserve"> — os "eventos fantasma". Se X2 não entrar, esta referência aparece apenas na seção de trabalhos futuros, justificando por que o corte foi feito.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Estado da leitura:</w:t>
      </w:r>
      <w:r>
        <w:rPr>
          <w:rFonts w:ascii="Arial" w:hAnsi="Arial"/>
          <w:b w:val="0"/>
          <w:i w:val="0"/>
          <w:sz w:val="24"/>
        </w:rPr>
        <w:t xml:space="preserve"> ⚪ a ler.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Obras de apoio (livros — não entram como "artigos", mas são citadas)</w:t>
      </w:r>
    </w:p>
    <w:p>
      <w:pPr>
        <w:pStyle w:val="ListBullet"/>
        <w:spacing w:line="276" w:lineRule="auto" w:after="80"/>
        <w:jc w:val="both"/>
      </w:pPr>
      <w:r>
        <w:rPr>
          <w:rFonts w:ascii="Arial" w:hAnsi="Arial"/>
          <w:b w:val="0"/>
          <w:i w:val="0"/>
          <w:sz w:val="24"/>
        </w:rPr>
        <w:t xml:space="preserve">KLEPPMANN, Martin. </w:t>
      </w:r>
      <w:r>
        <w:rPr>
          <w:rFonts w:ascii="Arial" w:hAnsi="Arial"/>
          <w:b/>
          <w:i w:val="0"/>
          <w:sz w:val="24"/>
        </w:rPr>
        <w:t>Designing data-intensive applications.</w:t>
      </w:r>
      <w:r>
        <w:rPr>
          <w:rFonts w:ascii="Arial" w:hAnsi="Arial"/>
          <w:b w:val="0"/>
          <w:i w:val="0"/>
          <w:sz w:val="24"/>
        </w:rPr>
        <w:t xml:space="preserve"> Sebastopol: O'Reilly, 2017. Capítulos sobre sistemas derivados e </w:t>
      </w:r>
      <w:r>
        <w:rPr>
          <w:rFonts w:ascii="Arial" w:hAnsi="Arial"/>
          <w:b w:val="0"/>
          <w:i/>
          <w:sz w:val="24"/>
        </w:rPr>
        <w:t>streams</w:t>
      </w:r>
      <w:r>
        <w:rPr>
          <w:rFonts w:ascii="Arial" w:hAnsi="Arial"/>
          <w:b w:val="0"/>
          <w:i w:val="0"/>
          <w:sz w:val="24"/>
        </w:rPr>
        <w:t>: fonte do vocabulário de log como fonte da verdade.</w:t>
      </w:r>
    </w:p>
    <w:p>
      <w:pPr>
        <w:pStyle w:val="ListBullet"/>
        <w:spacing w:line="276" w:lineRule="auto" w:after="80"/>
        <w:jc w:val="both"/>
      </w:pPr>
      <w:r>
        <w:rPr>
          <w:rFonts w:ascii="Arial" w:hAnsi="Arial"/>
          <w:b w:val="0"/>
          <w:i w:val="0"/>
          <w:sz w:val="24"/>
        </w:rPr>
        <w:t xml:space="preserve">KIMBALL, Ralph; CASERTA, Joe. </w:t>
      </w:r>
      <w:r>
        <w:rPr>
          <w:rFonts w:ascii="Arial" w:hAnsi="Arial"/>
          <w:b/>
          <w:i w:val="0"/>
          <w:sz w:val="24"/>
        </w:rPr>
        <w:t>The data warehouse ETL toolkit.</w:t>
      </w:r>
      <w:r>
        <w:rPr>
          <w:rFonts w:ascii="Arial" w:hAnsi="Arial"/>
          <w:b w:val="0"/>
          <w:i w:val="0"/>
          <w:sz w:val="24"/>
        </w:rPr>
        <w:t xml:space="preserve"> Indianapolis: Wiley, 2004.</w:t>
      </w:r>
    </w:p>
    <w:p>
      <w:pPr>
        <w:pStyle w:val="ListBullet"/>
        <w:spacing w:line="276" w:lineRule="auto" w:after="80"/>
        <w:jc w:val="both"/>
      </w:pPr>
      <w:r>
        <w:rPr>
          <w:rFonts w:ascii="Arial" w:hAnsi="Arial"/>
          <w:b w:val="0"/>
          <w:i w:val="0"/>
          <w:sz w:val="24"/>
        </w:rPr>
        <w:t xml:space="preserve">CHRISTEN, Peter. </w:t>
      </w:r>
      <w:r>
        <w:rPr>
          <w:rFonts w:ascii="Arial" w:hAnsi="Arial"/>
          <w:b/>
          <w:i w:val="0"/>
          <w:sz w:val="24"/>
        </w:rPr>
        <w:t>Data matching.</w:t>
      </w:r>
      <w:r>
        <w:rPr>
          <w:rFonts w:ascii="Arial" w:hAnsi="Arial"/>
          <w:b w:val="0"/>
          <w:i w:val="0"/>
          <w:sz w:val="24"/>
        </w:rPr>
        <w:t xml:space="preserve"> Berlim: Springer, 2012. (Apoio à A8, só na Expansão.)</w:t>
      </w:r>
    </w:p>
    <w:p>
      <w:pPr>
        <w:pStyle w:val="ListBullet"/>
        <w:spacing w:line="276" w:lineRule="auto" w:after="80"/>
        <w:jc w:val="both"/>
      </w:pPr>
      <w:r>
        <w:rPr>
          <w:rFonts w:ascii="Arial" w:hAnsi="Arial"/>
          <w:b/>
          <w:i w:val="0"/>
          <w:sz w:val="24"/>
        </w:rPr>
        <w:t>Debezium</w:t>
      </w:r>
      <w:r>
        <w:rPr>
          <w:rFonts w:ascii="Arial" w:hAnsi="Arial"/>
          <w:b w:val="0"/>
          <w:i w:val="0"/>
          <w:sz w:val="24"/>
        </w:rPr>
        <w:t xml:space="preserve"> — documentação de projeto. Origem do vocabulário de envelope </w:t>
      </w:r>
      <w:r>
        <w:rPr>
          <w:rFonts w:ascii="Consolas" w:hAnsi="Consolas"/>
          <w:b w:val="0"/>
          <w:i w:val="0"/>
          <w:sz w:val="19"/>
        </w:rPr>
        <w:t>before</w:t>
      </w:r>
      <w:r>
        <w:rPr>
          <w:rFonts w:ascii="Arial" w:hAnsi="Arial"/>
          <w:b w:val="0"/>
          <w:i w:val="0"/>
          <w:sz w:val="24"/>
        </w:rPr>
        <w:t>/</w:t>
      </w:r>
      <w:r>
        <w:rPr>
          <w:rFonts w:ascii="Consolas" w:hAnsi="Consolas"/>
          <w:b w:val="0"/>
          <w:i w:val="0"/>
          <w:sz w:val="19"/>
        </w:rPr>
        <w:t>after</w:t>
      </w:r>
      <w:r>
        <w:rPr>
          <w:rFonts w:ascii="Arial" w:hAnsi="Arial"/>
          <w:b w:val="0"/>
          <w:i w:val="0"/>
          <w:sz w:val="24"/>
        </w:rPr>
        <w:t xml:space="preserve"> adotado pelo nosso contrato de eventos. Referência de engenharia, não acadêmica.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4. Introdução (texto)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O Cadastro Nacional da Pessoa Jurídica é o maior registro empresarial aberto do Brasil. A Receita Federal o publica mensalmente sob a forma de fotografia completa: dezenas de arquivos compactados contendo CSVs, algo em torno de 85 GB descompactados, distribuídos sem interface programática de consulta e sem qualquer indicação do que mudou em relação ao mês anterior. Cada publicação é um retrato íntegro do cadastro naquele instante, e apenas isso.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consequência prática é que </w:t>
      </w:r>
      <w:r>
        <w:rPr>
          <w:rFonts w:ascii="Arial" w:hAnsi="Arial"/>
          <w:b/>
          <w:i w:val="0"/>
          <w:sz w:val="24"/>
        </w:rPr>
        <w:t>não existe, hoje, forma aberta de saber o que mudou</w:t>
      </w:r>
      <w:r>
        <w:rPr>
          <w:rFonts w:ascii="Arial" w:hAnsi="Arial"/>
          <w:b w:val="0"/>
          <w:i w:val="0"/>
          <w:sz w:val="24"/>
        </w:rPr>
        <w:t>. Quem depende do delta — jornalismo de dados investigativo, órgãos de controle e fiscalização, pesquisa acadêmica, análise de risco de crédito, verificação de cadeias de fornecedores — dispõe de duas alternativas, ambas ruins. A primeira é reprocessar as dezenas de gigabytes por conta própria a cada mês, o que exige infraestrutura, tempo e competência técnica que a maior parte desses atores não tem. A segunda é contratar um serviço comercial fechado que faz esse processamento e não publica nem o método empregado nem os números obtidos, o que transfere para um terceiro a confiança sobre um dado que é, por definição, público.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área de sistemas de dados tem um nome para o problema de propagar mudanças a partir de uma fonte: </w:t>
      </w:r>
      <w:r>
        <w:rPr>
          <w:rFonts w:ascii="Arial" w:hAnsi="Arial"/>
          <w:b w:val="0"/>
          <w:i/>
          <w:sz w:val="24"/>
        </w:rPr>
        <w:t>Change Data Capture</w:t>
      </w:r>
      <w:r>
        <w:rPr>
          <w:rFonts w:ascii="Arial" w:hAnsi="Arial"/>
          <w:b w:val="0"/>
          <w:i w:val="0"/>
          <w:sz w:val="24"/>
        </w:rPr>
        <w:t xml:space="preserve">. A solução canônica lê o log de transações do banco de origem, como descrevem Andreakis e Papapanagiotou (2020), e as arquiteturas modernas de </w:t>
      </w:r>
      <w:r>
        <w:rPr>
          <w:rFonts w:ascii="Arial" w:hAnsi="Arial"/>
          <w:b w:val="0"/>
          <w:i/>
          <w:sz w:val="24"/>
        </w:rPr>
        <w:t>lakehouse</w:t>
      </w:r>
      <w:r>
        <w:rPr>
          <w:rFonts w:ascii="Arial" w:hAnsi="Arial"/>
          <w:b w:val="0"/>
          <w:i w:val="0"/>
          <w:sz w:val="24"/>
        </w:rPr>
        <w:t xml:space="preserve"> (ARMBRUST et al., 2020) oferecem changelog nativo pela mesma razão — controlam o caminho de escrita do dado. Nenhuma dessas condições vale aqui. Não há banco acessível, não há log, não há como escrever qualquer marca na origem: há duas fotografias grandes e opacas. A literatura chama essa situação de </w:t>
      </w:r>
      <w:r>
        <w:rPr>
          <w:rFonts w:ascii="Arial" w:hAnsi="Arial"/>
          <w:b w:val="0"/>
          <w:i/>
          <w:sz w:val="24"/>
        </w:rPr>
        <w:t>snapshot differencing</w:t>
      </w:r>
      <w:r>
        <w:rPr>
          <w:rFonts w:ascii="Arial" w:hAnsi="Arial"/>
          <w:b w:val="0"/>
          <w:i w:val="0"/>
          <w:sz w:val="24"/>
        </w:rPr>
        <w:t xml:space="preserve"> e, desde Labio e Garcia-Molina (1996), a trata predominantemente como recurso de último caso — a via a que se recorre quando nada melhor está disponível.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Este trabalho parte da observação de que, no universo dos dados abertos governamentais, o "último caso" </w:t>
      </w:r>
      <w:r>
        <w:rPr>
          <w:rFonts w:ascii="Arial" w:hAnsi="Arial"/>
          <w:b/>
          <w:i w:val="0"/>
          <w:sz w:val="24"/>
        </w:rPr>
        <w:t>é o caso normal</w:t>
      </w:r>
      <w:r>
        <w:rPr>
          <w:rFonts w:ascii="Arial" w:hAnsi="Arial"/>
          <w:b w:val="0"/>
          <w:i w:val="0"/>
          <w:sz w:val="24"/>
        </w:rPr>
        <w:t xml:space="preserve">. Publicação periódica de fotografias completas é o padrão dominante de disseminação, e não a exceção. Isso justifica tratar o </w:t>
      </w:r>
      <w:r>
        <w:rPr>
          <w:rFonts w:ascii="Arial" w:hAnsi="Arial"/>
          <w:b w:val="0"/>
          <w:i/>
          <w:sz w:val="24"/>
        </w:rPr>
        <w:t>snapshot differencing</w:t>
      </w:r>
      <w:r>
        <w:rPr>
          <w:rFonts w:ascii="Arial" w:hAnsi="Arial"/>
          <w:b w:val="0"/>
          <w:i w:val="0"/>
          <w:sz w:val="24"/>
        </w:rPr>
        <w:t xml:space="preserve"> como objeto de primeira classe: projetar para ele, medi-lo e publicar o método.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pergunta de pesquisa que orienta a investigação é, portanto: </w:t>
      </w:r>
      <w:r>
        <w:rPr>
          <w:rFonts w:ascii="Arial" w:hAnsi="Arial"/>
          <w:b/>
          <w:i w:val="0"/>
          <w:sz w:val="24"/>
        </w:rPr>
        <w:t>é viável construir, com recursos computacionais de commodity, um pipeline reprodutível que converta snapshots mensais do CNPJ em um fluxo de eventos de mudança semanticamente tipado — e qual o custo comparativo entre uma estratégia relacional e uma estratégia particionada por hash para o cálculo desse delta?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O objetivo geral é projetar, implementar e avaliar experimentalmente um protótipo desse pipeline, publicando método, código e medições de forma aberta e reprodutível. Dele decorrem seis objetivos específicos: (1) caracterizar quantitativamente os snapshots, em volume por tabela, distribuição de registros por partição e taxa real de mudança mensal por tipo de evento; (2) especificar uma camada canônica em formato colunar, com schema explícito e versionado, resistente às armadilhas conhecidas da fonte — codificação legada, CSV posicional com delimitadores embutidos, particionamento instável de arquivos e o CNPJ alfanumérico vigente desde julho de 2026; (3) implementar e comparar dois motores de diff sob uma mesma interface, um baseline relacional e um particionado por hash; (4) especificar um contrato de eventos versionado, de semântica inspirada no vocabulário Debezium, e publicá-lo em Apache Kafka; (5) medir tempo, memória de pico, I/O, vazão e custo projetado de cada motor sob protocolo experimental documentado e repetível; e (6) validar a corretude dos eventos sem dispor de gabarito oficial.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Esse último objetivo merece destaque porque define a principal dificuldade metodológica do trabalho: </w:t>
      </w:r>
      <w:r>
        <w:rPr>
          <w:rFonts w:ascii="Arial" w:hAnsi="Arial"/>
          <w:b/>
          <w:i w:val="0"/>
          <w:sz w:val="24"/>
        </w:rPr>
        <w:t>não existe delta verdadeiro publicado contra o qual conferir o resultado</w:t>
      </w:r>
      <w:r>
        <w:rPr>
          <w:rFonts w:ascii="Arial" w:hAnsi="Arial"/>
          <w:b w:val="0"/>
          <w:i w:val="0"/>
          <w:sz w:val="24"/>
        </w:rPr>
        <w:t>. A corretude precisa, então, ser construída — por validação cruzada entre duas implementações independentes, por amostragem contra oráculo externo e por invariantes de sanidade sobre os agregados. A metodologia dessa validação é, ela própria, uma contribuição do trabalho, e é o que separa este protótipo de um script que produz números plausíveis sem que ninguém possa dizer se estão certos.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As contribuições esperadas são quatro: um pipeline funcional e aberto que converte snapshots do CNPJ em eventos de mudança; um contrato de eventos versionado e publicado; medições comparativas entre duas estratégias de diff em hardware de commodity, com protocolo repetível; e a caracterização empírica da taxa mensal de mudança do cadastro, que não está publicamente documentada.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O restante da monografia está organizado da seguinte forma. O Capítulo 2 revisa a literatura de </w:t>
      </w:r>
      <w:r>
        <w:rPr>
          <w:rFonts w:ascii="Arial" w:hAnsi="Arial"/>
          <w:b w:val="0"/>
          <w:i/>
          <w:sz w:val="24"/>
        </w:rPr>
        <w:t>snapshot differencing</w:t>
      </w:r>
      <w:r>
        <w:rPr>
          <w:rFonts w:ascii="Arial" w:hAnsi="Arial"/>
          <w:b w:val="0"/>
          <w:i w:val="0"/>
          <w:sz w:val="24"/>
        </w:rPr>
        <w:t>, CDC, armazenamento colunar e qualidade de dados em ETL. O Capítulo 3 apresenta a metodologia e o protocolo experimental. O Capítulo 4 descreve a arquitetura do pipeline e as decisões congeladas que a sustentam. O Capítulo 5 trata da estratégia de validação de corretude. O Capítulo 6 apresenta e discute os resultados. O Capítulo 7 declara as ameaças à validade, e o Capítulo 8 conclui e aponta trabalhos futuros.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5. Metodologia (texto)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5.1 Classificação da pesquisa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Trata-se de pesquisa </w:t>
      </w:r>
      <w:r>
        <w:rPr>
          <w:rFonts w:ascii="Arial" w:hAnsi="Arial"/>
          <w:b/>
          <w:i w:val="0"/>
          <w:sz w:val="24"/>
        </w:rPr>
        <w:t>aplicada</w:t>
      </w:r>
      <w:r>
        <w:rPr>
          <w:rFonts w:ascii="Arial" w:hAnsi="Arial"/>
          <w:b w:val="0"/>
          <w:i w:val="0"/>
          <w:sz w:val="24"/>
        </w:rPr>
        <w:t xml:space="preserve">, de natureza </w:t>
      </w:r>
      <w:r>
        <w:rPr>
          <w:rFonts w:ascii="Arial" w:hAnsi="Arial"/>
          <w:b/>
          <w:i w:val="0"/>
          <w:sz w:val="24"/>
        </w:rPr>
        <w:t>quantitativa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/>
          <w:i w:val="0"/>
          <w:sz w:val="24"/>
        </w:rPr>
        <w:t>experimental</w:t>
      </w:r>
      <w:r>
        <w:rPr>
          <w:rFonts w:ascii="Arial" w:hAnsi="Arial"/>
          <w:b w:val="0"/>
          <w:i w:val="0"/>
          <w:sz w:val="24"/>
        </w:rPr>
        <w:t xml:space="preserve">, conduzida por meio de construção de artefato — um protótipo funcional de pipeline — seguida de avaliação empírica sob protocolo controlado. As hipóteses são declaradas antes da execução e formuladas de modo </w:t>
      </w:r>
      <w:r>
        <w:rPr>
          <w:rFonts w:ascii="Arial" w:hAnsi="Arial"/>
          <w:b/>
          <w:i w:val="0"/>
          <w:sz w:val="24"/>
        </w:rPr>
        <w:t>falsificável</w:t>
      </w:r>
      <w:r>
        <w:rPr>
          <w:rFonts w:ascii="Arial" w:hAnsi="Arial"/>
          <w:b w:val="0"/>
          <w:i w:val="0"/>
          <w:sz w:val="24"/>
        </w:rPr>
        <w:t>: um resultado negativo é resultado publicável, desde que os números expliquem o porquê.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Três hipóteses orientam a avaliação. </w:t>
      </w:r>
      <w:r>
        <w:rPr>
          <w:rFonts w:ascii="Arial" w:hAnsi="Arial"/>
          <w:b/>
          <w:i w:val="0"/>
          <w:sz w:val="24"/>
        </w:rPr>
        <w:t>H1</w:t>
      </w:r>
      <w:r>
        <w:rPr>
          <w:rFonts w:ascii="Arial" w:hAnsi="Arial"/>
          <w:b w:val="0"/>
          <w:i w:val="0"/>
          <w:sz w:val="24"/>
        </w:rPr>
        <w:t xml:space="preserve">: o particionamento estável por </w:t>
      </w:r>
      <w:r>
        <w:rPr>
          <w:rFonts w:ascii="Consolas" w:hAnsi="Consolas"/>
          <w:b w:val="0"/>
          <w:i w:val="0"/>
          <w:sz w:val="19"/>
        </w:rPr>
        <w:t>hash(cnpj_basico) mod N</w:t>
      </w:r>
      <w:r>
        <w:rPr>
          <w:rFonts w:ascii="Arial" w:hAnsi="Arial"/>
          <w:b w:val="0"/>
          <w:i w:val="0"/>
          <w:sz w:val="24"/>
        </w:rPr>
        <w:t xml:space="preserve"> permite executar o diff de snapshots multi-gigabyte com memória de pico aproximadamente constante em relação ao volume total, limitada pelo maior bucket; aceita-se H1 se a memória de pico do motor particionado variar menos de 20% entre processar 1 e 16 buckets enquanto a do baseline cresce monotonicamente. </w:t>
      </w:r>
      <w:r>
        <w:rPr>
          <w:rFonts w:ascii="Arial" w:hAnsi="Arial"/>
          <w:b/>
          <w:i w:val="0"/>
          <w:sz w:val="24"/>
        </w:rPr>
        <w:t>H2</w:t>
      </w:r>
      <w:r>
        <w:rPr>
          <w:rFonts w:ascii="Arial" w:hAnsi="Arial"/>
          <w:b w:val="0"/>
          <w:i w:val="0"/>
          <w:sz w:val="24"/>
        </w:rPr>
        <w:t xml:space="preserve">: um ciclo completo — ingestão, normalização, diff e publicação — de uma competência é executável em menos de 24 horas em hardware de commodity (até 8 vCPU, 32 GB de RAM, SSD). </w:t>
      </w:r>
      <w:r>
        <w:rPr>
          <w:rFonts w:ascii="Arial" w:hAnsi="Arial"/>
          <w:b/>
          <w:i w:val="0"/>
          <w:sz w:val="24"/>
        </w:rPr>
        <w:t>H3</w:t>
      </w:r>
      <w:r>
        <w:rPr>
          <w:rFonts w:ascii="Arial" w:hAnsi="Arial"/>
          <w:b w:val="0"/>
          <w:i w:val="0"/>
          <w:sz w:val="24"/>
        </w:rPr>
        <w:t>: a estratégia particionada apresenta speedup mediano de ao menos 2,0 sobre o baseline relacional, para o mesmo conjunto de buckets, ao longo de 5 repetições.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5.2 Objeto e materiais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O objeto empírico são duas competências consecutivas dos Dados Abertos do CNPJ, </w:t>
      </w:r>
      <w:r>
        <w:rPr>
          <w:rFonts w:ascii="Arial" w:hAnsi="Arial"/>
          <w:b/>
          <w:i w:val="0"/>
          <w:sz w:val="24"/>
        </w:rPr>
        <w:t>2026-06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/>
          <w:i w:val="0"/>
          <w:sz w:val="24"/>
        </w:rPr>
        <w:t>2026-07</w:t>
      </w:r>
      <w:r>
        <w:rPr>
          <w:rFonts w:ascii="Arial" w:hAnsi="Arial"/>
          <w:b w:val="0"/>
          <w:i w:val="0"/>
          <w:sz w:val="24"/>
        </w:rPr>
        <w:t xml:space="preserve">. As competências são congeladas logo na primeira semana: cada arquivo tem seu SHA-256 calculado e registrado em um </w:t>
      </w:r>
      <w:r>
        <w:rPr>
          <w:rFonts w:ascii="Consolas" w:hAnsi="Consolas"/>
          <w:b w:val="0"/>
          <w:i w:val="0"/>
          <w:sz w:val="19"/>
        </w:rPr>
        <w:t>manifesto.json</w:t>
      </w:r>
      <w:r>
        <w:rPr>
          <w:rFonts w:ascii="Arial" w:hAnsi="Arial"/>
          <w:b w:val="0"/>
          <w:i w:val="0"/>
          <w:sz w:val="24"/>
        </w:rPr>
        <w:t xml:space="preserve"> versionado no repositório, junto de nome, tamanho, origem e data de coleta. Esse congelamento cumpre dois papéis — garante que o experimento seja reproduzível sem exigir a redistribuição de dezenas de gigabytes, e o protege contra alterações posteriores de layout ou remoção de arquivos pela fonte, algo que já ocorreu com projetos da comunidade em anos anteriores.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Escopo de dados do núcleo: as tabelas </w:t>
      </w:r>
      <w:r>
        <w:rPr>
          <w:rFonts w:ascii="Arial" w:hAnsi="Arial"/>
          <w:b/>
          <w:i w:val="0"/>
          <w:sz w:val="24"/>
        </w:rPr>
        <w:t>Empresas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/>
          <w:i w:val="0"/>
          <w:sz w:val="24"/>
        </w:rPr>
        <w:t>Estabelecimentos</w:t>
      </w:r>
      <w:r>
        <w:rPr>
          <w:rFonts w:ascii="Arial" w:hAnsi="Arial"/>
          <w:b w:val="0"/>
          <w:i w:val="0"/>
          <w:sz w:val="24"/>
        </w:rPr>
        <w:t xml:space="preserve"> e as tabelas de domínio (CNAEs, Municípios, Motivos, Naturezas Jurídicas, Qualificações e Países). As tabelas de Sócios e do Simples ficam fora do núcleo por decisão de escopo registrada, e retornam apenas se a fase de expansão ocorrer.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A stack é fixa: Java 21, Spring Boot, Apache Parquet como camada canônica, Apache Kafka para os eventos com JSON Schema versionado, PostgreSQL para o motor baseline e para o changelog do consumer, Micrometer para instrumentação e Maven como ferramenta de construção.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5.3 Procedimentos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O pipeline é organizado em cinco estágios, acoplados apenas por arquivos Parquet e tópicos Kafka.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Ingestão.</w:t>
      </w:r>
      <w:r>
        <w:rPr>
          <w:rFonts w:ascii="Arial" w:hAnsi="Arial"/>
          <w:b w:val="0"/>
          <w:i w:val="0"/>
          <w:sz w:val="24"/>
        </w:rPr>
        <w:t xml:space="preserve"> Download das duas competências, cálculo de SHA-256 por arquivo e produção do manifesto. Um teste de contrato valida o layout dos arquivos e falha ruidosamente caso a fonte tenha mudado.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Normalização.</w:t>
      </w:r>
      <w:r>
        <w:rPr>
          <w:rFonts w:ascii="Arial" w:hAnsi="Arial"/>
          <w:b w:val="0"/>
          <w:i w:val="0"/>
          <w:sz w:val="24"/>
        </w:rPr>
        <w:t xml:space="preserve"> Cada ZIP é lido em streaming e convertido diretamente em Parquet, </w:t>
      </w:r>
      <w:r>
        <w:rPr>
          <w:rFonts w:ascii="Arial" w:hAnsi="Arial"/>
          <w:b/>
          <w:i w:val="0"/>
          <w:sz w:val="24"/>
        </w:rPr>
        <w:t>sem jamais materializar o CSV descompactado em disco</w:t>
      </w:r>
      <w:r>
        <w:rPr>
          <w:rFonts w:ascii="Arial" w:hAnsi="Arial"/>
          <w:b w:val="0"/>
          <w:i w:val="0"/>
          <w:sz w:val="24"/>
        </w:rPr>
        <w:t xml:space="preserve">. Essa não é uma otimização, e sim um requisito de viabilidade: a máquina de referência dispõe de 216 GB livres e as duas competências descompactadas ocupariam cerca de 170 GB, sem contar o Parquet resultante. O schema é explícito e versionado, nunca inferido. Todo campo de código permanece string, porque zeros à esquerda são significativos, e o próprio CNPJ é string em toda a stack — desde 31 de julho de 2026 novas inscrições podem conter letras nas oito primeiras posições, o que invalida qualquer tratamento numérico e qualquer particionamento por faixa. A saída é particionada em 256 buckets por </w:t>
      </w:r>
      <w:r>
        <w:rPr>
          <w:rFonts w:ascii="Consolas" w:hAnsi="Consolas"/>
          <w:b w:val="0"/>
          <w:i w:val="0"/>
          <w:sz w:val="19"/>
        </w:rPr>
        <w:t>murmur3_32(utf8(cnpj_basico)) mod 256</w:t>
      </w:r>
      <w:r>
        <w:rPr>
          <w:rFonts w:ascii="Arial" w:hAnsi="Arial"/>
          <w:b w:val="0"/>
          <w:i w:val="0"/>
          <w:sz w:val="24"/>
        </w:rPr>
        <w:t>, função escolhida por ser estável entre execuções, plataformas e versões de JVM.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Diff.</w:t>
      </w:r>
      <w:r>
        <w:rPr>
          <w:rFonts w:ascii="Arial" w:hAnsi="Arial"/>
          <w:b w:val="0"/>
          <w:i w:val="0"/>
          <w:sz w:val="24"/>
        </w:rPr>
        <w:t xml:space="preserve"> Dois motores implementam a mesma interface e produzem o mesmo tipo de registro de mudança a partir de um par de snapshots e um identificador de bucket. O motor </w:t>
      </w:r>
      <w:r>
        <w:rPr>
          <w:rFonts w:ascii="Arial" w:hAnsi="Arial"/>
          <w:b/>
          <w:i w:val="0"/>
          <w:sz w:val="24"/>
        </w:rPr>
        <w:t>E1</w:t>
      </w:r>
      <w:r>
        <w:rPr>
          <w:rFonts w:ascii="Arial" w:hAnsi="Arial"/>
          <w:b w:val="0"/>
          <w:i w:val="0"/>
          <w:sz w:val="24"/>
        </w:rPr>
        <w:t xml:space="preserve"> carrega os dois lados de um bucket em tabelas temporárias no PostgreSQL e executa </w:t>
      </w:r>
      <w:r>
        <w:rPr>
          <w:rFonts w:ascii="Consolas" w:hAnsi="Consolas"/>
          <w:b w:val="0"/>
          <w:i w:val="0"/>
          <w:sz w:val="19"/>
        </w:rPr>
        <w:t>FULL OUTER JOIN</w:t>
      </w:r>
      <w:r>
        <w:rPr>
          <w:rFonts w:ascii="Arial" w:hAnsi="Arial"/>
          <w:b w:val="0"/>
          <w:i w:val="0"/>
          <w:sz w:val="24"/>
        </w:rPr>
        <w:t xml:space="preserve"> pela chave natural; existe para ser obviamente correto, não para ser rápido, e opera sempre bucket a bucket, de modo que o banco nunca veja o conjunto inteiro. O motor </w:t>
      </w:r>
      <w:r>
        <w:rPr>
          <w:rFonts w:ascii="Arial" w:hAnsi="Arial"/>
          <w:b/>
          <w:i w:val="0"/>
          <w:sz w:val="24"/>
        </w:rPr>
        <w:t>E3</w:t>
      </w:r>
      <w:r>
        <w:rPr>
          <w:rFonts w:ascii="Arial" w:hAnsi="Arial"/>
          <w:b w:val="0"/>
          <w:i w:val="0"/>
          <w:sz w:val="24"/>
        </w:rPr>
        <w:t xml:space="preserve"> calcula um hash de conteúdo por registro, compara os dois lados do bucket em memória por chave natural e classifica cada diferença em inserção, remoção ou alteração, comparando campo a campo apenas no último caso para preencher a lista de campos alterados; os buckets são processados em paralelo.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Eventos e consumo.</w:t>
      </w:r>
      <w:r>
        <w:rPr>
          <w:rFonts w:ascii="Arial" w:hAnsi="Arial"/>
          <w:b w:val="0"/>
          <w:i w:val="0"/>
          <w:sz w:val="24"/>
        </w:rPr>
        <w:t xml:space="preserve"> Cada registro de mudança é convertido em um envelope tipado e versionado, publicado em Kafka com chave igual ao CNPJ básico, o que garante ordenação por empresa. A semântica de entrega é </w:t>
      </w:r>
      <w:r>
        <w:rPr>
          <w:rFonts w:ascii="Arial" w:hAnsi="Arial"/>
          <w:b w:val="0"/>
          <w:i/>
          <w:sz w:val="24"/>
        </w:rPr>
        <w:t>at-least-once</w:t>
      </w:r>
      <w:r>
        <w:rPr>
          <w:rFonts w:ascii="Arial" w:hAnsi="Arial"/>
          <w:b w:val="0"/>
          <w:i w:val="0"/>
          <w:sz w:val="24"/>
        </w:rPr>
        <w:t xml:space="preserve">; a idempotência no consumo é obtida por um </w:t>
      </w:r>
      <w:r>
        <w:rPr>
          <w:rFonts w:ascii="Consolas" w:hAnsi="Consolas"/>
          <w:b w:val="0"/>
          <w:i w:val="0"/>
          <w:sz w:val="19"/>
        </w:rPr>
        <w:t>event_id</w:t>
      </w:r>
      <w:r>
        <w:rPr>
          <w:rFonts w:ascii="Arial" w:hAnsi="Arial"/>
          <w:b w:val="0"/>
          <w:i w:val="0"/>
          <w:sz w:val="24"/>
        </w:rPr>
        <w:t xml:space="preserve"> determinístico, gerado como UUID versão 5 sobre a concatenação de competência de origem, competência de destino, chave da entidade, tipo de evento e lista ordenada de campos alterados. Um consumer materializa o changelog em PostgreSQL, servindo simultaneamente como prova de utilidade e como ferramenta de inspeção da própria equipe.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5.4 Protocolo experimental</w:t>
      </w:r>
    </w:p>
    <w:p>
      <w:pPr>
        <w:spacing w:line="360" w:lineRule="auto" w:after="120"/>
        <w:jc w:val="both"/>
      </w:pPr>
      <w:r>
        <w:rPr>
          <w:rFonts w:ascii="Arial" w:hAnsi="Arial"/>
          <w:b/>
          <w:i w:val="0"/>
          <w:sz w:val="24"/>
        </w:rPr>
        <w:t>Variáveis independentes:</w:t>
      </w:r>
      <w:r>
        <w:rPr>
          <w:rFonts w:ascii="Arial" w:hAnsi="Arial"/>
          <w:b w:val="0"/>
          <w:i w:val="0"/>
          <w:sz w:val="24"/>
        </w:rPr>
        <w:t xml:space="preserve"> motor de diff (E1, E3) e escala, medida em número de buckets processados (1, 4, 8 e 16). </w:t>
      </w:r>
      <w:r>
        <w:rPr>
          <w:rFonts w:ascii="Arial" w:hAnsi="Arial"/>
          <w:b/>
          <w:i w:val="0"/>
          <w:sz w:val="24"/>
        </w:rPr>
        <w:t>Variáveis dependentes:</w:t>
      </w:r>
      <w:r>
        <w:rPr>
          <w:rFonts w:ascii="Arial" w:hAnsi="Arial"/>
          <w:b w:val="0"/>
          <w:i w:val="0"/>
          <w:sz w:val="24"/>
        </w:rPr>
        <w:t xml:space="preserve"> tempo de parede, memória de pico (RSS e heap), bytes lidos e escritos, vazão em eventos por segundo e tempo de CPU. </w:t>
      </w:r>
      <w:r>
        <w:rPr>
          <w:rFonts w:ascii="Arial" w:hAnsi="Arial"/>
          <w:b/>
          <w:i w:val="0"/>
          <w:sz w:val="24"/>
        </w:rPr>
        <w:t>Variáveis controladas:</w:t>
      </w:r>
      <w:r>
        <w:rPr>
          <w:rFonts w:ascii="Arial" w:hAnsi="Arial"/>
          <w:b w:val="0"/>
          <w:i w:val="0"/>
          <w:sz w:val="24"/>
        </w:rPr>
        <w:t xml:space="preserve"> mesma máquina, mesmo par de snapshots, mesmos buckets e ausência de carga concorrente.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O ambiente é integralmente documentado — modelo e número de núcleos da CPU, memória, tipo de disco, sistema operacional, versão e flags da JVM, versões de PostgreSQL e Kafka. O pipeline é executado </w:t>
      </w:r>
      <w:r>
        <w:rPr>
          <w:rFonts w:ascii="Arial" w:hAnsi="Arial"/>
          <w:b/>
          <w:i w:val="0"/>
          <w:sz w:val="24"/>
        </w:rPr>
        <w:t>nativo na JVM</w:t>
      </w:r>
      <w:r>
        <w:rPr>
          <w:rFonts w:ascii="Arial" w:hAnsi="Arial"/>
          <w:b w:val="0"/>
          <w:i w:val="0"/>
          <w:sz w:val="24"/>
        </w:rPr>
        <w:t>; apenas PostgreSQL e Kafka rodam em contêiner. A razão é metodológica: o Docker Desktop sobre WSL2 acrescenta overhead de I/O real e variável, que contaminaria justamente as medições do estágio de normalização, o mais sensível a disco.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Cada configuração é executada </w:t>
      </w:r>
      <w:r>
        <w:rPr>
          <w:rFonts w:ascii="Arial" w:hAnsi="Arial"/>
          <w:b/>
          <w:i w:val="0"/>
          <w:sz w:val="24"/>
        </w:rPr>
        <w:t>cinco vezes, descartando-se a primeira</w:t>
      </w:r>
      <w:r>
        <w:rPr>
          <w:rFonts w:ascii="Arial" w:hAnsi="Arial"/>
          <w:b w:val="0"/>
          <w:i w:val="0"/>
          <w:sz w:val="24"/>
        </w:rPr>
        <w:t xml:space="preserve">, para absorver o aquecimento do compilador JIT e do cache do sistema operacional. Reporta-se </w:t>
      </w:r>
      <w:r>
        <w:rPr>
          <w:rFonts w:ascii="Arial" w:hAnsi="Arial"/>
          <w:b/>
          <w:i w:val="0"/>
          <w:sz w:val="24"/>
        </w:rPr>
        <w:t>mediana e amplitude interquartil</w:t>
      </w:r>
      <w:r>
        <w:rPr>
          <w:rFonts w:ascii="Arial" w:hAnsi="Arial"/>
          <w:b w:val="0"/>
          <w:i w:val="0"/>
          <w:sz w:val="24"/>
        </w:rPr>
        <w:t xml:space="preserve">, nunca a média: distribuições de tempo dominadas por I/O são assimétricas e a média descreve mal a tendência central. O estado do cache de páginas é declarado explicitamente — no Windows, limpá-lo de forma confiável entre execuções é impraticável, de modo que todas as medições ocorrem com </w:t>
      </w:r>
      <w:r>
        <w:rPr>
          <w:rFonts w:ascii="Arial" w:hAnsi="Arial"/>
          <w:b/>
          <w:i w:val="0"/>
          <w:sz w:val="24"/>
        </w:rPr>
        <w:t>cache quente</w:t>
      </w:r>
      <w:r>
        <w:rPr>
          <w:rFonts w:ascii="Arial" w:hAnsi="Arial"/>
          <w:b w:val="0"/>
          <w:i w:val="0"/>
          <w:sz w:val="24"/>
        </w:rPr>
        <w:t>, e o texto diz isso em vez de omitir.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Três medidas de ganho são calculadas. O </w:t>
      </w:r>
      <w:r>
        <w:rPr>
          <w:rFonts w:ascii="Arial" w:hAnsi="Arial"/>
          <w:b/>
          <w:i w:val="0"/>
          <w:sz w:val="24"/>
        </w:rPr>
        <w:t>speedup</w:t>
      </w:r>
      <w:r>
        <w:rPr>
          <w:rFonts w:ascii="Arial" w:hAnsi="Arial"/>
          <w:b w:val="0"/>
          <w:i w:val="0"/>
          <w:sz w:val="24"/>
        </w:rPr>
        <w:t xml:space="preserve">, razão entre as medianas de tempo dos dois motores sobre os mesmos buckets. A </w:t>
      </w:r>
      <w:r>
        <w:rPr>
          <w:rFonts w:ascii="Arial" w:hAnsi="Arial"/>
          <w:b/>
          <w:i w:val="0"/>
          <w:sz w:val="24"/>
        </w:rPr>
        <w:t>escalabilidade de memória</w:t>
      </w:r>
      <w:r>
        <w:rPr>
          <w:rFonts w:ascii="Arial" w:hAnsi="Arial"/>
          <w:b w:val="0"/>
          <w:i w:val="0"/>
          <w:sz w:val="24"/>
        </w:rPr>
        <w:t xml:space="preserve">, isto é, a memória de pico em função do número de buckets processados; se o motor particionado permanecer aproximadamente constante enquanto o baseline cresce, este é o resultado mais forte do trabalho, mais relevante que o speedup, porque é o que sustenta a afirmação de que o processamento cabe em máquina comum. E o </w:t>
      </w:r>
      <w:r>
        <w:rPr>
          <w:rFonts w:ascii="Arial" w:hAnsi="Arial"/>
          <w:b/>
          <w:i w:val="0"/>
          <w:sz w:val="24"/>
        </w:rPr>
        <w:t>custo projetado</w:t>
      </w:r>
      <w:r>
        <w:rPr>
          <w:rFonts w:ascii="Arial" w:hAnsi="Arial"/>
          <w:b w:val="0"/>
          <w:i w:val="0"/>
          <w:sz w:val="24"/>
        </w:rPr>
        <w:t>, extrapolação de 16 para 256 buckets convertida em custo equivalente de instância em nuvem, com intervalo de confiança.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O experimento roda sobre 16 dos 256 buckets, cerca de 6% do total. A normalização, porém, escreve os 256, o que torna conhecida a distribuição completa de tamanhos e permite </w:t>
      </w:r>
      <w:r>
        <w:rPr>
          <w:rFonts w:ascii="Arial" w:hAnsi="Arial"/>
          <w:b/>
          <w:i w:val="0"/>
          <w:sz w:val="24"/>
        </w:rPr>
        <w:t>verificar e reportar</w:t>
      </w:r>
      <w:r>
        <w:rPr>
          <w:rFonts w:ascii="Arial" w:hAnsi="Arial"/>
          <w:b w:val="0"/>
          <w:i w:val="0"/>
          <w:sz w:val="24"/>
        </w:rPr>
        <w:t xml:space="preserve"> a aderência da amostra ao todo, em vez de apenas supô-la.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5.5 Validação de corretude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>Como não existe gabarito oficial do diff verdadeiro, a corretude é construída em três camadas independentes.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primeira é a </w:t>
      </w:r>
      <w:r>
        <w:rPr>
          <w:rFonts w:ascii="Arial" w:hAnsi="Arial"/>
          <w:b/>
          <w:i w:val="0"/>
          <w:sz w:val="24"/>
        </w:rPr>
        <w:t>validação cruzada entre implementações</w:t>
      </w:r>
      <w:r>
        <w:rPr>
          <w:rFonts w:ascii="Arial" w:hAnsi="Arial"/>
          <w:b w:val="0"/>
          <w:i w:val="0"/>
          <w:sz w:val="24"/>
        </w:rPr>
        <w:t xml:space="preserve">: E1 e E3 devem produzir exatamente o mesmo conjunto de eventos. A métrica é a cardinalidade da diferença simétrica dos conjuntos de </w:t>
      </w:r>
      <w:r>
        <w:rPr>
          <w:rFonts w:ascii="Consolas" w:hAnsi="Consolas"/>
          <w:b w:val="0"/>
          <w:i w:val="0"/>
          <w:sz w:val="19"/>
        </w:rPr>
        <w:t>event_id</w:t>
      </w:r>
      <w:r>
        <w:rPr>
          <w:rFonts w:ascii="Arial" w:hAnsi="Arial"/>
          <w:b w:val="0"/>
          <w:i w:val="0"/>
          <w:sz w:val="24"/>
        </w:rPr>
        <w:t xml:space="preserve"> dividida pela cardinalidade da união, e a meta é zero. É o determinismo do </w:t>
      </w:r>
      <w:r>
        <w:rPr>
          <w:rFonts w:ascii="Consolas" w:hAnsi="Consolas"/>
          <w:b w:val="0"/>
          <w:i w:val="0"/>
          <w:sz w:val="19"/>
        </w:rPr>
        <w:t>event_id</w:t>
      </w:r>
      <w:r>
        <w:rPr>
          <w:rFonts w:ascii="Arial" w:hAnsi="Arial"/>
          <w:b w:val="0"/>
          <w:i w:val="0"/>
          <w:sz w:val="24"/>
        </w:rPr>
        <w:t xml:space="preserve"> que torna essa comparação uma operação de conjuntos, em vez de uma comparação semântica campo a campo. A validação roda como teste automatizado, não apenas como experimento, e qualquer divergência é bug de uma das implementações e bloqueia o marco.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segunda é a </w:t>
      </w:r>
      <w:r>
        <w:rPr>
          <w:rFonts w:ascii="Arial" w:hAnsi="Arial"/>
          <w:b/>
          <w:i w:val="0"/>
          <w:sz w:val="24"/>
        </w:rPr>
        <w:t>validação amostral contra oráculo externo</w:t>
      </w:r>
      <w:r>
        <w:rPr>
          <w:rFonts w:ascii="Arial" w:hAnsi="Arial"/>
          <w:b w:val="0"/>
          <w:i w:val="0"/>
          <w:sz w:val="24"/>
        </w:rPr>
        <w:t>: 200 eventos sorteados aleatoriamente com semente registrada são conferidos contra consulta pública, reportando-se a taxa de concordância e analisando-se individualmente cada desacordo.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 terceira são as </w:t>
      </w:r>
      <w:r>
        <w:rPr>
          <w:rFonts w:ascii="Arial" w:hAnsi="Arial"/>
          <w:b/>
          <w:i w:val="0"/>
          <w:sz w:val="24"/>
        </w:rPr>
        <w:t>invariantes de sanidade</w:t>
      </w:r>
      <w:r>
        <w:rPr>
          <w:rFonts w:ascii="Arial" w:hAnsi="Arial"/>
          <w:b w:val="0"/>
          <w:i w:val="0"/>
          <w:sz w:val="24"/>
        </w:rPr>
        <w:t xml:space="preserve"> sobre agregados — por exemplo, a diferença entre a contagem de eventos de criação e de encerramento de empresas deve aproximar a variação do número de registros entre as duas competências, dentro de tolerância declarada. Violação de invariante bloqueia a publicação dos resultados.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Sustentando as três camadas, o estágio de normalização mantém contadores de linhas lidas e rejeitadas por arquivo, comparados com a contagem esperada. Taxa de rejeição acima de </w:t>
      </w:r>
      <w:r>
        <w:rPr>
          <w:rFonts w:ascii="Arial" w:hAnsi="Arial"/>
          <w:b/>
          <w:i w:val="0"/>
          <w:sz w:val="24"/>
        </w:rPr>
        <w:t>0,1%</w:t>
      </w:r>
      <w:r>
        <w:rPr>
          <w:rFonts w:ascii="Arial" w:hAnsi="Arial"/>
          <w:b w:val="0"/>
          <w:i w:val="0"/>
          <w:sz w:val="24"/>
        </w:rPr>
        <w:t xml:space="preserve"> faz o estágio falhar. O princípio é falhar ruidosamente em vez de mentir baixinho: diff sobre dado corrompido gera evento falso, e evento falso invalida o experimento inteiro.</w:t>
      </w:r>
    </w:p>
    <w:p>
      <w:pPr>
        <w:pStyle w:val="Heading3"/>
        <w:spacing w:before="200" w:after="120"/>
      </w:pPr>
      <w:r>
        <w:rPr>
          <w:rFonts w:ascii="Arial" w:hAnsi="Arial"/>
          <w:b/>
          <w:i w:val="0"/>
          <w:sz w:val="24"/>
        </w:rPr>
        <w:t>5.6 Ameaças à validade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Cinco ameaças são declaradas abertamente. A </w:t>
      </w:r>
      <w:r>
        <w:rPr>
          <w:rFonts w:ascii="Arial" w:hAnsi="Arial"/>
          <w:b/>
          <w:i w:val="0"/>
          <w:sz w:val="24"/>
        </w:rPr>
        <w:t>representatividade da amostra</w:t>
      </w:r>
      <w:r>
        <w:rPr>
          <w:rFonts w:ascii="Arial" w:hAnsi="Arial"/>
          <w:b w:val="0"/>
          <w:i w:val="0"/>
          <w:sz w:val="24"/>
        </w:rPr>
        <w:t xml:space="preserve">, já que o experimento cobre 16 dos 256 buckets — mitigada, mas não eliminada, pela verificação de aderência descrita em 5.4. O </w:t>
      </w:r>
      <w:r>
        <w:rPr>
          <w:rFonts w:ascii="Arial" w:hAnsi="Arial"/>
          <w:b/>
          <w:i w:val="0"/>
          <w:sz w:val="24"/>
        </w:rPr>
        <w:t>ambiente único</w:t>
      </w:r>
      <w:r>
        <w:rPr>
          <w:rFonts w:ascii="Arial" w:hAnsi="Arial"/>
          <w:b w:val="0"/>
          <w:i w:val="0"/>
          <w:sz w:val="24"/>
        </w:rPr>
        <w:t xml:space="preserve">, uma só máquina, o que impede generalizar entre hardwares distintos. O uso de </w:t>
      </w:r>
      <w:r>
        <w:rPr>
          <w:rFonts w:ascii="Arial" w:hAnsi="Arial"/>
          <w:b/>
          <w:i w:val="0"/>
          <w:sz w:val="24"/>
        </w:rPr>
        <w:t>apenas duas competências</w:t>
      </w:r>
      <w:r>
        <w:rPr>
          <w:rFonts w:ascii="Arial" w:hAnsi="Arial"/>
          <w:b w:val="0"/>
          <w:i w:val="0"/>
          <w:sz w:val="24"/>
        </w:rPr>
        <w:t xml:space="preserve">, que não captura variação sazonal da taxa de mudança. O </w:t>
      </w:r>
      <w:r>
        <w:rPr>
          <w:rFonts w:ascii="Arial" w:hAnsi="Arial"/>
          <w:b/>
          <w:i w:val="0"/>
          <w:sz w:val="24"/>
        </w:rPr>
        <w:t>cache quente</w:t>
      </w:r>
      <w:r>
        <w:rPr>
          <w:rFonts w:ascii="Arial" w:hAnsi="Arial"/>
          <w:b w:val="0"/>
          <w:i w:val="0"/>
          <w:sz w:val="24"/>
        </w:rPr>
        <w:t xml:space="preserve">, que impede isolar efeitos do cache de páginas do sistema operacional. E o </w:t>
      </w:r>
      <w:r>
        <w:rPr>
          <w:rFonts w:ascii="Arial" w:hAnsi="Arial"/>
          <w:b/>
          <w:i w:val="0"/>
          <w:sz w:val="24"/>
        </w:rPr>
        <w:t>oráculo parcial</w:t>
      </w:r>
      <w:r>
        <w:rPr>
          <w:rFonts w:ascii="Arial" w:hAnsi="Arial"/>
          <w:b w:val="0"/>
          <w:i w:val="0"/>
          <w:sz w:val="24"/>
        </w:rPr>
        <w:t>, pois a validação amostral cobre 200 eventos e não o universo, e o próprio oráculo deriva da mesma fonte de dados, o que limita sua independência.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6. Referências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ANDREAKIS, Andreas; PAPAPANAGIOTOU, Ioannis. </w:t>
      </w:r>
      <w:r>
        <w:rPr>
          <w:rFonts w:ascii="Arial" w:hAnsi="Arial"/>
          <w:b/>
          <w:i w:val="0"/>
          <w:sz w:val="24"/>
        </w:rPr>
        <w:t>DBLog: a watermark based change-data-capture framework</w:t>
      </w:r>
      <w:r>
        <w:rPr>
          <w:rFonts w:ascii="Arial" w:hAnsi="Arial"/>
          <w:b w:val="0"/>
          <w:i w:val="0"/>
          <w:sz w:val="24"/>
        </w:rPr>
        <w:t>. arXiv:2010.12597, 2020.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ARMBRUST, Michael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Delta Lake: high-performance ACID table storage over cloud object stores. </w:t>
      </w:r>
      <w:r>
        <w:rPr>
          <w:rFonts w:ascii="Arial" w:hAnsi="Arial"/>
          <w:b w:val="0"/>
          <w:i/>
          <w:sz w:val="24"/>
        </w:rPr>
        <w:t>Proceedings of the VLDB Endowment</w:t>
      </w:r>
      <w:r>
        <w:rPr>
          <w:rFonts w:ascii="Arial" w:hAnsi="Arial"/>
          <w:b w:val="0"/>
          <w:i w:val="0"/>
          <w:sz w:val="24"/>
        </w:rPr>
        <w:t>, v. 13, n. 12, p. 3411–3424, 2020.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CHRISTEN, Peter. </w:t>
      </w:r>
      <w:r>
        <w:rPr>
          <w:rFonts w:ascii="Arial" w:hAnsi="Arial"/>
          <w:b/>
          <w:i w:val="0"/>
          <w:sz w:val="24"/>
        </w:rPr>
        <w:t>Data matching</w:t>
      </w:r>
      <w:r>
        <w:rPr>
          <w:rFonts w:ascii="Arial" w:hAnsi="Arial"/>
          <w:b w:val="0"/>
          <w:i w:val="0"/>
          <w:sz w:val="24"/>
        </w:rPr>
        <w:t>: concepts and techniques for record linkage, entity resolution, and duplicate detection. Berlim: Springer, 2012.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FELLEGI, Ivan P.; SUNTER, Alan B. A theory for record linkage. </w:t>
      </w:r>
      <w:r>
        <w:rPr>
          <w:rFonts w:ascii="Arial" w:hAnsi="Arial"/>
          <w:b w:val="0"/>
          <w:i/>
          <w:sz w:val="24"/>
        </w:rPr>
        <w:t>Journal of the American Statistical Association</w:t>
      </w:r>
      <w:r>
        <w:rPr>
          <w:rFonts w:ascii="Arial" w:hAnsi="Arial"/>
          <w:b w:val="0"/>
          <w:i w:val="0"/>
          <w:sz w:val="24"/>
        </w:rPr>
        <w:t>, v. 64, n. 328, p. 1183–1210, 1969.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KIMBALL, Ralph; CASERTA, Joe. </w:t>
      </w:r>
      <w:r>
        <w:rPr>
          <w:rFonts w:ascii="Arial" w:hAnsi="Arial"/>
          <w:b/>
          <w:i w:val="0"/>
          <w:sz w:val="24"/>
        </w:rPr>
        <w:t>The data warehouse ETL toolkit</w:t>
      </w:r>
      <w:r>
        <w:rPr>
          <w:rFonts w:ascii="Arial" w:hAnsi="Arial"/>
          <w:b w:val="0"/>
          <w:i w:val="0"/>
          <w:sz w:val="24"/>
        </w:rPr>
        <w:t>. Indianapolis: Wiley, 2004.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KLEPPMANN, Martin. </w:t>
      </w:r>
      <w:r>
        <w:rPr>
          <w:rFonts w:ascii="Arial" w:hAnsi="Arial"/>
          <w:b/>
          <w:i w:val="0"/>
          <w:sz w:val="24"/>
        </w:rPr>
        <w:t>Designing data-intensive applications</w:t>
      </w:r>
      <w:r>
        <w:rPr>
          <w:rFonts w:ascii="Arial" w:hAnsi="Arial"/>
          <w:b w:val="0"/>
          <w:i w:val="0"/>
          <w:sz w:val="24"/>
        </w:rPr>
        <w:t>. Sebastopol: O'Reilly, 2017.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KREPS, Jay; NARKHEDE, Neha; RAO, Jun. Kafka: a distributed messaging system for log processing. In: WORKSHOP ON NETWORKING MEETS DATABASES (NetDB), 6., 2011, Atenas. </w:t>
      </w:r>
      <w:r>
        <w:rPr>
          <w:rFonts w:ascii="Arial" w:hAnsi="Arial"/>
          <w:b w:val="0"/>
          <w:i/>
          <w:sz w:val="24"/>
        </w:rPr>
        <w:t>Proceedings</w:t>
      </w:r>
      <w:r>
        <w:rPr>
          <w:rFonts w:ascii="Arial" w:hAnsi="Arial"/>
          <w:b w:val="0"/>
          <w:i w:val="0"/>
          <w:sz w:val="24"/>
        </w:rPr>
        <w:t xml:space="preserve"> […]. [S. l.: s. n.], 2011. p. 1–7.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LABIO, Wilburt J.; GARCIA-MOLINA, Hector. Efficient snapshot differential algorithms for data warehousing. In: INTERNATIONAL CONFERENCE ON VERY LARGE DATA BASES (VLDB), 22., 1996, Bombaim. </w:t>
      </w:r>
      <w:r>
        <w:rPr>
          <w:rFonts w:ascii="Arial" w:hAnsi="Arial"/>
          <w:b w:val="0"/>
          <w:i/>
          <w:sz w:val="24"/>
        </w:rPr>
        <w:t>Proceedings</w:t>
      </w:r>
      <w:r>
        <w:rPr>
          <w:rFonts w:ascii="Arial" w:hAnsi="Arial"/>
          <w:b w:val="0"/>
          <w:i w:val="0"/>
          <w:sz w:val="24"/>
        </w:rPr>
        <w:t xml:space="preserve"> […]. San Francisco: Morgan Kaufmann, 1996. p. 63–74.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MELNIK, Sergey </w:t>
      </w:r>
      <w:r>
        <w:rPr>
          <w:rFonts w:ascii="Arial" w:hAnsi="Arial"/>
          <w:b w:val="0"/>
          <w:i/>
          <w:sz w:val="24"/>
        </w:rPr>
        <w:t>et al.</w:t>
      </w:r>
      <w:r>
        <w:rPr>
          <w:rFonts w:ascii="Arial" w:hAnsi="Arial"/>
          <w:b w:val="0"/>
          <w:i w:val="0"/>
          <w:sz w:val="24"/>
        </w:rPr>
        <w:t xml:space="preserve"> Dremel: interactive analysis of web-scale datasets. </w:t>
      </w:r>
      <w:r>
        <w:rPr>
          <w:rFonts w:ascii="Arial" w:hAnsi="Arial"/>
          <w:b w:val="0"/>
          <w:i/>
          <w:sz w:val="24"/>
        </w:rPr>
        <w:t>Proceedings of the VLDB Endowment</w:t>
      </w:r>
      <w:r>
        <w:rPr>
          <w:rFonts w:ascii="Arial" w:hAnsi="Arial"/>
          <w:b w:val="0"/>
          <w:i w:val="0"/>
          <w:sz w:val="24"/>
        </w:rPr>
        <w:t>, v. 3, n. 1–2, p. 330–339, 2010.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RAHM, Erhard; DO, Hong Hai. Data cleaning: problems and current approaches. </w:t>
      </w:r>
      <w:r>
        <w:rPr>
          <w:rFonts w:ascii="Arial" w:hAnsi="Arial"/>
          <w:b w:val="0"/>
          <w:i/>
          <w:sz w:val="24"/>
        </w:rPr>
        <w:t>IEEE Data Engineering Bulletin</w:t>
      </w:r>
      <w:r>
        <w:rPr>
          <w:rFonts w:ascii="Arial" w:hAnsi="Arial"/>
          <w:b w:val="0"/>
          <w:i w:val="0"/>
          <w:sz w:val="24"/>
        </w:rPr>
        <w:t>, v. 23, n. 4, p. 3–13, 2000.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  <w:i w:val="0"/>
          <w:sz w:val="24"/>
        </w:rPr>
        <w:t xml:space="preserve">VASSILIADIS, Panos. A survey of extract–transform–load technology. </w:t>
      </w:r>
      <w:r>
        <w:rPr>
          <w:rFonts w:ascii="Arial" w:hAnsi="Arial"/>
          <w:b w:val="0"/>
          <w:i/>
          <w:sz w:val="24"/>
        </w:rPr>
        <w:t>International Journal of Data Warehousing and Mining</w:t>
      </w:r>
      <w:r>
        <w:rPr>
          <w:rFonts w:ascii="Arial" w:hAnsi="Arial"/>
          <w:b w:val="0"/>
          <w:i w:val="0"/>
          <w:sz w:val="24"/>
        </w:rPr>
        <w:t>, v. 5, n. 3, p. 1–27, 2009.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hAnsi="Arial"/>
          <w:b/>
          <w:i w:val="0"/>
          <w:sz w:val="28"/>
        </w:rPr>
        <w:t>7. Pendências antes de submeter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Pendência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Responsável</w:t>
            </w:r>
          </w:p>
        </w:tc>
        <w:tc>
          <w:tcPr>
            <w:tcW w:type="dxa" w:w="2268"/>
            <w:shd w:val="clear" w:fill="EFEFE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Prazo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18"/>
              </w:rPr>
              <w:t>Ler as 8 obras na fonte original.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Regra da spec §15: não se cita o que não foi lido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dividir 2 por integrante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24/ago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 xml:space="preserve">Ratificar o título (ADR-003 está como </w:t>
            </w:r>
            <w:r>
              <w:rPr>
                <w:rFonts w:ascii="Arial" w:hAnsi="Arial"/>
                <w:b w:val="0"/>
                <w:i/>
                <w:sz w:val="18"/>
              </w:rPr>
              <w:t>proposto</w:t>
            </w:r>
            <w:r>
              <w:rPr>
                <w:rFonts w:ascii="Arial" w:hAnsi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todas as frentes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24/ago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Conferir cada referência ABNT contra a norma exigida pela Univesp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antes da submissão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Preencher nomes completos e RAs dos 4 integrantes no cabeçalho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antes da submissão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Ajustar formatação ao modelo oficial da Univesp (fonte, espaçamento, capa)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antes da submissão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Confirmar a afirmação "a taxa mensal de mudança não está publicamente documentada" (§4) ou suavizá-la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antes da submissão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