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Dimensionamento de Equipes e Gestão Ergonômica em Unidades de Alimentação e Nutrição: Fundamentos Teóricos para Arquitetura de Software SaaS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administração de Unidades de Alimentação e Nutrição (UAN), sejam elas inseridas em complexos hospitalares de alta criticidade ou em plantas industriais de operação contínua, representa um dos maiores desafios da gestão de recursos humanos e da engenharia de produção. A intersecção entre a ciência da nutrição, a legislação trabalhista e as normas de segurança ocupacional exige um controle rigoroso sobre os fluxos operacionais. No contexto contemporâneo do desenvolvimento de plataformas tecnológicas, especificamente softwares ofertados como serviço (SaaS), o módulo de Recursos Humanos transcende a mera função de registro de ponto ou processamento de folha de pagamento. Ele deve atuar como um motor analítico preditivo, capaz de ingerir dados brutos de produção e transformá-los em inteligência de negócios, sugerindo contratações, realocações de turnos e emitindo alertas antecipados sobre ociosidade financeira ou sobrecarga ergonômica.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um sistema de gestão alcance esse nível de sofisticação e responsividade, sua arquitetura algorítmica não pode basear-se em empirismo. É imperativo que o código-fonte reflita as formulações matemáticas consagradas pela literatura acadêmica especializada em administração de serviços de alimentação, em harmonia com as diretrizes regulatórias do Conselho Federal de Nutricionistas (CFN) e as normativas do Ministério do Trabalho e Emprego (MTE). A ausência desse rigor teórico na programação de alertas resultará em sugestões falhas, que poderão onerar a empresa contratante com custos trabalhistas desnecessários ou, inversamente, expô-la a severos passivos jurídicos e previdenciários decorrentes de acidentes de trabalho e doenças ocupacionais.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pesquisa exaustiva estabelece o arcabouço teórico e as lógicas de negócios necessárias para a construção do referido módulo de RH. A análise aprofunda-se na decomposição das variáveis que regem o dimensionamento de pessoal, na estruturação de indicadores de rendimento em larga escala e na tradução das complexidades fisiológicas e biomecânicas impostas pela Norma Regulamentadora 17 (NR-17) em parâmetros computáveis.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Fórmulas de Dimensionamento de Pessoal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dimensionamento de equipes em uma UAN é um processo analítico contínuo que busca determinar o quantitativo ideal de colaboradores necessários para assegurar a produção e a distribuição de refeições, garantindo o padrão de qualidade higiênico-sanitária e nutricional exigido, sem comprometer a viabilidade econômica da operação (MEZOMO, 2015).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o desenvolvimento do software, a modelagem matemática deve ser fracionada em etapas sequenciais, onde o resultado de um indicador alimenta a equação do indicador subsequente, formando uma cadeia de cálculo determinística. A literatura baseia-se fundamentalmente na identificação dos postos fixos, na cobertura das ausências amparadas pela legislação e na provisão para faltas imprevisíveis.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 Cálculo do Indicador de Pessoal Fixo (IPF)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Indicador de Pessoal Fixo (IPF) é o alicerce numérico de toda a operação de recursos humanos na UAN. Ele representa a quantidade absoluta de funcionários que devem estar simultaneamente presentes no ambiente de trabalho para que o volume diário de refeições seja executado no tempo adequado (GANDRA; GAMBARDELLA, 1986).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que o SaaS calcule o IPF de forma automatizada, o sistema precisará extrair dados do módulo de produção (número de comensais) e do módulo de contratos (jornada de trabalho).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equação clássica que fundamenta a programação deste cálculo é estruturada da seguinte forma: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161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78161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algoritmo deve ser programado para tratar cada variável com extrema precisão, considerando as peculiaridades operacionais da unidade: A variável do número total de refeições não é uma simples contagem de pratos. Em ambientes hospitalares e industriais, oferecem-se refeições principais (almoço e jantar) e refeições intermediárias (desjejum, colações, lanches da tarde e ceias noturnas). A literatura de gestão preconiza que as preparações de menor complexidade não exigem o mesmo tempo de cocção e manipulação que uma refeição principal. Dessa forma, o sistema deve possuir uma função de conversão de equivalência. Conforme as diretrizes consagradas pelo próprio Conselho Federal de Nutricionistas, o cálculo do volume produtivo deve considerar que uma certa quantidade de pequenas refeições equivale a uma grande refeição (CFN, 2018).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conversão algorítmica padrão estabelece que dez pequenas refeições equivalem a uma grande refeição, permitindo a padronização matemática do tempo de preparo inserido na equação.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tempo médio por refeição, frequentemente referenciado como Indicador de Rendimento (IR), reflete o esforço operacional em minutos despendido para produzir uma unidade alimentar. Este tempo varia inversamente ao volume de produção; unidades maiores ganham eficiência através da economia de escala, da departamentalização do trabalho e do uso de maquinário industrial de alta capacidade (TEIXEIRA, 1997).</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parametrização destes tempos será detalhada na seção de produtividade, mas o software deve injetar dinamicamente o valor em minutos correspondente ao porte da UAN avaliada.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jornada diária de trabalho refere-se à carga horária estipulada em contrato, convertida em minutos (fator 60). Um aspecto vital para a lógica do SaaS é a capacidade de segmentar o cálculo do IPF por turnos quando a UAN opera ininterruptamente (24 horas), como é o caso de hospitais. Se o sistema detecta que há funcionários em regimes de 8 horas diárias e outros em regimes de 12 horas (plantonistas), a fórmula deve ponderar a jornada média ou segmentar o cálculo do IPF por turno de produção (MEZOMO, 2015).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Ilustrando a aplicação lógica para o motor de cálculo: Considere uma UAN hospitalar que serve o equivalente a 1.000 refeições principais diárias. A equipe opera predominantemente em uma jornada de 8 horas, e o banco de dados do sistema aponta que o tempo médio (IR) para esse volume é de 12 minutos por refeição (GANDRA; GAMBARDELLA, 1986).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rotina do código processará o seguinte cálculo: O numerador será o produto de 1.000 refeições por 12 minutos, resultando em 12.000 minutos de esforço produtivo exigido. O denominador converterá as 8 horas de jornada em 480 minutos laborais disponíveis por funcionário. A divisão de 12.000 por 480 resulta em um IPF de 25 funcionários fixos. Este número indica o efetivo mínimo de "chão de fábrica" que precisa estar logado e ativo no sistema de ponto para garantir a operação diária.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 Indicador de Substituição de Descanso (ISD) e o Pessoal Substituto (IPS)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falha comum em sistemas genéricos de RH é sugerir a contratação apenas do pessoal fixo. A legislação trabalhista brasileira assegura ao trabalhador o direito inalienável ao descanso semanal remunerado, a férias anuais e a folgas em feriados civis e religiosos. Considerando que uma UAN de um hospital ou de uma siderúrgica não pode fechar aos domingos e feriados, a ausência legal do trabalhador fixo criará uma lacuna na linha de produção que resultará, inevitavelmente, no colapso do serviço. Para preencher essas lacunas, o SaaS deve processar a necessidade de "folguistas", ou Pessoal Substituto (IPS), utilizando o Indicador de Substituição de Descanso (ISD) (MEZOMO, 2015).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ISD é um coeficiente que correlaciona os dias efetivamente trabalhados no ano com os dias de afastamento remunerado. Sua lógica matemática deve ser parametrizada de acordo com o tipo de escala cadastrada no perfil do funcionário. A fórmula base é:</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85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15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inteligência do software deve identificar as diferentes jornadas para aplicar a somatória correta. Em um regime de 6 dias de trabalho por 1 dia de descanso (6x1), o trabalhador tem direito a 30 dias de férias, aproximadamente 48 domingos de folga (excluindo os domingos que coincidem com as férias) e uma média de 12 feriados nacionais, estaduais e municipais que recaem em dias úteis. A somatória dos dias de descanso totaliza cerca de 90 dias (MEZOMO, 2015).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Inserindo na equação, subtrai-se 90 de 365, resultando em 275 dias de labor. A divisão de 275 por 90 gera um ISD aproximado de 3,05.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cenário muda drasticamente quando o sistema avalia escalas hospitalares noturnas de 12 horas de trabalho por 36 horas de descanso (12x36). Neste regime, o empregado goza dos mesmos 30 dias de férias, porém usufrui de folgas contínuas ao longo do ano devido à alternância dos dias. O cálculo dos dias não trabalhados por alternância alcança 168 dias no ano. A somatória dos descansos salta para 198 dias (MEZOMO, 2015).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Subtraindo 198 de 365, restam 167 dias efetivamente trabalhados. A divisão de 167 por 198 resulta em um ISD de 0,84. Esta diferença de variáveis ressalta a importância de um código dinâmico que não utilize coeficientes estáticos.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o coeficiente ISD gerado, o sistema prossegue para a determinação do Indicador de Pessoal Substituto (IPS), cuja fórmula é a razão direta entre o pessoal fixo necessário e o coeficiente de descanso: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858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15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Retomando o cenário computacional anterior, onde o módulo de produção exigia um IPF de 25 trabalhadores alocados sob a escala 6x1 (ISD = 3,05). O sistema dividirá 25 por 3,05, obtendo 8,19 (MEZOMO, 2015).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Neste momento, entra em cena uma regra de negócio crítica para a interface de alertas do SaaS: cálculos de recursos humanos relativos a substitutos não permitem fração inferior, sob pena de descobertura de turno. O algoritmo deve obrigatoriamente realizar o arredondamento matemático para o número inteiro imediatamente superior (teto). Consequentemente, o sistema deve sugerir a contratação de 9 funcionários substitutos para garantir o pleno direito às férias e folgas da equipe titular de 25 membros.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O Controle Produtivo via Indicador de Absenteísmo Diário (IAD) e a Composição do Pessoal Total (IPT)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das folgas e férias programadas e tuteladas pela lei trabalhista, a operação diária de uma cozinha industrial lida constantemente com eventos imprevistos. O absenteísmo abrange faltas não justificadas, licenças médicas decorrentes de síndromes gripais, atestados por problemas gastrointestinais ou afastamentos ortopédicos de curto prazo. A literatura de administração de serviços estabelece que, em ambientes hospitalares, a tolerância aceitável para o índice de absenteísmo gira em torno do teto de 5% (MEZOMO, 2002).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Quando a ausência não programada supera esse índice, o nível de serviço é diretamente impactado, gerando atrasos na distribuição ou queda na qualidade dos alimentos.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SaaS desempenhará uma função consultiva estratégica ao monitorar o Indicador de Absenteísmo Diário (IAD). A fórmula analítica para relatórios retrospectivos divide a média diária de empregados ausentes pelo número de pessoal fixo, multiplicando-se por cem (MEZOMO, 2015).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o sistema processa os dados de catracas eletrônicas ou relógios de ponto e detecta uma média de 1,2 funcionários faltantes ao dia em um universo de 25 funcionários fixos, o cálculo resultará em um IAD real de 4,8%. Estando abaixo de 5%, o painel gerencial do sistema não emitirá alarmes críticos.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entanto, para a função preditiva de "sugestão de contratação" requerida pelo usuário, o IAD deve ser tratado como uma reserva de contingência. A lógica do algoritmo deve projetar o contingente total assumindo a premissa de um cenário onde o absenteísmo consumirá até 5% da força de trabalho diária. O sistema calcula 5% do valor do IPF (5% de 25 = 1,25) para descobrir o quantitativo de "funcionários de reserva" que devem compor a folha de pagamento (MEZOMO, 2015).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somatório final de todas estas variáveis culmina no Indicador de Pessoal Total (IPT), a métrica derradeira que será exibida ao gestor de RH na interface do sistema: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Agregando os valores computados ao longo do processo: 25 colaboradores fixos (IPF) somados a 9 colaboradores substitutos (IPS) e 2 colaboradores de contingência para absenteísmo (IAD arredondado). O painel do SaaS registrará que o quadro operacional pleno e seguro (IPT) da UAN para a demanda de 1.000 refeições diárias deve ser composto por 36 funcionários (MEZOMO, 2015).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Qualquer efetivo ativo abaixo deste número embasará a emissão do alerta de "Sobrecarga da Equipe" e ativará o botão de "Sugerir Novas Contratações".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Parâmetros Numéricos Legais e Restritivos: A Resolução CFN nº 600/2018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engenharia do software não pode limitar-se apenas à volumetria operacional indiferenciada. A mão de obra de uma UAN é heterogênea e engloba profissionais de base (auxiliares de limpeza, cozinheiros, açougueiros) e profissionais de nível superior, cuja atuação é fortemente regulamentada pelo Estado. O Conselho Federal de Nutricionistas (CFN), entidade de classe com poder de polícia administrativa, dita as regras impositivas para a presença e a carga horária dos responsáveis técnicos.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antigas normativas, como a Resolução CFN nº 380/2005, foram expressamente revogadas para modernizar e rigorizar os critérios de assistência nutricional, culminando na publicação da Resolução CFN nº 600, de 25 de fevereiro de 2018 (CFN, 2018).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Anexo III deste diploma legal estabelece Parâmetros Numéricos Mínimos de Referência por área de atuação. O não cumprimento destes parâmetros constitui infração ética e legal, passível de multas substanciais aplicadas pelos Conselhos Regionais (CRN) aos estabelecimentos contratantes (CFN, 2018).</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Portanto, para o SaaS de RH, os valores estabelecidos na Resolução 600/2018 não são meras sugestões teóricas; eles devem ser programados como restrições absolutas (hard constraints) no banco de dados.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complexidade paramétrica varia de acordo com o segmento de mercado do cliente. Na Área de Nutrição em Alimentação Coletiva, que engloba UANs Institucionais (restaurantes industriais, empresas de autogestão e concessionárias de alimentação), a regra geral descrita determina que a gestão e a supervisão das rotinas de produção devem contar com uma carga horária técnica mínima. O sistema deve estar parametrizado para exigir o equivalente a 30 horas semanais técnicas do nutricionista a cada incremento de 1.000 grandes refeições servidas por dia (CFN, 2018).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software deverá manter um gatilho de monitoramento (trigger): sempre que a média móvel de produção mensal cruzar a barreira de milhar, um alerta de "Inconformidade Legal" deve notificar o RH para ampliar a jornada do nutricionista vigente ou abrir vaga para um segundo profissional.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o cliente é uma unidade de saúde, as exigências escalonam severamente devido ao risco nutricional dos pacientes. No segmento de Instituições de Longa Permanência para Idosos (ILPIs), que figuram como um dos focos de maior fiscalização, a Tabela 2 do Anexo III estipula uma matriz rígida baseada no número de refeições diárias. A lógica relacional a ser implantada no software é a seguinte (CFN, 2018)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Faixa de Volume (Grandes Refeições/Dia)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Contratação Mínima Exigida (Nutricionistas)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Carga Horária Técnica Exigida por Profissional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Até 100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profissional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horas semanais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a 300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profissional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horas semanais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301 a 500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profissionais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horas semanais cada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501 a 2.000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profissionais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horas semanais cada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2.001 a 3.000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profissionais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horas semanais cada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Acima de 3.000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profissionais + 1 a cada 1.000 extras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horas semanais cada</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tabela deve atuar como o núcleo do módulo de compliance regulatório. Caso o SaaS detecte que uma ILPI cliente cadastrou 450 refeições no módulo de produção, mas na folha de pagamento consta apenas 1 nutricionista com jornada de 40h, a inteligência do sistema identificará uma violação (a norma exige 2 profissionais de 30h, totalizando 60 horas técnicas). O sistema emitirá um alerta jurídico informando a iminência de autuação pelo conselho de classe, instruindo a imediata adequação do quadro (CFN, 2018).</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 Proporção Interna do Efetivo Operacional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Resolvido o aspecto legal do profissional de nível superior, a inteligência artificial do sistema deve auxiliar o recrutamento distribuindo o montante do IPT calculado para a base operacional. Quantos cozinheiros são necessários em relação ao número de serventes? O organograma de uma UAN é desenhado a partir da delegação de competências (preparo de carnes, cocção, confeitaria, higienização pesada) (TEIXEIRA, 1997).</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Estudiosos da administração de UANs, notadamente Teixeira e Mezomo, consolidaram estatísticas empíricas que norteiam a modelagem dessa hierarquia operacional. O sistema deve dividir o universo de vagas utilizando faixas percentuais padrão, que podem ser ajustadas finamente pelo gestor: O corpo de chefia e liderança, englobando o Chef de Cozinha, os líderes de turno e o almoxarife, geralmente representa entre 8% e 10% do efetivo total. O corpo técnico especializado em cocção, constituído por cozinheiros principais, confeiteiros, padeiros e açougueiros, abrange de 20% a 25% do quadro. A vasta maioria da força de trabalho, designada para as atividades de pré-preparo intenso (descascar vegetais, cortar legumes) e atividades de higienização de ambientes, maquinários e panelões (Auxiliares de Cozinha e Auxiliares de Serviços Gerais - ASG), deve representar de 65% a 72% do montante planejado (MEZOMO, 2002).</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Essa taxonomia embutida no algoritmo garantirá que o botão de "Sugerir Contratações" gere requisições de vagas balanceadas e coerentes com a realidade do mercado.</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Indicadores de Produtividade em UAN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mero dimensionamento da equipe é insuficiente para a condução dinâmica de um negócio no modelo SaaS. A flutuação da demanda de comensais, a introdução de novos pratos no cardápio e a sazonalidade afetam o rendimento diário da equipe. O software precisa ser equipado com um módulo de monitoramento de performance que analise a produtividade real em contraposição aos referenciais teóricos. É mediante a interpretação matemática desses indicadores que a interface alertará o usuário sobre os extremos indesejáveis da gestão: a sobrecarga (potencial geradora de acidentes e queda de qualidade) e a ociosidade (potencial geradora de prejuízos financeiros em folha de pagamento excedente).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 Fator Tempo e a Matriz de Referência de Gandra e Gambardella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ferramenta mais robusta para analisar o custo-tempo da mão de obra em UANs provém da matriz construída por Gandra e Gambardella (1986). Estes pesquisadores mapearam empiricamente o fenômeno da economia de escala em cozinhas industriais (GANDRA; GAMBARDELLA, 1986).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esforço exigido para organizar a praça de trabalho, ligar o maquinário pesado e higienizar o ambiente no fim do turno é um custo temporal fixo, quase inalterado, independentemente de se produzir 500 ou 700 refeições. Logo, conforme o volume total aumenta, o tempo marginal gasto em cada prato adicional diminui exponencialmente.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matriz de referência de Gandra, essencial para a calibração do algoritmo preditivo, estabelece o "tempo ideal" (n minutos) despendido por funcionário para a elaboração de uma refeição, associado a faixas de produção volumétrica (GANDRA; GAMBARDELLA, 1986)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de Produção (Refeições servidas por 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 Médio Aceitável por Refeição (Indicador de Rendimento)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300 a 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 14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500 a 700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a 13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700 a 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a 10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1.000 a 1.300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a 9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1.300 a 2.500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 8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Acima de 2.500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Menos de 7 minutos</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motor de análise de dados do SaaS utilizará essa matriz normativa como linha de base (baseline). Diariamente, o sistema capturará as horas efetivamente trabalhadas a partir do relógio de ponto eletrônico, extrairá o total de refeições do sistema de catracas ou PDV do refeitório e calculará o Indicador de Rendimento da Mão de Obra (IRD) em tempo real. A lógica do cálculo do IRD real traduz-se na seguinte formulação (MEZOMO, 2015)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382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Considere um cenário onde a matriz de negócios analisa uma UAN que, num dado dia útil, contou com a presença de 20 funcionários operando em regime de 8 horas, servindo exatas 1.000 refeições. O algoritmo multiplica 20 por 8 (160 horas homem), e em seguida por 60, obtendo 9.600 minutos de produção total. A divisão deste valor pelas 1.000 refeições retorna um IRD real de 9,6 minutos despendidos para a concepção e distribuição de cada prato (MEZOMO, 2015).</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etapa seguinte do processamento sistêmico é a classificação cruzada (cross-checking). O sistema compara os 9,6 minutos computados com a faixa correspondente da tabela de Gandra para "1.000 refeições" (que exige um tempo de 10 a 13 minutos). O tempo auferido é tangencialmente inferior à base histórica. Esta variação aciona a inteligência de alertas. Quando o SaaS detecta um IRD acentuadamente menor que os limites teóricos de Gandra, conclui-se logicamente que a equipe está operando com uma aceleração não natural, cobrindo déficits de pessoal através do incremento exacerbado de velocidade física. Esse quadro emite o alerta gerencial de "Sobrecarga de Produção – Risco Operacional Elevado", apontando para a fadiga precoce e a probabilidade aumentada de acidentes com instrumentos perfurocortantes (facas) e queimaduras devido à pressa na manipulação de caldeiras sob pressão.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Diametralmente oposto, se o software cruzar os dados de uma UAN servindo pratos simples e identificar um IRD real de, por exemplo, 16 minutos por refeição para um volume onde a norma prevê 12 minutos, a disparidade é flagrante. A literatura infere que tempos produtivos persistentemente acima de 15 minutos são o sintoma sistêmico central do excesso de contingente humano, derivado, por vezes, da extrema simplicidade do cardápio em face de uma equipe superdimensionada (MEZOMO, 2015).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Imediatamente, a plataforma lançará o alerta financeiro de "Ociosidade e Ineficiência", sugerindo ao gestor de RH o remanejamento de colaboradores para outras unidades fabris do grupo ou o congelamento de novas contratações para contenção do desperdício na folha de pagamento.</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 Aferição Direta: Indicador de Produtividade Individual (IPI)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Enquanto a matriz de Gandra lida primariamente com a grandeza do tempo (minutos/refeição), a visão de Mezomo agrega valor analítico ao SaaS através de um indicador focalizado no entregável tangível: o Indicador de Produtividade Individual (IPI), que reflete de forma inconteste o número de refeições suportadas nas costas de um único colaborador ao longo do seu turno (MEZOMO, 2015).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processamento do IPI dispensa a contagem de horas e pauta-se na razão direta: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23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estabelecido nos axiomas da economia de escala em serviços de alimentação, grandes arranjos fabris absorvem uma maior produtividade por indivíduo devido ao pesado investimento em capital técnico – marmiteiros industriais que cozinham duzentos quilos de arroz em trinta minutos sem intervenção humana contínua, fornos combinados computadorizados e túneis automatizados de lavagem de louças. Assim, a curva do IPI ideal eleva-se proporcionalmente ao tamanho do contrato. A tabela de avaliação de Mezomo, que deve ser inscrita no código da ferramenta como um termômetro de desempenho, estabelece os seguintes limiares de segurança e eficiência (MEZOMO, 2015)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Mensurado da UAN (Refeições por 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Parâmetro do IPI Ideal (Refeições suportadas por empregado)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Até 100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funcionário para cada 30 refeições (IPI = 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100 a 300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funcionário para cada 35 refeições (IPI = 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300 a 500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funcionário para cada 40 refeições (IPI = 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500 a 1.000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funcionário para cada 50 refeições (IPI =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1.000 a 1.500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funcionário para cada 55 refeições (IPI = 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1.500 a 3.000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funcionário para cada 60 refeições (IPI = 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Demandas que ultrapassem 3.000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 teto de 1 funcionário para cada 66 refeições (IPI = 66)</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interface gráfica do usuário no painel do software deve utilizar estes valores para colorir gráficos em tempo real (vermelho para risco, verde para adequação, amarelo para alerta). Caso o registro de ponto indique 25 cozinheiros e serventes em ação num pico de produção que gerou 2.000 pratos industriais, o cálculo simplificado determinará um IPI real de 80 refeições por cabeça. Confrontando a tabela, o máximo admitido para o intervalo de 1.500 a 3.000 pratos é um fator de 60 (MEZOMO, 2015).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Um resultado de 80 indica que a equipe está operando 33% acima do limite de exaustão fisiológica aceito pela literatura. O SaaS transmutará este número frio numa diretiva gerencial crítica, bloqueando cortes na escala, orientando o pagamento imediato de horas extras temporárias para absorção do choque de demanda e acionando o recrutamento emergencial de profissionais folguistas até que o IPI recue para a margem de segurança dos 60 pratos per capita.</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Ergonomia e NR-17 na Prática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modelos matemáticos de Teixeira, Gandra e Mezomo equacionam as forças produtivas sob o espectro da eficiência laboratorial e da fluidez do tempo. Todavia, a atividade-fim em uma cozinha industrial é visceralmente física, demandando intensa solicitação musculoesquelética, exposição severa a agentes ambientais extenuantes e elevado engajamento atencional. Inserir a variável humana no algoritmo sem considerar as leis da biomecânica e os regulamentos estatais é expor a plataforma a falhas sistêmicas.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legislação que rege a tutela do esforço humano e fundamenta as ações fiscais dos auditores do Ministério do Trabalho é a Norma Regulamentadora nº 17 (NR-17 – Ergonomia), cujo texto modernizado pelas Portarias MTP de 2021 e 2022 revolucionou a responsabilização corporativa (BRASIL, 2021).</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Para um software avançado de RH, a NR-17 atua como o elo entre a produtividade teórica e o limite biológico admissível. A lei impõe que a organização do trabalho deve adaptar-se às características psicofisiológicas do trabalhador, e não o inverso (BRASIL, 2021).</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No ecossistema da plataforma, isso implica que as diretrizes ergonômicas atuarão como moduladores matemáticos (redutores) nas expectativas de desempenho e exigirão do gestor intervenções baseadas em dados nos campos da movimentação de cargas, ambiência térmica e controle da cadência laborativa.</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Biomecânica, Movimentação de Cargas e a Geometria do Esforço (Item 17.5)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recepção de hortifrúti em toneladas, o tombamento de sacarias de cereais nos estoques secos, a manipulação de câmaras frias com caixas de monoblocos de proteínas e o arrasto de caldeirões preenchidos com fluidos sob fervura representam as atividades com maior potencial de morbidade e sinistralidade na UAN. A patogênese das Lesões por Esforços Repetitivos e Doenças Osteomusculares Relacionadas ao Trabalho (LER/DORT) nessas funções é farta.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subseção 17.5 da norma incide cirurgicamente sobre o levantamento, o transporte e a descarga individual de cargas. O texto da legislação proíbe cabalmente a exigência ou até mesmo a simples admissão do transporte de cargas por via manual quando o peso representar um fator de comprometimento irremediável para a higidez física do operador (BRASIL, 2021).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Uma diretiva estrutural de imenso impacto na gestão de dados demográficos pelo SaaS encontra-se no item 17.5.1.1, que estipula a obrigatoriedade absoluta de redução da carga suportada quando as atividades de movimentação forem conduzidas por mulheres e por trabalhadores de idade inferior à maioridade plena, nos casos em que o labor for permitido (BRASIL, 2021).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 ponto de vista da arquitetura de software, essa diferenciação fisiológica imposta por lei obriga o módulo analítico a ler a composição por gênero (gender mix) e faixa etária cadastrada nos perfis dos colaboradores locados como Auxiliares de Estoque ou ASGs. Se a base de dados de uma determinada UAN indicar uma linha de frente de recebimento de suprimentos composta em sua maioria por trabalhadoras do sexo feminino, o algoritmo deverá internalizar o fato de que o rendimento de estivagem e carregamento mecânico será – e deve ser – menor e mais cadenciado, em cumprimento à lei. Para manter o mesmo tempo de processamento logístico interno e evitar o gargalo no indicador temporal de Gandra, o sistema compensará logicamente a restrição ergonômica sugerindo a ampliação do coeficiente do Pessoal Substituto (IPS) ou sinalizando à gestão de compras a necessidade mandatória de aquisição de meios técnicos facilitadores (empilhadeiras manuais, carros pantográficos e monovias aéreas) (BRASIL, 2021).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legislação de 2022 introduziu também métricas espaciais objetivas que afetam o desenho arquitetônico dos postos. O item 17.5.2.1 estabelece a proibição enfática do levantamento rotineiro (não eventual) de cargas quando a distância de alcance horizontal no instante da pega da mercadoria superar 60 centímetros em relação ao eixo do corpo do funcionário (BRASIL, 2021).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Bancadas de pré-preparo de hortaliças excessivamente largas e ilhas de porcionamento mal desenhadas forçam o trabalhador a realizar flexões prolongadas e rotações nocivas do tronco com peso em suspensão (item 17.5.2.a) (BRASIL, 2021).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Quando o gestor lançar no sistema inspeções do SESMT (Serviço Especializado em Engenharia de Segurança e em Medicina do Trabalho) relatando postos de trabalho em desconformidade geométrica, o SaaS deve gerar o Alerta de Passivo Ergonômico. Se o redesenho físico do espaço (retrofit) não for imediato, a única solução legal para mitigar o colapso físico é a adoção de ações listadas no item 17.5.4.e: limitação temporal e inserção de pausas compensatórias (BRASIL, 2021).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software recalibrará a equação inicial do IPF. Se o posto exige pausas de dez minutos contínuos a cada duas horas de esforço de alavancagem, a jornada produtiva efetiva deixa de ser os teóricos 480 minutos da equação e regride para cerca de 440 minutos reais (BRASIL, 2021).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redução do denominador na fórmula eleva imediatamente a quantidade de empregados demandada na linha de montagem das refeições para garantir a entrega da mesma quantidade de bandejas no refeitório, demonstrando ao diretor financeiro como o design ergonômico incorreto encarece substancialmente a folha de contratações.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Sobrecarga Termometabólica e Restrições Ambientais (Item 17.8)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Outro vetor de desgaste sistêmico em operações de grande escala é o ambiente microclimático. O trabalho à beira do fogo e das chapas irradiadoras nas áreas de preparo principal impõe estresse térmico grave, somado ao denso estresse higrométrico gerado pelos vapores em suspensão provindos da cocção e do setor de higienização mecanizada (cúpulas de lavagem). Em ambientes de altas temperaturas, a fisiologia cardiovascular humana redireciona o fluxo sanguíneo muscular para a derme como mecanismo de dissipação calórica, o que deprime agudamente a força contrátil e agrava o esgotamento precoce (BRASIL, 2021).</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NR-17 é incisiva ao definir que a finalidade da normatização é promover o conforto térmico contínuo e preservar a eficiência biológica (itens 17.1.1 e 17.8.4.2) (BRASIL, 2021).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lei determina que se providencie não só hidratação fluida permanente, mas também o acolhimento para refazimento sistêmico (Item 8.3), obrigando os empregadores a manter instalações de recuperação térmico-climática com assentos próximos às áreas de labor, alocadas em ambientes climatizados (BRASIL, 2021).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Ademais, a mitigação da irradiância na fonte exige o provimento minucioso e o treinamento sobre EPIs destinados à defesa térmica, notadamente luvas e mangotes de aramida para alta resistência e aventais aluminizados contra o calor radiante (BRASIL, 2021).</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Nesse cenário, a interligação do software com a realidade do clima fabril converte-se em um enorme ativo tecnológico. Por meio de Integração via APIs com sensores ambientais de Internet das Coisas (IoT) presentes nas cozinhas ou da ingestão de laudos de LTCAT (Laudo Técnico das Condições Ambientais de Trabalho), o módulo tomará ciência de que a unidade X opera em meses de verão sob índice IBUTG em faixas de sobrecarga térmica classificada. Conhecendo a queda forçada do rendimento metabólico pela intermação ocupacional, o sistema aplicará um deflator no Indicador de Produtividade Individual (IPI). Se a diretriz normatizada sob a ótica de Mezomo tolerava um IPI de 50 pratos por servente, o algoritmo do módulo de RH deve agir proativamente, reduzindo este "teto tolerado" provisoriamente para 45 ou 40 pratos (MEZOMO, 2015).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Ao diminuir a capacidade limite individual devido ao desconforto sistêmico severo, o sistema induz o gestor a convocar profissionais horistas (part-time) ou ampliar o quadro sazonalmente, resguardando o trabalhador do infarto miocárdico e da síncope por calor nas imediações dos fornos.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Ritmo Impositivo, Organização do Trabalho e Fadiga Psicofisiológica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imposição legal da NR-17 não se satisfaz meramente com mobiliário, calor ou caixas pesadas; ela alcança as esferas cognitivas e estruturais através do processo de Avaliação Ergonômica Preliminar (AEP). Alinhado organicamente com o Gerenciamento de Riscos Ocupacionais (GRO) imposto pela NR-01 (itens 17.3.1.2 e subsequentes), a nova NR-17 estabelece que o diagnóstico das inadequações das situações de labor deve obrigatoriamente se integrar ao inventário de riscos e embasar as propostas corretivas do plano de ação global corporativo (PGR) (BRASIL, 2021).</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Nas UANs, a cadência é regida por prazos fatais; a logística de distribuição não suporta flexibilização de horários. O fenômeno de pico de distribuição, conhecido jargão técnico como "horário de rampa" – o estreito interregno de duas horas no almoço empresarial onde o ápice do quantitativo de operários dirige-se aos bufês simultaneamente –, condensa toda a pressão psicológica e motora sobre a brigada do restaurante. Este choque atencional e coordenativo sobrecarrega os aspectos psicossociais e a organização do trabalho descritos pela norma (BRASIL, 2021).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inteligência analítica de dados da plataforma SaaS terá aqui sua consolidação preditiva máxima. Ao longo dos ciclos laborais de uma conta cliente que obstinadamente nega aprovações de contratação sugeridas, o banco de dados capturará uma realidade insofismável: O sistema relata "Sobrecarga Alta" (IPI superior a 60 refeições, IRD abaixo de 8 minutos) mantida de modo artificial por semanas (MEZOMO, 2015).</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Os colaboradores titulares são pressionados pela restrição temporal (a rampa não pode parar).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Historicamente, o choque contra a matriz fisiológica provoca a ruptura. A curva gráfica mensal do Indicador de Absenteísmo Diário (IAD) na dashboard da gestão iniciará sua ascendência vertiginosa (MEZOMO, 2002).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Inicialmente sob controle (taxa endêmica de 5%), saltará celeremente para 12%, 18%. As faltas abruptas ocorrem em razão de mialgias, crises hipertensivas e quadros reativos de estresse de burnout. Se as faltas disparam (numerador do absenteísmo sobe) e as vagas permanecem estagnadas (denominador do pessoal total não muda), o coeficiente IPI das dezenas de remanescentes explode para níveis grotescos num ciclo vicioso letal, onde as lesões multiplicam o desfalque que atinge e fere o trabalhador adjacente (MEZOMO, 2015).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gestor moderno dotado desse SaaS, o alerta não indicará apenas a necessidade operacional prosaica de "falta de pessoal". A mensagem codificará a iminência de que a organização do trabalho desequilibrada (NR-17, item 17.4) e diagnosticada na AEP está convertendo-se em violação das obrigações integradas de PGR (NR-01) e despoletando riscos jurídicos de caracterização de culpa in vigilando em eventuais contenciosos de doenças do trabalho ou ações regressivas do INSS (BRASIL, 2021).</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tecnológica de um módulo de Recursos Humanos guiado por estes pressupostos acadêmicos, matemáticos e jurídicos não configura apenas a digitalização das planilhas de RH. Trata-se da ascensão da governança corporativa no segmento Food Service, substituindo a ação instintiva e empírica por deliberações orientadas a dados (data-driven decisions) profundamente embasadas na ciência do trabalho e na dignidade do corpo funcional.</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Referências Bibliográficas (Rigorosamente em formato ABNT)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literatura e a documentação normativa empregadas para a construção dos balizadores lógicos sistêmicos, modelagens matemáticas operacionais e fundamentações fisiológicas atreladas à arquitetura do software consistem no seguinte referencial consolidado: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Ministério do Trabalho e Previdência. </w:t>
      </w:r>
      <w:r w:rsidDel="00000000" w:rsidR="00000000" w:rsidRPr="00000000">
        <w:rPr>
          <w:rFonts w:ascii="Google Sans" w:cs="Google Sans" w:eastAsia="Google Sans" w:hAnsi="Google Sans"/>
          <w:b w:val="1"/>
          <w:bCs w:val="1"/>
          <w:color w:val="1f1f1f"/>
          <w:rtl w:val="0"/>
        </w:rPr>
        <w:t xml:space="preserve">Norma Regulamentadora nº 17 (NR-17) - Ergonomia</w:t>
      </w:r>
      <w:r w:rsidDel="00000000" w:rsidR="00000000" w:rsidRPr="00000000">
        <w:rPr>
          <w:rFonts w:ascii="Google Sans" w:cs="Google Sans" w:eastAsia="Google Sans" w:hAnsi="Google Sans"/>
          <w:color w:val="1f1f1f"/>
          <w:rtl w:val="0"/>
        </w:rPr>
        <w:t xml:space="preserve">. Portaria MTP nº 423, de 07 de outubro de 2021, com redação dada de dezembro de 2022. Diário Oficial da União: seção 1, Brasília, DF, 2022. Disponível no compêndio oficial de participação social e comissões tripartites do MTE.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CONSELHO FEDERAL DE NUTRICIONISTAS (CFN). </w:t>
      </w:r>
      <w:r w:rsidDel="00000000" w:rsidR="00000000" w:rsidRPr="00000000">
        <w:rPr>
          <w:rFonts w:ascii="Google Sans" w:cs="Google Sans" w:eastAsia="Google Sans" w:hAnsi="Google Sans"/>
          <w:b w:val="1"/>
          <w:bCs w:val="1"/>
          <w:color w:val="1f1f1f"/>
          <w:rtl w:val="0"/>
        </w:rPr>
        <w:t xml:space="preserve">Resolução CFN nº 600, de 25 de fevereiro de 2018</w:t>
      </w:r>
      <w:r w:rsidDel="00000000" w:rsidR="00000000" w:rsidRPr="00000000">
        <w:rPr>
          <w:rFonts w:ascii="Google Sans" w:cs="Google Sans" w:eastAsia="Google Sans" w:hAnsi="Google Sans"/>
          <w:color w:val="1f1f1f"/>
          <w:rtl w:val="0"/>
        </w:rPr>
        <w:t xml:space="preserve">. Dispõe sobre a definição das áreas de atuação do nutricionista e suas atribuições, indica parâmetros numéricos mínimos de referência. Diário Oficial da União: seção 1, Brasília, DF, p. 157, 20 abr. 2018.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CONSELHO FEDERAL DE NUTRICIONISTAS (CFN). </w:t>
      </w:r>
      <w:r w:rsidDel="00000000" w:rsidR="00000000" w:rsidRPr="00000000">
        <w:rPr>
          <w:rFonts w:ascii="Google Sans" w:cs="Google Sans" w:eastAsia="Google Sans" w:hAnsi="Google Sans"/>
          <w:b w:val="1"/>
          <w:bCs w:val="1"/>
          <w:color w:val="1f1f1f"/>
          <w:rtl w:val="0"/>
        </w:rPr>
        <w:t xml:space="preserve">Resolução CFN nº 380, de 28 de dezembro de 2005</w:t>
      </w:r>
      <w:r w:rsidDel="00000000" w:rsidR="00000000" w:rsidRPr="00000000">
        <w:rPr>
          <w:rFonts w:ascii="Google Sans" w:cs="Google Sans" w:eastAsia="Google Sans" w:hAnsi="Google Sans"/>
          <w:color w:val="1f1f1f"/>
          <w:rtl w:val="0"/>
        </w:rPr>
        <w:t xml:space="preserve">. (Revogada pela Resolução CFN nº 600/2018). Brasília, DF, 2005.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GANDRA, Y. R.; GAMBARDELLA, A. M. D. </w:t>
      </w:r>
      <w:r w:rsidDel="00000000" w:rsidR="00000000" w:rsidRPr="00000000">
        <w:rPr>
          <w:rFonts w:ascii="Google Sans" w:cs="Google Sans" w:eastAsia="Google Sans" w:hAnsi="Google Sans"/>
          <w:b w:val="1"/>
          <w:bCs w:val="1"/>
          <w:color w:val="1f1f1f"/>
          <w:rtl w:val="0"/>
        </w:rPr>
        <w:t xml:space="preserve">Avaliação de serviços de nutrição e alimentação</w:t>
      </w:r>
      <w:r w:rsidDel="00000000" w:rsidR="00000000" w:rsidRPr="00000000">
        <w:rPr>
          <w:rFonts w:ascii="Google Sans" w:cs="Google Sans" w:eastAsia="Google Sans" w:hAnsi="Google Sans"/>
          <w:color w:val="1f1f1f"/>
          <w:rtl w:val="0"/>
        </w:rPr>
        <w:t xml:space="preserve">. 2. ed. São Paulo: Sarvier, 1986.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MEZOMO, I. B. </w:t>
      </w:r>
      <w:r w:rsidDel="00000000" w:rsidR="00000000" w:rsidRPr="00000000">
        <w:rPr>
          <w:rFonts w:ascii="Google Sans" w:cs="Google Sans" w:eastAsia="Google Sans" w:hAnsi="Google Sans"/>
          <w:b w:val="1"/>
          <w:bCs w:val="1"/>
          <w:color w:val="1f1f1f"/>
          <w:rtl w:val="0"/>
        </w:rPr>
        <w:t xml:space="preserve">Os serviços de alimentação: planejamento e administração</w:t>
      </w:r>
      <w:r w:rsidDel="00000000" w:rsidR="00000000" w:rsidRPr="00000000">
        <w:rPr>
          <w:rFonts w:ascii="Google Sans" w:cs="Google Sans" w:eastAsia="Google Sans" w:hAnsi="Google Sans"/>
          <w:color w:val="1f1f1f"/>
          <w:rtl w:val="0"/>
        </w:rPr>
        <w:t xml:space="preserve">. 5. ed. São Paulo: Manole, 2002.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MEZOMO, I. B. </w:t>
      </w:r>
      <w:r w:rsidDel="00000000" w:rsidR="00000000" w:rsidRPr="00000000">
        <w:rPr>
          <w:rFonts w:ascii="Google Sans" w:cs="Google Sans" w:eastAsia="Google Sans" w:hAnsi="Google Sans"/>
          <w:b w:val="1"/>
          <w:bCs w:val="1"/>
          <w:color w:val="1f1f1f"/>
          <w:rtl w:val="0"/>
        </w:rPr>
        <w:t xml:space="preserve">Os serviços de alimentação: planejamento e administração</w:t>
      </w:r>
      <w:r w:rsidDel="00000000" w:rsidR="00000000" w:rsidRPr="00000000">
        <w:rPr>
          <w:rFonts w:ascii="Google Sans" w:cs="Google Sans" w:eastAsia="Google Sans" w:hAnsi="Google Sans"/>
          <w:color w:val="1f1f1f"/>
          <w:rtl w:val="0"/>
        </w:rPr>
        <w:t xml:space="preserve">. 6. ed. revisada. São Paulo: Manole, 2015.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TEIXEIRA, S. M. F. G. et al. </w:t>
      </w:r>
      <w:r w:rsidDel="00000000" w:rsidR="00000000" w:rsidRPr="00000000">
        <w:rPr>
          <w:rFonts w:ascii="Google Sans" w:cs="Google Sans" w:eastAsia="Google Sans" w:hAnsi="Google Sans"/>
          <w:b w:val="1"/>
          <w:bCs w:val="1"/>
          <w:color w:val="1f1f1f"/>
          <w:rtl w:val="0"/>
        </w:rPr>
        <w:t xml:space="preserve">Administração aplicada às unidades de alimentação e nutrição</w:t>
      </w:r>
      <w:r w:rsidDel="00000000" w:rsidR="00000000" w:rsidRPr="00000000">
        <w:rPr>
          <w:rFonts w:ascii="Google Sans" w:cs="Google Sans" w:eastAsia="Google Sans" w:hAnsi="Google Sans"/>
          <w:color w:val="1f1f1f"/>
          <w:rtl w:val="0"/>
        </w:rPr>
        <w:t xml:space="preserve">. São Paulo: Atheneu, 1997.</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Dimensionamento de Pessoal em UANs | PDF | Gestão de recursos humanos - Scribd, acessado em abril 17, 2026, </w:t>
      </w:r>
      <w:hyperlink r:id="rId12">
        <w:r w:rsidDel="00000000" w:rsidR="00000000" w:rsidRPr="00000000">
          <w:rPr>
            <w:rFonts w:ascii="Google Sans" w:cs="Google Sans" w:eastAsia="Google Sans" w:hAnsi="Google Sans"/>
            <w:color w:val="0000ee"/>
            <w:sz w:val="24"/>
            <w:szCs w:val="24"/>
            <w:u w:val="single"/>
            <w:rtl w:val="0"/>
          </w:rPr>
          <w:t xml:space="preserve">https://pt.scribd.com/document/552631504/teorico-11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Dimensionamento de Pessoal em UAN | PDF | Gestão de recursos humanos - Scribd, acessado em abril 17, 2026, </w:t>
      </w:r>
      <w:hyperlink r:id="rId13">
        <w:r w:rsidDel="00000000" w:rsidR="00000000" w:rsidRPr="00000000">
          <w:rPr>
            <w:rFonts w:ascii="Google Sans" w:cs="Google Sans" w:eastAsia="Google Sans" w:hAnsi="Google Sans"/>
            <w:color w:val="0000ee"/>
            <w:sz w:val="24"/>
            <w:szCs w:val="24"/>
            <w:u w:val="single"/>
            <w:rtl w:val="0"/>
          </w:rPr>
          <w:t xml:space="preserve">https://pt.scribd.com/document/544163238/Dimensionamento-de-Pessoal-para-UAN-2015-2</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RESOLUÇÃO CFN Nº 600, DE 25 DE FEVEREIRO DE ... - Rede BLH, acessado em abril 17, 2026, </w:t>
      </w:r>
      <w:hyperlink r:id="rId14">
        <w:r w:rsidDel="00000000" w:rsidR="00000000" w:rsidRPr="00000000">
          <w:rPr>
            <w:rFonts w:ascii="Google Sans" w:cs="Google Sans" w:eastAsia="Google Sans" w:hAnsi="Google Sans"/>
            <w:color w:val="0000ee"/>
            <w:sz w:val="24"/>
            <w:szCs w:val="24"/>
            <w:u w:val="single"/>
            <w:rtl w:val="0"/>
          </w:rPr>
          <w:t xml:space="preserve">https://rblh.fiocruz.br/sites/rblh.fiocruz.br/files/usuario/8/resolucao_cfn_-_600-2018_-_area_atuacao_e_atricuicoes_nutri.pdf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Aula nº 10.0. Dimensionamento da mão de obra, escala de serviço. - Sesc, acessado em abril 17, 2026, </w:t>
      </w:r>
      <w:hyperlink r:id="rId15">
        <w:r w:rsidDel="00000000" w:rsidR="00000000" w:rsidRPr="00000000">
          <w:rPr>
            <w:rFonts w:ascii="Google Sans" w:cs="Google Sans" w:eastAsia="Google Sans" w:hAnsi="Google Sans"/>
            <w:color w:val="0000ee"/>
            <w:sz w:val="24"/>
            <w:szCs w:val="24"/>
            <w:u w:val="single"/>
            <w:rtl w:val="0"/>
          </w:rPr>
          <w:t xml:space="preserve">https://rfp.sesc.com.br/moodle/pluginfile.php/2318/mod_folder/content/0/Aula%20n%C2%BA%2010.0.%20Dimensionamento%20da%20m%C3%A3o%20de%20obra%2C%20escala%20de%20servi%C3%A7opdf?forcedownload=1</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Cálculos de Pessoal para UAN Hospitalar | PDF | Férias trabalhistas ..., acessado em abril 17,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https://www.scribd.com/document/377835097/Metodos-Para-Calculos-de-Pessoal-Para-a-UAN</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DIMENSIONAMENTO DE PESSOAL EM UAN | GESTÃO DE UAN - YouTube, acessado em abril 17,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https://www.youtube.com/watch?v=Hc49THe_ACo</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Dimensionamento de Pessoal em UAN Hospitalar | PDF | Férias ..., acessado em abril 17, 2026, </w:t>
      </w:r>
      <w:hyperlink r:id="rId18">
        <w:r w:rsidDel="00000000" w:rsidR="00000000" w:rsidRPr="00000000">
          <w:rPr>
            <w:rFonts w:ascii="Google Sans" w:cs="Google Sans" w:eastAsia="Google Sans" w:hAnsi="Google Sans"/>
            <w:color w:val="0000ee"/>
            <w:sz w:val="24"/>
            <w:szCs w:val="24"/>
            <w:u w:val="single"/>
            <w:rtl w:val="0"/>
          </w:rPr>
          <w:t xml:space="preserve">https://pt.scribd.com/document/616191694/Guia-de-Formulas-UAN</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Oficina_Resol_CFN_Res_CFN n_600_2018_desafios_Lucia.pptx - Slideshare, acessado em abril 17, 2026, </w:t>
      </w:r>
      <w:hyperlink r:id="rId19">
        <w:r w:rsidDel="00000000" w:rsidR="00000000" w:rsidRPr="00000000">
          <w:rPr>
            <w:rFonts w:ascii="Google Sans" w:cs="Google Sans" w:eastAsia="Google Sans" w:hAnsi="Google Sans"/>
            <w:color w:val="0000ee"/>
            <w:sz w:val="24"/>
            <w:szCs w:val="24"/>
            <w:u w:val="single"/>
            <w:rtl w:val="0"/>
          </w:rPr>
          <w:t xml:space="preserve">https://pt.slideshare.net/slideshow/oficina_resol_cfn_res_cfn-n_600_2018_desafios_lucia-pptx/276608285</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Estrutura e Atuação da UAN | PDF - Scribd, acessado em abril 17, 2026, </w:t>
      </w:r>
      <w:hyperlink r:id="rId20">
        <w:r w:rsidDel="00000000" w:rsidR="00000000" w:rsidRPr="00000000">
          <w:rPr>
            <w:rFonts w:ascii="Google Sans" w:cs="Google Sans" w:eastAsia="Google Sans" w:hAnsi="Google Sans"/>
            <w:color w:val="0000ee"/>
            <w:sz w:val="24"/>
            <w:szCs w:val="24"/>
            <w:u w:val="single"/>
            <w:rtl w:val="0"/>
          </w:rPr>
          <w:t xml:space="preserve">https://pt.scribd.com/document/722670529/Aula-1-2022-2-1</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Planejamento da UAN em Hospital Novo | PDF | Bem-estar - Scribd, acessado em abril 17, 2026, </w:t>
      </w:r>
      <w:hyperlink r:id="rId21">
        <w:r w:rsidDel="00000000" w:rsidR="00000000" w:rsidRPr="00000000">
          <w:rPr>
            <w:rFonts w:ascii="Google Sans" w:cs="Google Sans" w:eastAsia="Google Sans" w:hAnsi="Google Sans"/>
            <w:color w:val="0000ee"/>
            <w:sz w:val="24"/>
            <w:szCs w:val="24"/>
            <w:u w:val="single"/>
            <w:rtl w:val="0"/>
          </w:rPr>
          <w:t xml:space="preserve">https://pt.scribd.com/document/392331406/Planejamento-e-Organizacao-de-Uan-Trabalho-Individual-Uan-Hospital-Cheila</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AULA 4 e 5- dimensionamento e controle de RH - Material Claro e Objetivo em PDF para Estudo Rápido - Passei Direto, acessado em abril 17, 2026, </w:t>
      </w:r>
      <w:hyperlink r:id="rId22">
        <w:r w:rsidDel="00000000" w:rsidR="00000000" w:rsidRPr="00000000">
          <w:rPr>
            <w:rFonts w:ascii="Google Sans" w:cs="Google Sans" w:eastAsia="Google Sans" w:hAnsi="Google Sans"/>
            <w:color w:val="0000ee"/>
            <w:sz w:val="24"/>
            <w:szCs w:val="24"/>
            <w:u w:val="single"/>
            <w:rtl w:val="0"/>
          </w:rPr>
          <w:t xml:space="preserve">https://www.passeidireto.com/arquivo/72872439/aula-4-e-5-dimensionamento-e-controle-de-rh</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 17 – ERGONOMIA - Portal da Indústria, acessado em abril 17, 2026, </w:t>
      </w:r>
      <w:hyperlink r:id="rId23">
        <w:r w:rsidDel="00000000" w:rsidR="00000000" w:rsidRPr="00000000">
          <w:rPr>
            <w:rFonts w:ascii="Google Sans" w:cs="Google Sans" w:eastAsia="Google Sans" w:hAnsi="Google Sans"/>
            <w:color w:val="0000ee"/>
            <w:sz w:val="24"/>
            <w:szCs w:val="24"/>
            <w:u w:val="single"/>
            <w:rtl w:val="0"/>
          </w:rPr>
          <w:t xml:space="preserve">https://static.portaldaindustria.com.br/media/filer_public/2a/6e/2a6eb718-7597-4c68-8904-a7dbbc547ff7/id_244971_nr_17_web.pdf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 17 - ERGONOMIA - Portal Gov.br, acessado em abril 17, 2026, </w:t>
      </w:r>
      <w:hyperlink r:id="rId24">
        <w:r w:rsidDel="00000000" w:rsidR="00000000" w:rsidRPr="00000000">
          <w:rPr>
            <w:rFonts w:ascii="Google Sans" w:cs="Google Sans" w:eastAsia="Google Sans" w:hAnsi="Google Sans"/>
            <w:color w:val="0000ee"/>
            <w:sz w:val="24"/>
            <w:szCs w:val="24"/>
            <w:u w:val="single"/>
            <w:rtl w:val="0"/>
          </w:rPr>
          <w:t xml:space="preserve">https://www.gov.br/trabalho-e-emprego/pt-br/acesso-a-informacao/participacao-social/conselhos-e-orgaos-colegiados/comissao-tripartite-partitaria-permanente/arquivos/normas-regulamentadoras/nr-17-atualizada-2022.pdf</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 17 em ambientes de altas temperaturas: como aplicar? - Suprema Luvas, acessado em abril 17, 2026, </w:t>
      </w:r>
      <w:hyperlink r:id="rId25">
        <w:r w:rsidDel="00000000" w:rsidR="00000000" w:rsidRPr="00000000">
          <w:rPr>
            <w:rFonts w:ascii="Google Sans" w:cs="Google Sans" w:eastAsia="Google Sans" w:hAnsi="Google Sans"/>
            <w:color w:val="0000ee"/>
            <w:sz w:val="24"/>
            <w:szCs w:val="24"/>
            <w:u w:val="single"/>
            <w:rtl w:val="0"/>
          </w:rPr>
          <w:t xml:space="preserve">https://supremaluvas.com.br/nr-17-de-altas-temperaturas/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t.scribd.com/document/722670529/Aula-1-2022-2-1" TargetMode="External"/><Relationship Id="rId22" Type="http://schemas.openxmlformats.org/officeDocument/2006/relationships/hyperlink" Target="https://www.passeidireto.com/arquivo/72872439/aula-4-e-5-dimensionamento-e-controle-de-rh" TargetMode="External"/><Relationship Id="rId21" Type="http://schemas.openxmlformats.org/officeDocument/2006/relationships/hyperlink" Target="https://pt.scribd.com/document/392331406/Planejamento-e-Organizacao-de-Uan-Trabalho-Individual-Uan-Hospital-Cheila" TargetMode="External"/><Relationship Id="rId24" Type="http://schemas.openxmlformats.org/officeDocument/2006/relationships/hyperlink" Target="https://www.gov.br/trabalho-e-emprego/pt-br/acesso-a-informacao/participacao-social/conselhos-e-orgaos-colegiados/comissao-tripartite-partitaria-permanente/arquivos/normas-regulamentadoras/nr-17-atualizada-2022.pdf" TargetMode="External"/><Relationship Id="rId23" Type="http://schemas.openxmlformats.org/officeDocument/2006/relationships/hyperlink" Target="https://static.portaldaindustria.com.br/media/filer_public/2a/6e/2a6eb718-7597-4c68-8904-a7dbbc547ff7/id_244971_nr_17_web.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hyperlink" Target="https://supremaluvas.com.br/nr-17-de-altas-temperatura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pt.scribd.com/document/544163238/Dimensionamento-de-Pessoal-para-UAN-2015-2" TargetMode="External"/><Relationship Id="rId12" Type="http://schemas.openxmlformats.org/officeDocument/2006/relationships/hyperlink" Target="https://pt.scribd.com/document/552631504/teorico-11" TargetMode="External"/><Relationship Id="rId15" Type="http://schemas.openxmlformats.org/officeDocument/2006/relationships/hyperlink" Target="https://rfp.sesc.com.br/moodle/pluginfile.php/2318/mod_folder/content/0/Aula%20n%C2%BA%2010.0.%20Dimensionamento%20da%20m%C3%A3o%20de%20obra%2C%20escala%20de%20servi%C3%A7opdf?forcedownload=1" TargetMode="External"/><Relationship Id="rId14" Type="http://schemas.openxmlformats.org/officeDocument/2006/relationships/hyperlink" Target="https://rblh.fiocruz.br/sites/rblh.fiocruz.br/files/usuario/8/resolucao_cfn_-_600-2018_-_area_atuacao_e_atricuicoes_nutri.pdf" TargetMode="External"/><Relationship Id="rId17" Type="http://schemas.openxmlformats.org/officeDocument/2006/relationships/hyperlink" Target="https://www.youtube.com/watch?v=Hc49THe_ACo" TargetMode="External"/><Relationship Id="rId16" Type="http://schemas.openxmlformats.org/officeDocument/2006/relationships/hyperlink" Target="https://www.scribd.com/document/377835097/Metodos-Para-Calculos-de-Pessoal-Para-a-UAN" TargetMode="External"/><Relationship Id="rId19" Type="http://schemas.openxmlformats.org/officeDocument/2006/relationships/hyperlink" Target="https://pt.slideshare.net/slideshow/oficina_resol_cfn_res_cfn-n_600_2018_desafios_lucia-pptx/276608285" TargetMode="External"/><Relationship Id="rId18" Type="http://schemas.openxmlformats.org/officeDocument/2006/relationships/hyperlink" Target="https://pt.scribd.com/document/616191694/Guia-de-Formulas-U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