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Engenharia de Cardápios em UAN: Diretrizes Nutricionais, Harmonia Sensorial e Parâmetros Per Capita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gestão de Unidades de Alimentação e Nutrição (UAN) no contexto da saúde pública e da alimentação coletiva representa um dos desafios mais intrincados da administração de serviços. Este campo de estudo exige a convergência contínua entre a ciência da nutrição avançada, a engenharia de produção, a termodinâmica dos alimentos e a estrita conformidade com arcabouços regulatórios federais. O desenvolvimento de um sistema corporativo do tipo </w:t>
      </w:r>
      <w:r w:rsidDel="00000000" w:rsidR="00000000" w:rsidRPr="00000000">
        <w:rPr>
          <w:rFonts w:ascii="Google Sans" w:cs="Google Sans" w:eastAsia="Google Sans" w:hAnsi="Google Sans"/>
          <w:i w:val="1"/>
          <w:iCs w:val="1"/>
          <w:color w:val="1f1f1f"/>
          <w:rtl w:val="0"/>
        </w:rPr>
        <w:t xml:space="preserve">Software as a Service</w:t>
      </w:r>
      <w:r w:rsidDel="00000000" w:rsidR="00000000" w:rsidRPr="00000000">
        <w:rPr>
          <w:rFonts w:ascii="Google Sans" w:cs="Google Sans" w:eastAsia="Google Sans" w:hAnsi="Google Sans"/>
          <w:color w:val="1f1f1f"/>
          <w:rtl w:val="0"/>
        </w:rPr>
        <w:t xml:space="preserve"> (SaaS) voltado para a administração de UANs requer, fundamentalmente, a tradução de conhecimentos acadêmicos profundos e normativas governamentais em lógicas de programação, algoritmos de validação sistêmica e modelagens de bancos de dados relacionais. A construção das regras de negócio (</w:t>
      </w:r>
      <w:r w:rsidDel="00000000" w:rsidR="00000000" w:rsidRPr="00000000">
        <w:rPr>
          <w:rFonts w:ascii="Google Sans" w:cs="Google Sans" w:eastAsia="Google Sans" w:hAnsi="Google Sans"/>
          <w:i w:val="1"/>
          <w:iCs w:val="1"/>
          <w:color w:val="1f1f1f"/>
          <w:rtl w:val="0"/>
        </w:rPr>
        <w:t xml:space="preserve">business rules</w:t>
      </w:r>
      <w:r w:rsidDel="00000000" w:rsidR="00000000" w:rsidRPr="00000000">
        <w:rPr>
          <w:rFonts w:ascii="Google Sans" w:cs="Google Sans" w:eastAsia="Google Sans" w:hAnsi="Google Sans"/>
          <w:color w:val="1f1f1f"/>
          <w:rtl w:val="0"/>
        </w:rPr>
        <w:t xml:space="preserve">) de tal plataforma não admite empirismo ou heurísticas não validadas; ela deve ser integralmente alicerçada em diretrizes matemáticas exatas, referenciais teóricos clássicos e metodologias validadas pela literatura científica contemporânea.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estruturação algorítmica de um cardápio cíclico destinado a coletividades sadias transcende o simples agrupamento aleatório de ingredientes e preparações. Envolve a adequação termodinâmica e bioquímica das refeições para suportar a carga de trabalho do comensal, a prevenção de carências nutricionais específicas e de doenças crônicas não transmissíveis, o gerenciamento de custos por meio do controle estrito de referenciais de </w:t>
      </w:r>
      <w:r w:rsidDel="00000000" w:rsidR="00000000" w:rsidRPr="00000000">
        <w:rPr>
          <w:rFonts w:ascii="Google Sans" w:cs="Google Sans" w:eastAsia="Google Sans" w:hAnsi="Google Sans"/>
          <w:i w:val="1"/>
          <w:iCs w:val="1"/>
          <w:color w:val="1f1f1f"/>
          <w:rtl w:val="0"/>
        </w:rPr>
        <w:t xml:space="preserve">per capita</w:t>
      </w:r>
      <w:r w:rsidDel="00000000" w:rsidR="00000000" w:rsidRPr="00000000">
        <w:rPr>
          <w:rFonts w:ascii="Google Sans" w:cs="Google Sans" w:eastAsia="Google Sans" w:hAnsi="Google Sans"/>
          <w:color w:val="1f1f1f"/>
          <w:rtl w:val="0"/>
        </w:rPr>
        <w:t xml:space="preserve"> e fatores de correção geométrica dos alimentos, e o emprego de metodologias de análise sensorial que garantam a aceitação e mitiguem o desperdício fabril.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arcabouço lógico e descritivo apresentado a seguir fornece a fundamentação exaustiva e os dados paramétricos quantitativos e qualitativos necessários para alimentar as instâncias de banco de dados e as rotinas de validação de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de um sistema de gestão de excelência em alimentação coletiva institucional.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Diretrizes Nutricionais e PAT (com percentuais exatos)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Programa de Alimentação do Trabalhador (PAT), instituído originalmente na década de 1970 sob a égide governamental para melhorar as condições nutricionais e a produtividade da classe trabalhadora brasileira, determina normativas rigorosas que condicionam a concessão de incentivos fiscais (dedução no Imposto de Renda de Pessoa Jurídica) à estrita adequação qualitativa e quantitativa das refeições servidas (BRASIL, 2021).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estruturação do banco de dados do SaaS deve tratar as portarias do PAT não apenas como guias de boas práticas, mas como regras de validação bloqueantes (</w:t>
      </w:r>
      <w:r w:rsidDel="00000000" w:rsidR="00000000" w:rsidRPr="00000000">
        <w:rPr>
          <w:rFonts w:ascii="Google Sans" w:cs="Google Sans" w:eastAsia="Google Sans" w:hAnsi="Google Sans"/>
          <w:i w:val="1"/>
          <w:iCs w:val="1"/>
          <w:color w:val="1f1f1f"/>
          <w:rtl w:val="0"/>
        </w:rPr>
        <w:t xml:space="preserve">hard constraints</w:t>
      </w:r>
      <w:r w:rsidDel="00000000" w:rsidR="00000000" w:rsidRPr="00000000">
        <w:rPr>
          <w:rFonts w:ascii="Google Sans" w:cs="Google Sans" w:eastAsia="Google Sans" w:hAnsi="Google Sans"/>
          <w:color w:val="1f1f1f"/>
          <w:rtl w:val="0"/>
        </w:rPr>
        <w:t xml:space="preserve">) ou geradoras de alertas críticos (</w:t>
      </w:r>
      <w:r w:rsidDel="00000000" w:rsidR="00000000" w:rsidRPr="00000000">
        <w:rPr>
          <w:rFonts w:ascii="Google Sans" w:cs="Google Sans" w:eastAsia="Google Sans" w:hAnsi="Google Sans"/>
          <w:i w:val="1"/>
          <w:iCs w:val="1"/>
          <w:color w:val="1f1f1f"/>
          <w:rtl w:val="0"/>
        </w:rPr>
        <w:t xml:space="preserve">soft constraints</w:t>
      </w:r>
      <w:r w:rsidDel="00000000" w:rsidR="00000000" w:rsidRPr="00000000">
        <w:rPr>
          <w:rFonts w:ascii="Google Sans" w:cs="Google Sans" w:eastAsia="Google Sans" w:hAnsi="Google Sans"/>
          <w:color w:val="1f1f1f"/>
          <w:rtl w:val="0"/>
        </w:rPr>
        <w:t xml:space="preserve">) na interface de planejamento dietético e prescrição de cardápios.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base regulatória primária que define os parâmetros nutricionais exatos e bioquímicos do PAT é a Portaria Interministerial nº 66, de 25 de agosto de 2006 (BRASIL, 2006).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Embora legislações governamentais subsequentes, culminando no Decreto nº 10.854/2021 e na recente Portaria MTE nº 1.707, de 10 de outubro de 2024, tenham imposto profundas alterações na dinâmica comercial e contratual do programa (BRASIL, 2024)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 como a proibição de práticas de deságio corporativo, </w:t>
      </w:r>
      <w:r w:rsidDel="00000000" w:rsidR="00000000" w:rsidRPr="00000000">
        <w:rPr>
          <w:rFonts w:ascii="Google Sans" w:cs="Google Sans" w:eastAsia="Google Sans" w:hAnsi="Google Sans"/>
          <w:i w:val="1"/>
          <w:iCs w:val="1"/>
          <w:color w:val="1f1f1f"/>
          <w:rtl w:val="0"/>
        </w:rPr>
        <w:t xml:space="preserve">cashback</w:t>
      </w:r>
      <w:r w:rsidDel="00000000" w:rsidR="00000000" w:rsidRPr="00000000">
        <w:rPr>
          <w:rFonts w:ascii="Google Sans" w:cs="Google Sans" w:eastAsia="Google Sans" w:hAnsi="Google Sans"/>
          <w:color w:val="1f1f1f"/>
          <w:rtl w:val="0"/>
        </w:rPr>
        <w:t xml:space="preserve"> e a vinculação estrita dos recursos exclusivamente à promoção da saúde e segurança alimentar —, os parâmetros bioquímicos, energéticos e de macro e micronutrientes estabelecidos em 2006 permanecem inalterados como o padrão-ouro de validação técnica a ser codificado no software (BRASIL, 2006).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Parâmetros Energéticos (Valor Energético Total - VET)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termodinâmica da alimentação do trabalhador exige que o sistema parametrize o Valor Energético Total (VET) com base nas necessidades diárias basais somadas ao fator de atividade física de trabalhadores adultos sadios. A legislação estipula que as refeições principais (almoço, jantar e ceia) devem fornecer uma fração específica do gasto energético diário total, calculado em uma média populacional de 2.000 quilocalorias (kcal), com adaptações rigorosas dependendo do esforço físico exigido pela atividade laboral específica (BRASIL, 2006).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lógicas sistêmicas (</w:t>
      </w:r>
      <w:r w:rsidDel="00000000" w:rsidR="00000000" w:rsidRPr="00000000">
        <w:rPr>
          <w:rFonts w:ascii="Google Sans" w:cs="Google Sans" w:eastAsia="Google Sans" w:hAnsi="Google Sans"/>
          <w:i w:val="1"/>
          <w:iCs w:val="1"/>
          <w:color w:val="1f1f1f"/>
          <w:rtl w:val="0"/>
        </w:rPr>
        <w:t xml:space="preserve">business logic</w:t>
      </w:r>
      <w:r w:rsidDel="00000000" w:rsidR="00000000" w:rsidRPr="00000000">
        <w:rPr>
          <w:rFonts w:ascii="Google Sans" w:cs="Google Sans" w:eastAsia="Google Sans" w:hAnsi="Google Sans"/>
          <w:color w:val="1f1f1f"/>
          <w:rtl w:val="0"/>
        </w:rPr>
        <w:t xml:space="preserve">) para as </w:t>
      </w:r>
      <w:r w:rsidDel="00000000" w:rsidR="00000000" w:rsidRPr="00000000">
        <w:rPr>
          <w:rFonts w:ascii="Google Sans" w:cs="Google Sans" w:eastAsia="Google Sans" w:hAnsi="Google Sans"/>
          <w:b w:val="1"/>
          <w:bCs w:val="1"/>
          <w:color w:val="1f1f1f"/>
          <w:rtl w:val="0"/>
        </w:rPr>
        <w:t xml:space="preserve">refeições principais</w:t>
      </w:r>
      <w:r w:rsidDel="00000000" w:rsidR="00000000" w:rsidRPr="00000000">
        <w:rPr>
          <w:rFonts w:ascii="Google Sans" w:cs="Google Sans" w:eastAsia="Google Sans" w:hAnsi="Google Sans"/>
          <w:color w:val="1f1f1f"/>
          <w:rtl w:val="0"/>
        </w:rPr>
        <w:t xml:space="preserve"> devem incorporar as seguintes validações e cálculos: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Aporte Calórico Padrão:</w:t>
      </w:r>
      <w:r w:rsidDel="00000000" w:rsidR="00000000" w:rsidRPr="00000000">
        <w:rPr>
          <w:rFonts w:ascii="Google Sans" w:cs="Google Sans" w:eastAsia="Google Sans" w:hAnsi="Google Sans"/>
          <w:color w:val="1f1f1f"/>
          <w:rtl w:val="0"/>
        </w:rPr>
        <w:t xml:space="preserve"> O cardápio deve fornecer entre </w:t>
      </w:r>
      <w:r w:rsidDel="00000000" w:rsidR="00000000" w:rsidRPr="00000000">
        <w:rPr>
          <w:rFonts w:ascii="Google Sans" w:cs="Google Sans" w:eastAsia="Google Sans" w:hAnsi="Google Sans"/>
          <w:b w:val="1"/>
          <w:bCs w:val="1"/>
          <w:color w:val="1f1f1f"/>
          <w:rtl w:val="0"/>
        </w:rPr>
        <w:t xml:space="preserve">600 e 800 kcal</w:t>
      </w:r>
      <w:r w:rsidDel="00000000" w:rsidR="00000000" w:rsidRPr="00000000">
        <w:rPr>
          <w:rFonts w:ascii="Google Sans" w:cs="Google Sans" w:eastAsia="Google Sans" w:hAnsi="Google Sans"/>
          <w:color w:val="1f1f1f"/>
          <w:rtl w:val="0"/>
        </w:rPr>
        <w:t xml:space="preserve">. O sistema deve emitir um alerta de restrição caso o somatório calórico da Ficha Técnica de Preparação (FTP) programada para o dia caia fora deste intervalo (BRASIL, 2006).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Fator de Acréscimo Fisiológico:</w:t>
      </w:r>
      <w:r w:rsidDel="00000000" w:rsidR="00000000" w:rsidRPr="00000000">
        <w:rPr>
          <w:rFonts w:ascii="Google Sans" w:cs="Google Sans" w:eastAsia="Google Sans" w:hAnsi="Google Sans"/>
          <w:color w:val="1f1f1f"/>
          <w:rtl w:val="0"/>
        </w:rPr>
        <w:t xml:space="preserve"> Admite-se, parametricamente, um acréscimo de 20% (chegando a um adicional de 400 kcal, totalizando um teto de 1.200 kcal) em casos de atividades laborais que demandem intenso desgaste físico e muscular (ex: construção civil, mineração, estiva). O SaaS deve possuir um campo de "Perfil da Coletividade" para ajustar este teto validatório dinamicamente (BRASIL, 2006).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as </w:t>
      </w:r>
      <w:r w:rsidDel="00000000" w:rsidR="00000000" w:rsidRPr="00000000">
        <w:rPr>
          <w:rFonts w:ascii="Google Sans" w:cs="Google Sans" w:eastAsia="Google Sans" w:hAnsi="Google Sans"/>
          <w:b w:val="1"/>
          <w:bCs w:val="1"/>
          <w:color w:val="1f1f1f"/>
          <w:rtl w:val="0"/>
        </w:rPr>
        <w:t xml:space="preserve">refeições menores</w:t>
      </w:r>
      <w:r w:rsidDel="00000000" w:rsidR="00000000" w:rsidRPr="00000000">
        <w:rPr>
          <w:rFonts w:ascii="Google Sans" w:cs="Google Sans" w:eastAsia="Google Sans" w:hAnsi="Google Sans"/>
          <w:color w:val="1f1f1f"/>
          <w:rtl w:val="0"/>
        </w:rPr>
        <w:t xml:space="preserve"> (desjejum e lanche da tarde), o sistema deve parametrizar o VET entre </w:t>
      </w:r>
      <w:r w:rsidDel="00000000" w:rsidR="00000000" w:rsidRPr="00000000">
        <w:rPr>
          <w:rFonts w:ascii="Google Sans" w:cs="Google Sans" w:eastAsia="Google Sans" w:hAnsi="Google Sans"/>
          <w:b w:val="1"/>
          <w:bCs w:val="1"/>
          <w:color w:val="1f1f1f"/>
          <w:rtl w:val="0"/>
        </w:rPr>
        <w:t xml:space="preserve">300 e 400 kcal</w:t>
      </w:r>
      <w:r w:rsidDel="00000000" w:rsidR="00000000" w:rsidRPr="00000000">
        <w:rPr>
          <w:rFonts w:ascii="Google Sans" w:cs="Google Sans" w:eastAsia="Google Sans" w:hAnsi="Google Sans"/>
          <w:color w:val="1f1f1f"/>
          <w:rtl w:val="0"/>
        </w:rPr>
        <w:t xml:space="preserve">, representando fisiologicamente de 15% a 20% das necessidades diárias totais do trabalhador, garantindo a manutenção da glicemia de jejum e prevenindo a hipoglicemia reativa durante os turnos de trabalho (BRASIL, 2006).</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Algoritmos de Distribuição de Macronutrientes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balanceamento de macronutrientes é fundamental para a manutenção da homeostase endócrina do trabalhador. A proporção inadequada pode gerar hiperinsulinemia, letargia pós-prandial ou catabolismo muscular. As regras de validação do SaaS devem travar a liberação do cardápio caso as seguintes proporções percentuais não sejam rigorosamente atingidas (BRASIL, 2006)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Carboidratos (Glicídios):</w:t>
      </w:r>
      <w:r w:rsidDel="00000000" w:rsidR="00000000" w:rsidRPr="00000000">
        <w:rPr>
          <w:rFonts w:ascii="Google Sans" w:cs="Google Sans" w:eastAsia="Google Sans" w:hAnsi="Google Sans"/>
          <w:color w:val="1f1f1f"/>
          <w:rtl w:val="0"/>
        </w:rPr>
        <w:t xml:space="preserve"> Devem representar exatos </w:t>
      </w:r>
      <w:r w:rsidDel="00000000" w:rsidR="00000000" w:rsidRPr="00000000">
        <w:rPr>
          <w:rFonts w:ascii="Google Sans" w:cs="Google Sans" w:eastAsia="Google Sans" w:hAnsi="Google Sans"/>
          <w:b w:val="1"/>
          <w:bCs w:val="1"/>
          <w:color w:val="1f1f1f"/>
          <w:rtl w:val="0"/>
        </w:rPr>
        <w:t xml:space="preserve">60%</w:t>
      </w:r>
      <w:r w:rsidDel="00000000" w:rsidR="00000000" w:rsidRPr="00000000">
        <w:rPr>
          <w:rFonts w:ascii="Google Sans" w:cs="Google Sans" w:eastAsia="Google Sans" w:hAnsi="Google Sans"/>
          <w:color w:val="1f1f1f"/>
          <w:rtl w:val="0"/>
        </w:rPr>
        <w:t xml:space="preserve"> do VET da refeição (BRASIL, 2006).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lógica de inteligência do sistema deve ser capaz de diferenciar e priorizar, sempre que possível, o fornecimento de carboidratos complexos (amido) em detrimento de açúcares simples (sacarose), a fim de modular o índice glicêmico da refeição e sustentar o fornecimento de glicose ao sistema nervoso central de forma prolongada, prevenindo a fadiga ocupacional.</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Proteínas (Protídeos):</w:t>
      </w:r>
      <w:r w:rsidDel="00000000" w:rsidR="00000000" w:rsidRPr="00000000">
        <w:rPr>
          <w:rFonts w:ascii="Google Sans" w:cs="Google Sans" w:eastAsia="Google Sans" w:hAnsi="Google Sans"/>
          <w:color w:val="1f1f1f"/>
          <w:rtl w:val="0"/>
        </w:rPr>
        <w:t xml:space="preserve"> Devem constituir </w:t>
      </w:r>
      <w:r w:rsidDel="00000000" w:rsidR="00000000" w:rsidRPr="00000000">
        <w:rPr>
          <w:rFonts w:ascii="Google Sans" w:cs="Google Sans" w:eastAsia="Google Sans" w:hAnsi="Google Sans"/>
          <w:b w:val="1"/>
          <w:bCs w:val="1"/>
          <w:color w:val="1f1f1f"/>
          <w:rtl w:val="0"/>
        </w:rPr>
        <w:t xml:space="preserve">15%</w:t>
      </w:r>
      <w:r w:rsidDel="00000000" w:rsidR="00000000" w:rsidRPr="00000000">
        <w:rPr>
          <w:rFonts w:ascii="Google Sans" w:cs="Google Sans" w:eastAsia="Google Sans" w:hAnsi="Google Sans"/>
          <w:color w:val="1f1f1f"/>
          <w:rtl w:val="0"/>
        </w:rPr>
        <w:t xml:space="preserve"> do VET da refeição (BRASIL, 2006).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Este percentual é essencial para fornecer o </w:t>
      </w:r>
      <w:r w:rsidDel="00000000" w:rsidR="00000000" w:rsidRPr="00000000">
        <w:rPr>
          <w:rFonts w:ascii="Google Sans" w:cs="Google Sans" w:eastAsia="Google Sans" w:hAnsi="Google Sans"/>
          <w:i w:val="1"/>
          <w:iCs w:val="1"/>
          <w:color w:val="1f1f1f"/>
          <w:rtl w:val="0"/>
        </w:rPr>
        <w:t xml:space="preserve">pool</w:t>
      </w:r>
      <w:r w:rsidDel="00000000" w:rsidR="00000000" w:rsidRPr="00000000">
        <w:rPr>
          <w:rFonts w:ascii="Google Sans" w:cs="Google Sans" w:eastAsia="Google Sans" w:hAnsi="Google Sans"/>
          <w:color w:val="1f1f1f"/>
          <w:rtl w:val="0"/>
        </w:rPr>
        <w:t xml:space="preserve"> de aminoácidos circulantes necessários para a manutenção da massa magra, síntese enzimática, resposta imunológica e reparo tecidual de microlesões laborais.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Lipídios (Gorduras Totais):</w:t>
      </w:r>
      <w:r w:rsidDel="00000000" w:rsidR="00000000" w:rsidRPr="00000000">
        <w:rPr>
          <w:rFonts w:ascii="Google Sans" w:cs="Google Sans" w:eastAsia="Google Sans" w:hAnsi="Google Sans"/>
          <w:color w:val="1f1f1f"/>
          <w:rtl w:val="0"/>
        </w:rPr>
        <w:t xml:space="preserve"> Devem perfazer </w:t>
      </w:r>
      <w:r w:rsidDel="00000000" w:rsidR="00000000" w:rsidRPr="00000000">
        <w:rPr>
          <w:rFonts w:ascii="Google Sans" w:cs="Google Sans" w:eastAsia="Google Sans" w:hAnsi="Google Sans"/>
          <w:b w:val="1"/>
          <w:bCs w:val="1"/>
          <w:color w:val="1f1f1f"/>
          <w:rtl w:val="0"/>
        </w:rPr>
        <w:t xml:space="preserve">25%</w:t>
      </w:r>
      <w:r w:rsidDel="00000000" w:rsidR="00000000" w:rsidRPr="00000000">
        <w:rPr>
          <w:rFonts w:ascii="Google Sans" w:cs="Google Sans" w:eastAsia="Google Sans" w:hAnsi="Google Sans"/>
          <w:color w:val="1f1f1f"/>
          <w:rtl w:val="0"/>
        </w:rPr>
        <w:t xml:space="preserve"> do VET (BRASIL, 2006).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Além deste teto quantitativo, o sistema deve possuir uma validação secundária qualitativa e mandatória para os ácidos graxos: as </w:t>
      </w:r>
      <w:r w:rsidDel="00000000" w:rsidR="00000000" w:rsidRPr="00000000">
        <w:rPr>
          <w:rFonts w:ascii="Google Sans" w:cs="Google Sans" w:eastAsia="Google Sans" w:hAnsi="Google Sans"/>
          <w:b w:val="1"/>
          <w:bCs w:val="1"/>
          <w:color w:val="1f1f1f"/>
          <w:rtl w:val="0"/>
        </w:rPr>
        <w:t xml:space="preserve">Gorduras Saturadas devem ser inferiores a 10% do VET da refeição</w:t>
      </w:r>
      <w:r w:rsidDel="00000000" w:rsidR="00000000" w:rsidRPr="00000000">
        <w:rPr>
          <w:rFonts w:ascii="Google Sans" w:cs="Google Sans" w:eastAsia="Google Sans" w:hAnsi="Google Sans"/>
          <w:color w:val="1f1f1f"/>
          <w:rtl w:val="0"/>
        </w:rPr>
        <w:t xml:space="preserve"> (BRASIL, 2006).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trava algorítmica alinha-se diretamente às diretrizes globais de saúde pública para a prevenção de dislipidemias, aterosclerose e doenças cardiovasculares, exigindo que o algoritmo cruze dados com as tabelas de composição de alimentos (ex: TACO, IBGE) para rastrear o perfil lipídico de cada corte cárneo e óleo de cocção inseridos na FTP.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distribuição equitativa das refeições menores (desjejum e lanches) segue a mesma proporção matemática e fisiológica (60% de carboidratos, 15% de proteínas e 25% de lipídios), aplicada sobre o VET reduzido (BRASIL, 2006).</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Parâmetros de Micronutrientes e Fibras Dietéticas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parametrização de fibras alimentares e sódio constitui, historicamente, um dos pontos mais críticos de falha em auditorias do PAT, exigindo algoritmos rigorosos de contagem e emissão de alertas na interface de planejamento da UAN.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Fibras Alimentares:</w:t>
      </w:r>
      <w:r w:rsidDel="00000000" w:rsidR="00000000" w:rsidRPr="00000000">
        <w:rPr>
          <w:rFonts w:ascii="Google Sans" w:cs="Google Sans" w:eastAsia="Google Sans" w:hAnsi="Google Sans"/>
          <w:color w:val="1f1f1f"/>
          <w:rtl w:val="0"/>
        </w:rPr>
        <w:t xml:space="preserve"> A validação sistêmica exige a oferta calculada de </w:t>
      </w:r>
      <w:r w:rsidDel="00000000" w:rsidR="00000000" w:rsidRPr="00000000">
        <w:rPr>
          <w:rFonts w:ascii="Google Sans" w:cs="Google Sans" w:eastAsia="Google Sans" w:hAnsi="Google Sans"/>
          <w:b w:val="1"/>
          <w:bCs w:val="1"/>
          <w:color w:val="1f1f1f"/>
          <w:rtl w:val="0"/>
        </w:rPr>
        <w:t xml:space="preserve">7 a 10 gramas de fibras</w:t>
      </w:r>
      <w:r w:rsidDel="00000000" w:rsidR="00000000" w:rsidRPr="00000000">
        <w:rPr>
          <w:rFonts w:ascii="Google Sans" w:cs="Google Sans" w:eastAsia="Google Sans" w:hAnsi="Google Sans"/>
          <w:color w:val="1f1f1f"/>
          <w:rtl w:val="0"/>
        </w:rPr>
        <w:t xml:space="preserve"> para as refeições principais (almoço/jantar) e de </w:t>
      </w:r>
      <w:r w:rsidDel="00000000" w:rsidR="00000000" w:rsidRPr="00000000">
        <w:rPr>
          <w:rFonts w:ascii="Google Sans" w:cs="Google Sans" w:eastAsia="Google Sans" w:hAnsi="Google Sans"/>
          <w:b w:val="1"/>
          <w:bCs w:val="1"/>
          <w:color w:val="1f1f1f"/>
          <w:rtl w:val="0"/>
        </w:rPr>
        <w:t xml:space="preserve">4 a 5 gramas</w:t>
      </w:r>
      <w:r w:rsidDel="00000000" w:rsidR="00000000" w:rsidRPr="00000000">
        <w:rPr>
          <w:rFonts w:ascii="Google Sans" w:cs="Google Sans" w:eastAsia="Google Sans" w:hAnsi="Google Sans"/>
          <w:color w:val="1f1f1f"/>
          <w:rtl w:val="0"/>
        </w:rPr>
        <w:t xml:space="preserve"> para as refeições menores (BRASIL, 2006).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assegurar o cumprimento desta métrica fisiológica (crucial para o trânsito intestinal e modulação da absorção de glicose e colesterol), o decreto e a interface normativa obrigam a inserção sistêmica de, no mínimo, uma porção de frutas </w:t>
      </w:r>
      <w:r w:rsidDel="00000000" w:rsidR="00000000" w:rsidRPr="00000000">
        <w:rPr>
          <w:rFonts w:ascii="Google Sans" w:cs="Google Sans" w:eastAsia="Google Sans" w:hAnsi="Google Sans"/>
          <w:i w:val="1"/>
          <w:iCs w:val="1"/>
          <w:color w:val="1f1f1f"/>
          <w:rtl w:val="0"/>
        </w:rPr>
        <w:t xml:space="preserve">in natura</w:t>
      </w:r>
      <w:r w:rsidDel="00000000" w:rsidR="00000000" w:rsidRPr="00000000">
        <w:rPr>
          <w:rFonts w:ascii="Google Sans" w:cs="Google Sans" w:eastAsia="Google Sans" w:hAnsi="Google Sans"/>
          <w:color w:val="1f1f1f"/>
          <w:rtl w:val="0"/>
        </w:rPr>
        <w:t xml:space="preserve"> e uma porção de hortaliças (legumes ou verduras) nas refeições principais (BRASIL, 2006).</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SaaS deve impedir o fechamento da composição do cardápio caso a árvore estrutural (Guarnição, Prato Principal, Salada, Sobremesa) não contemple estes marcadores botânicos.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Sódio:</w:t>
      </w:r>
      <w:r w:rsidDel="00000000" w:rsidR="00000000" w:rsidRPr="00000000">
        <w:rPr>
          <w:rFonts w:ascii="Google Sans" w:cs="Google Sans" w:eastAsia="Google Sans" w:hAnsi="Google Sans"/>
          <w:color w:val="1f1f1f"/>
          <w:rtl w:val="0"/>
        </w:rPr>
        <w:t xml:space="preserve"> A diretriz de saúde pública atrelada ao PAT impõe um teto sistêmico de </w:t>
      </w:r>
      <w:r w:rsidDel="00000000" w:rsidR="00000000" w:rsidRPr="00000000">
        <w:rPr>
          <w:rFonts w:ascii="Google Sans" w:cs="Google Sans" w:eastAsia="Google Sans" w:hAnsi="Google Sans"/>
          <w:b w:val="1"/>
          <w:bCs w:val="1"/>
          <w:color w:val="1f1f1f"/>
          <w:rtl w:val="0"/>
        </w:rPr>
        <w:t xml:space="preserve">2.400 mg de sódio por dia</w:t>
      </w:r>
      <w:r w:rsidDel="00000000" w:rsidR="00000000" w:rsidRPr="00000000">
        <w:rPr>
          <w:rFonts w:ascii="Google Sans" w:cs="Google Sans" w:eastAsia="Google Sans" w:hAnsi="Google Sans"/>
          <w:color w:val="1f1f1f"/>
          <w:rtl w:val="0"/>
        </w:rPr>
        <w:t xml:space="preserve"> para a prevenção da hipertensão arterial sistêmica e injúria endotelial (BRASIL, 2006).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Traduzido para a arquitetura de cálculo da refeição principal (que representa de 30% a 40% das necessidades diárias em termos fracionários da dieta, embora o PAT muitas vezes suporte a maior refeição do dia), o sistema deve gerar um alerta severo de inconformidade se o almoço ou o jantar ultrapassar a proporção equivalente, coibindo a utilização excessiva de caldos industrializados de carne/galinha, embutidos ricos em sais de cura (nitritos/nitratos de sódio) e conservas alimentícias (BRASIL, 2006).</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 Dinâmico do NDpCal (Net Dietary Protein Calories)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aspecto mais denso, complexo e mandatório do desenvolvimento lógico nutricional para a certificação do PAT é a automação rigorosa do cálculo do </w:t>
      </w:r>
      <w:r w:rsidDel="00000000" w:rsidR="00000000" w:rsidRPr="00000000">
        <w:rPr>
          <w:rFonts w:ascii="Google Sans" w:cs="Google Sans" w:eastAsia="Google Sans" w:hAnsi="Google Sans"/>
          <w:b w:val="1"/>
          <w:bCs w:val="1"/>
          <w:color w:val="1f1f1f"/>
          <w:rtl w:val="0"/>
        </w:rPr>
        <w:t xml:space="preserve">NDpCal (Percentual Proteico-Calórico Líquido)</w:t>
      </w:r>
      <w:r w:rsidDel="00000000" w:rsidR="00000000" w:rsidRPr="00000000">
        <w:rPr>
          <w:rFonts w:ascii="Google Sans" w:cs="Google Sans" w:eastAsia="Google Sans" w:hAnsi="Google Sans"/>
          <w:color w:val="1f1f1f"/>
          <w:rtl w:val="0"/>
        </w:rPr>
        <w:t xml:space="preserve">. O NDpCal não avalia apenas a quantidade de proteína bruta oferecida na refeição, mas a sua real taxa de aproveitamento biológico e absorção pelo organismo humano. Diferentes fontes alimentares possuem diferentes perfis de aminoácidos limitantes e índices de digestibilidade no trato gastrointestinal humano.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Portaria nº 66/2006 estipula que o NDpCal das refeições (principais e menores) deve ser estritamente de, </w:t>
      </w:r>
      <w:r w:rsidDel="00000000" w:rsidR="00000000" w:rsidRPr="00000000">
        <w:rPr>
          <w:rFonts w:ascii="Google Sans" w:cs="Google Sans" w:eastAsia="Google Sans" w:hAnsi="Google Sans"/>
          <w:b w:val="1"/>
          <w:bCs w:val="1"/>
          <w:color w:val="1f1f1f"/>
          <w:rtl w:val="0"/>
        </w:rPr>
        <w:t xml:space="preserve">no mínimo, 6% e, no máximo, 10%</w:t>
      </w:r>
      <w:r w:rsidDel="00000000" w:rsidR="00000000" w:rsidRPr="00000000">
        <w:rPr>
          <w:rFonts w:ascii="Google Sans" w:cs="Google Sans" w:eastAsia="Google Sans" w:hAnsi="Google Sans"/>
          <w:color w:val="1f1f1f"/>
          <w:rtl w:val="0"/>
        </w:rPr>
        <w:t xml:space="preserve"> do Valor Energético Total (BRASIL, 2006).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biologia por trás deste intervalo é inequívoca: um NDpCal abaixo de 6% indica risco severo de desnutrição proteica e balanço nitrogenado negativo; um NDpCal acima de 10% indica desperdício metabólico e financeiro agudo, visto que o organismo humano não possui estoques de armazenamento para aminoácidos excedentes. O excesso proteico sofrerá desaminação hepática para ser utilizado como fonte de energia dispendiosa, sobrecarregando o ciclo da ureia e a taxa de filtração glomerular renal, além de elevar o custo per capita da refeição desnecessariamente (MEZOMO, 2002; BRONZI, 2022).</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a engine do SaaS calcule e valide o NDpCal com precisão matemática irrepreensível, o banco de dados de ingredientes deve estar integralmente mapeado com os respectivos </w:t>
      </w:r>
      <w:r w:rsidDel="00000000" w:rsidR="00000000" w:rsidRPr="00000000">
        <w:rPr>
          <w:rFonts w:ascii="Google Sans" w:cs="Google Sans" w:eastAsia="Google Sans" w:hAnsi="Google Sans"/>
          <w:b w:val="1"/>
          <w:bCs w:val="1"/>
          <w:color w:val="1f1f1f"/>
          <w:rtl w:val="0"/>
        </w:rPr>
        <w:t xml:space="preserve">Fatores de Correção de NPU (</w:t>
      </w:r>
      <w:r w:rsidDel="00000000" w:rsidR="00000000" w:rsidRPr="00000000">
        <w:rPr>
          <w:rFonts w:ascii="Google Sans" w:cs="Google Sans" w:eastAsia="Google Sans" w:hAnsi="Google Sans"/>
          <w:b w:val="1"/>
          <w:bCs w:val="1"/>
          <w:i w:val="1"/>
          <w:iCs w:val="1"/>
          <w:color w:val="1f1f1f"/>
          <w:rtl w:val="0"/>
        </w:rPr>
        <w:t xml:space="preserve">Net Protein Utilization</w:t>
      </w:r>
      <w:r w:rsidDel="00000000" w:rsidR="00000000" w:rsidRPr="00000000">
        <w:rPr>
          <w:rFonts w:ascii="Google Sans" w:cs="Google Sans" w:eastAsia="Google Sans" w:hAnsi="Google Sans"/>
          <w:b w:val="1"/>
          <w:bCs w:val="1"/>
          <w:color w:val="1f1f1f"/>
          <w:rtl w:val="0"/>
        </w:rPr>
        <w:t xml:space="preserve"> ou Utilização Proteica Líquida)</w:t>
      </w:r>
      <w:r w:rsidDel="00000000" w:rsidR="00000000" w:rsidRPr="00000000">
        <w:rPr>
          <w:rFonts w:ascii="Google Sans" w:cs="Google Sans" w:eastAsia="Google Sans" w:hAnsi="Google Sans"/>
          <w:color w:val="1f1f1f"/>
          <w:rtl w:val="0"/>
        </w:rPr>
        <w:t xml:space="preserve">. As equações estruturais e os fatores intrínsecos que devem ser programados nas rotinas de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são (MEZOMO, 2002; PHILIPPI, 2019)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Mapeamento Constante de Fatores de NPU por Matriz Alimentar:</w:t>
      </w:r>
    </w:p>
    <w:p w:rsidR="00000000" w:rsidDel="00000000" w:rsidP="00000000" w:rsidRDefault="00000000" w:rsidRPr="00000000" w14:paraId="0000001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Proteína do Ovo (Padrão de Referência de Alto Valor Biológico): </w:t>
      </w:r>
      <w:r w:rsidDel="00000000" w:rsidR="00000000" w:rsidRPr="00000000">
        <w:rPr>
          <w:rFonts w:ascii="Google Sans" w:cs="Google Sans" w:eastAsia="Google Sans" w:hAnsi="Google Sans"/>
          <w:b w:val="1"/>
          <w:bCs w:val="1"/>
          <w:color w:val="1f1f1f"/>
          <w:rtl w:val="0"/>
        </w:rPr>
        <w:t xml:space="preserve">1,0</w:t>
      </w:r>
    </w:p>
    <w:p w:rsidR="00000000" w:rsidDel="00000000" w:rsidP="00000000" w:rsidRDefault="00000000" w:rsidRPr="00000000" w14:paraId="0000001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Proteínas de Origem Animal (Carnes bovinas, suínas, aves, pescados e laticínios): </w:t>
      </w:r>
      <w:r w:rsidDel="00000000" w:rsidR="00000000" w:rsidRPr="00000000">
        <w:rPr>
          <w:rFonts w:ascii="Google Sans" w:cs="Google Sans" w:eastAsia="Google Sans" w:hAnsi="Google Sans"/>
          <w:b w:val="1"/>
          <w:bCs w:val="1"/>
          <w:color w:val="1f1f1f"/>
          <w:rtl w:val="0"/>
        </w:rPr>
        <w:t xml:space="preserve">0,7</w:t>
      </w:r>
    </w:p>
    <w:p w:rsidR="00000000" w:rsidDel="00000000" w:rsidP="00000000" w:rsidRDefault="00000000" w:rsidRPr="00000000" w14:paraId="0000001F">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Proteínas de Leguminosas (Feijões, lentilha, grão-de-bico, soja): </w:t>
      </w:r>
      <w:r w:rsidDel="00000000" w:rsidR="00000000" w:rsidRPr="00000000">
        <w:rPr>
          <w:rFonts w:ascii="Google Sans" w:cs="Google Sans" w:eastAsia="Google Sans" w:hAnsi="Google Sans"/>
          <w:b w:val="1"/>
          <w:bCs w:val="1"/>
          <w:color w:val="1f1f1f"/>
          <w:rtl w:val="0"/>
        </w:rPr>
        <w:t xml:space="preserve">0,6</w:t>
      </w:r>
    </w:p>
    <w:p w:rsidR="00000000" w:rsidDel="00000000" w:rsidP="00000000" w:rsidRDefault="00000000" w:rsidRPr="00000000" w14:paraId="0000002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Proteínas de Cereais, Frutas e outros Vegetais (Arroz, trigo, milho, tubérculos): </w:t>
      </w:r>
      <w:r w:rsidDel="00000000" w:rsidR="00000000" w:rsidRPr="00000000">
        <w:rPr>
          <w:rFonts w:ascii="Google Sans" w:cs="Google Sans" w:eastAsia="Google Sans" w:hAnsi="Google Sans"/>
          <w:b w:val="1"/>
          <w:bCs w:val="1"/>
          <w:color w:val="1f1f1f"/>
          <w:rtl w:val="0"/>
        </w:rPr>
        <w:t xml:space="preserve">0,5</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Algoritmo de Cálculo de Proteína Líquida Diária: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Para cada ingrediente que compõe a receita de um determinado dia, o sistema deve multiplicar as gramas de proteína bruta (Pb) — extraídas diretamente da tabela de composição físico-química de alimentos associada ao sistema — pelo seu fator NPU correspondente à sua taxonomia biológica.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Equação Lógica:</w:t>
      </w:r>
      <w:r w:rsidDel="00000000" w:rsidR="00000000" w:rsidRPr="00000000">
        <w:rPr>
          <w:rFonts w:ascii="Google Sans" w:cs="Google Sans" w:eastAsia="Google Sans" w:hAnsi="Google Sans"/>
          <w:color w:val="1f1f1f"/>
          <w:rtl w:val="0"/>
        </w:rPr>
        <w:t xml:space="preserve"> NPU_ingrediente (gramas) = Proteína_Bruta (gramas) × Fator_NPU_da_Categoria</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Algoritmo de Conversão Calórica (NPCal):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 sistema realiza, então, o somatório matemático das proteínas líquidas de todos os ingredientes estruturais que compõem o cardápio do turno e multiplica o resultado pelo fator de conversão energética de Atwater para proteínas, que é de 4 kcal/g.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Equação Lógica:</w:t>
      </w:r>
      <w:r w:rsidDel="00000000" w:rsidR="00000000" w:rsidRPr="00000000">
        <w:rPr>
          <w:rFonts w:ascii="Google Sans" w:cs="Google Sans" w:eastAsia="Google Sans" w:hAnsi="Google Sans"/>
          <w:color w:val="1f1f1f"/>
          <w:rtl w:val="0"/>
        </w:rPr>
        <w:t xml:space="preserve"> NPCal (kcal) = Σ(NPU_todos_os_ingredientes) × 4</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Algoritmo de Obtenção do Percentual Final (NDpCal%):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 valor calórico das proteínas biologicamente utilizáveis (NPCal) é finalmente dividido pelo Valor Energético Total (VET real) aferido no cardápio e multiplicado por 100 para a extração da métrica percentual.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Equação Lógica:</w:t>
      </w:r>
      <w:r w:rsidDel="00000000" w:rsidR="00000000" w:rsidRPr="00000000">
        <w:rPr>
          <w:rFonts w:ascii="Google Sans" w:cs="Google Sans" w:eastAsia="Google Sans" w:hAnsi="Google Sans"/>
          <w:color w:val="1f1f1f"/>
          <w:rtl w:val="0"/>
        </w:rPr>
        <w:t xml:space="preserve"> NDpCal (%) = (NPCal / VET) × 100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a variável resultante NDpCal (%) não estiver no domínio matemático estrito [6.0, 10.0], o sistema deve inviabilizar a aprovação regulatória do cardápio para o PAT. A inteligência do software deve, proativamente, sugerir à interface do usuário a substituição de cortes cárneos densos, a redução da gramatura do prato principal, ou o balanceamento fisiológico da proporção entre o arroz (cereal, NPU 0,5) e o feijão (leguminosa, NPU 0,6), garantindo a complementação de aminoácidos (metionina e lisina, respectivamente).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Regulação Recente: Segurança Alimentar e Tecnologias Financeiras (2021-2024)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É imprescindível que o desenvolvimento da plataforma contemple as adequações impostas pelo Decreto nº 10.854/2021 e reafirmadas de forma punitiva pela Portaria MTE nº 1.707/2024. A nova hermenêutica governamental determina que o PAT abandone resquícios de instrumento financeiro de retenção de talentos e consolide-se como uma ferramenta exclusiva de </w:t>
      </w:r>
      <w:r w:rsidDel="00000000" w:rsidR="00000000" w:rsidRPr="00000000">
        <w:rPr>
          <w:rFonts w:ascii="Google Sans" w:cs="Google Sans" w:eastAsia="Google Sans" w:hAnsi="Google Sans"/>
          <w:b w:val="1"/>
          <w:bCs w:val="1"/>
          <w:color w:val="1f1f1f"/>
          <w:rtl w:val="0"/>
        </w:rPr>
        <w:t xml:space="preserve">segurança alimentar e nutricional</w:t>
      </w:r>
      <w:r w:rsidDel="00000000" w:rsidR="00000000" w:rsidRPr="00000000">
        <w:rPr>
          <w:rFonts w:ascii="Google Sans" w:cs="Google Sans" w:eastAsia="Google Sans" w:hAnsi="Google Sans"/>
          <w:color w:val="1f1f1f"/>
          <w:rtl w:val="0"/>
        </w:rPr>
        <w:t xml:space="preserve"> (BRASIL, 2021; BRASIL, 2024).</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 ponto de vista sistêmico e de compliance do SaaS, a plataforma deve possuir módulos de geração de relatórios oficiais e trilhas de auditoria imutáveis (</w:t>
      </w:r>
      <w:r w:rsidDel="00000000" w:rsidR="00000000" w:rsidRPr="00000000">
        <w:rPr>
          <w:rFonts w:ascii="Google Sans" w:cs="Google Sans" w:eastAsia="Google Sans" w:hAnsi="Google Sans"/>
          <w:i w:val="1"/>
          <w:iCs w:val="1"/>
          <w:color w:val="1f1f1f"/>
          <w:rtl w:val="0"/>
        </w:rPr>
        <w:t xml:space="preserve">audit trails</w:t>
      </w:r>
      <w:r w:rsidDel="00000000" w:rsidR="00000000" w:rsidRPr="00000000">
        <w:rPr>
          <w:rFonts w:ascii="Google Sans" w:cs="Google Sans" w:eastAsia="Google Sans" w:hAnsi="Google Sans"/>
          <w:color w:val="1f1f1f"/>
          <w:rtl w:val="0"/>
        </w:rPr>
        <w:t xml:space="preserve">). Estes relatórios atestarão documentalmente para os fiscais do Ministério do Trabalho que os recursos subsidiados estão sendo investidos na promoção da alimentação adequada e saudável. As recentes portarias vedam terminantemente o oferecimento de Serviços de Valor Agregado (SVA) que descaracterizem a natureza pré-paga alimentar do benefício (BRASIL, 2024).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prática de vincular descontos comerciais a pagamentos de faturas, concessão de </w:t>
      </w:r>
      <w:r w:rsidDel="00000000" w:rsidR="00000000" w:rsidRPr="00000000">
        <w:rPr>
          <w:rFonts w:ascii="Google Sans" w:cs="Google Sans" w:eastAsia="Google Sans" w:hAnsi="Google Sans"/>
          <w:i w:val="1"/>
          <w:iCs w:val="1"/>
          <w:color w:val="1f1f1f"/>
          <w:rtl w:val="0"/>
        </w:rPr>
        <w:t xml:space="preserve">cashback</w:t>
      </w:r>
      <w:r w:rsidDel="00000000" w:rsidR="00000000" w:rsidRPr="00000000">
        <w:rPr>
          <w:rFonts w:ascii="Google Sans" w:cs="Google Sans" w:eastAsia="Google Sans" w:hAnsi="Google Sans"/>
          <w:color w:val="1f1f1f"/>
          <w:rtl w:val="0"/>
        </w:rPr>
        <w:t xml:space="preserve">, ou o desvio de uso para atividades físicas e planos de saúde estão proibidos e geram o cancelamento da inscrição no PAT, com multas severas e a imediata perda do incentivo fiscal sobre o Lucro Real para a empresa contratante (BRASIL, 2024).</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Portanto, o software de UAN posiciona-se como o escudo jurídico da operação, emitindo laudos técnicos diários contendo o VET, NDpCal e quantitativo de fibras, comprovando de forma inquestionável que a saúde nutricional do trabalhador é o objeto focal do serviço prestado.</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Metodologia de Harmonia Sensorial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do escopo estritamente quantitativo e bioquímico detalhado na seção anterior, o sucesso administrativo e a sustentabilidade de uma Unidade de Alimentação e Nutrição são avaliados primariamente pela aceitação diária do comensal. O índice de desperdício de alimentos (resto-ingestão) e a recusa de preparações são, na vasta maioria dos casos industriais, decorrentes de falhas críticas no planejamento sensorial e estético, não de inadequações calóricas. Para que o SaaS opere na fronteira da inovação tecnológica, ele deve parametrizar a qualidade intrínseca do cardápio utilizando a </w:t>
      </w:r>
      <w:r w:rsidDel="00000000" w:rsidR="00000000" w:rsidRPr="00000000">
        <w:rPr>
          <w:rFonts w:ascii="Google Sans" w:cs="Google Sans" w:eastAsia="Google Sans" w:hAnsi="Google Sans"/>
          <w:b w:val="1"/>
          <w:bCs w:val="1"/>
          <w:color w:val="1f1f1f"/>
          <w:rtl w:val="0"/>
        </w:rPr>
        <w:t xml:space="preserve">Avaliação Qualitativa das Preparações do Cardápio (AQPC)</w:t>
      </w:r>
      <w:r w:rsidDel="00000000" w:rsidR="00000000" w:rsidRPr="00000000">
        <w:rPr>
          <w:rFonts w:ascii="Google Sans" w:cs="Google Sans" w:eastAsia="Google Sans" w:hAnsi="Google Sans"/>
          <w:color w:val="1f1f1f"/>
          <w:rtl w:val="0"/>
        </w:rPr>
        <w:t xml:space="preserve">, método extensamente testado e validado academicamente por Veiros e Proença (2003)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metodologia AQPC revoluciona o planejamento institucional ao superar a visão focada estritamente nos macronutrientes, introduzindo uma matriz que avalia a neurobiologia da alimentação: a percepção de cores, o contraste de texturas, a variação de métodos termodinâmicos de cocção, a prevenção de repetições sistêmicas de ingredientes e, criticamente, o monitoramento de combinações antinutricionais que prejudicam a digestibilidade e geram mal-estar imediato (PROENÇA; VEIROS, 2003).</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Trabalhos científicos contemporâneos rigorosos (2020-2025) corroboram enfaticamente a robustez do método AQPC na detecção de falhas silenciosas na elaboração de cardápios cíclicos tanto em grandes restaurantes institucionais corporativos quanto em ambientes hospitalares (SILVA et al., 2023; ZOLONDEK; ALMEIDA, 2025; VIENCZ et al., 2016).</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 sistema deve, obrigatoriamente, codificar os critérios do método AQPC em uma engine ou matriz algorítmica de validação qualitativa, funcionando em paralelo à validação do NDpCal.</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Computacional de Critérios do Método AQPC para Regras de Negócio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Contraste Cromático e Prevenção de Monotonia de Cores:</w:t>
      </w:r>
      <w:r w:rsidDel="00000000" w:rsidR="00000000" w:rsidRPr="00000000">
        <w:rPr>
          <w:rFonts w:ascii="Google Sans" w:cs="Google Sans" w:eastAsia="Google Sans" w:hAnsi="Google Sans"/>
          <w:color w:val="1f1f1f"/>
          <w:rtl w:val="0"/>
        </w:rPr>
        <w:t xml:space="preserve"> A percepção visual e a cromatografia dos alimentos formam o principal vetor neurológico do apetite humano e do estímulo cefálico às secreções de ácido gástrico. Do ponto de vista metabólico e nutricional, um prato de composição monocromática revela invariavelmente uma perigosa restrição na variedade de fitocomplexos, vitaminas e compostos bioativos (carotenoides nos alaranjados, antocianinas nos arroxeados, clorofila nos verdes, licopeno nos vermelhos)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Regra de Negócio de Backend:</w:t>
      </w:r>
      <w:r w:rsidDel="00000000" w:rsidR="00000000" w:rsidRPr="00000000">
        <w:rPr>
          <w:rFonts w:ascii="Google Sans" w:cs="Google Sans" w:eastAsia="Google Sans" w:hAnsi="Google Sans"/>
          <w:color w:val="1f1f1f"/>
          <w:rtl w:val="0"/>
        </w:rPr>
        <w:t xml:space="preserve"> O esquema do banco de dados relacional deve associar obrigatoriamente uma </w:t>
      </w:r>
      <w:r w:rsidDel="00000000" w:rsidR="00000000" w:rsidRPr="00000000">
        <w:rPr>
          <w:rFonts w:ascii="Google Sans" w:cs="Google Sans" w:eastAsia="Google Sans" w:hAnsi="Google Sans"/>
          <w:i w:val="1"/>
          <w:iCs w:val="1"/>
          <w:color w:val="1f1f1f"/>
          <w:rtl w:val="0"/>
        </w:rPr>
        <w:t xml:space="preserve">tag</w:t>
      </w:r>
      <w:r w:rsidDel="00000000" w:rsidR="00000000" w:rsidRPr="00000000">
        <w:rPr>
          <w:rFonts w:ascii="Google Sans" w:cs="Google Sans" w:eastAsia="Google Sans" w:hAnsi="Google Sans"/>
          <w:color w:val="1f1f1f"/>
          <w:rtl w:val="0"/>
        </w:rPr>
        <w:t xml:space="preserve"> de cor predominante a cada ingrediente e preparação final cadastrada (ex: ENUM('Branco', 'Marrom', 'Verde', 'Vermelho', 'Amarelo')).</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Validação Sistêmica:</w:t>
      </w:r>
      <w:r w:rsidDel="00000000" w:rsidR="00000000" w:rsidRPr="00000000">
        <w:rPr>
          <w:rFonts w:ascii="Google Sans" w:cs="Google Sans" w:eastAsia="Google Sans" w:hAnsi="Google Sans"/>
          <w:color w:val="1f1f1f"/>
          <w:rtl w:val="0"/>
        </w:rPr>
        <w:t xml:space="preserve"> O algoritmo de verificação deve varrer a Ficha Técnica diária e gerar uma sinalização rigorosa de </w:t>
      </w:r>
      <w:r w:rsidDel="00000000" w:rsidR="00000000" w:rsidRPr="00000000">
        <w:rPr>
          <w:rFonts w:ascii="Google Sans" w:cs="Google Sans" w:eastAsia="Google Sans" w:hAnsi="Google Sans"/>
          <w:b w:val="1"/>
          <w:bCs w:val="1"/>
          <w:color w:val="1f1f1f"/>
          <w:rtl w:val="0"/>
        </w:rPr>
        <w:t xml:space="preserve">"Monotonia de Cores"</w:t>
      </w:r>
      <w:r w:rsidDel="00000000" w:rsidR="00000000" w:rsidRPr="00000000">
        <w:rPr>
          <w:rFonts w:ascii="Google Sans" w:cs="Google Sans" w:eastAsia="Google Sans" w:hAnsi="Google Sans"/>
          <w:color w:val="1f1f1f"/>
          <w:rtl w:val="0"/>
        </w:rPr>
        <w:t xml:space="preserve"> (marcador negativo de cor rosa na interface) caso identifique </w:t>
      </w:r>
      <w:r w:rsidDel="00000000" w:rsidR="00000000" w:rsidRPr="00000000">
        <w:rPr>
          <w:rFonts w:ascii="Google Sans" w:cs="Google Sans" w:eastAsia="Google Sans" w:hAnsi="Google Sans"/>
          <w:b w:val="1"/>
          <w:bCs w:val="1"/>
          <w:color w:val="1f1f1f"/>
          <w:rtl w:val="0"/>
        </w:rPr>
        <w:t xml:space="preserve">três ou mais</w:t>
      </w:r>
      <w:r w:rsidDel="00000000" w:rsidR="00000000" w:rsidRPr="00000000">
        <w:rPr>
          <w:rFonts w:ascii="Google Sans" w:cs="Google Sans" w:eastAsia="Google Sans" w:hAnsi="Google Sans"/>
          <w:color w:val="1f1f1f"/>
          <w:rtl w:val="0"/>
        </w:rPr>
        <w:t xml:space="preserve"> preparações principais ostentando a mesma cor no cardápio de um dia, ou se a totalidade das opções de guarnições e pratos principais na linha de </w:t>
      </w:r>
      <w:r w:rsidDel="00000000" w:rsidR="00000000" w:rsidRPr="00000000">
        <w:rPr>
          <w:rFonts w:ascii="Google Sans" w:cs="Google Sans" w:eastAsia="Google Sans" w:hAnsi="Google Sans"/>
          <w:i w:val="1"/>
          <w:iCs w:val="1"/>
          <w:color w:val="1f1f1f"/>
          <w:rtl w:val="0"/>
        </w:rPr>
        <w:t xml:space="preserve">self-service</w:t>
      </w:r>
      <w:r w:rsidDel="00000000" w:rsidR="00000000" w:rsidRPr="00000000">
        <w:rPr>
          <w:rFonts w:ascii="Google Sans" w:cs="Google Sans" w:eastAsia="Google Sans" w:hAnsi="Google Sans"/>
          <w:color w:val="1f1f1f"/>
          <w:rtl w:val="0"/>
        </w:rPr>
        <w:t xml:space="preserve"> for composta pela repetição intermitente de apenas duas cores básicas (ex: Arroz Branco, Feijão Marrom, Frango Grelhado Branco, Batata Sauté Amarelo/Branco, Purê de Inhame Branco)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Técnicas Termodinâmicas de Cocção e Monitoramento de Frituras: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técnica de preparo térmico (condução, convecção, radiação) impacta não apenas o valor calórico final da FTP e a estabilidade das vitaminas termolábeis, mas também a integridade toxicológica do alimento (formação de acrilamida e Produtos de Glicação Avançada - AGEs - gerados pelas reações de Maillard submetidas a altas temperaturas prolongadas em imersão lipídica).</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Regra de Negócio de Backend:</w:t>
      </w:r>
      <w:r w:rsidDel="00000000" w:rsidR="00000000" w:rsidRPr="00000000">
        <w:rPr>
          <w:rFonts w:ascii="Google Sans" w:cs="Google Sans" w:eastAsia="Google Sans" w:hAnsi="Google Sans"/>
          <w:color w:val="1f1f1f"/>
          <w:rtl w:val="0"/>
        </w:rPr>
        <w:t xml:space="preserve"> Cada preparação da base do sistema deve estar vinculada de forma não nula ao seu método primário de cocção (ex: Cozido no vapor, Assado, Grelhado, Frito por imersão, Salteado, Cru).</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Validação Sistêmica:</w:t>
      </w:r>
      <w:r w:rsidDel="00000000" w:rsidR="00000000" w:rsidRPr="00000000">
        <w:rPr>
          <w:rFonts w:ascii="Google Sans" w:cs="Google Sans" w:eastAsia="Google Sans" w:hAnsi="Google Sans"/>
          <w:color w:val="1f1f1f"/>
          <w:rtl w:val="0"/>
        </w:rPr>
        <w:t xml:space="preserve"> O sistema deve instituir um módulo de monitoramento diário da presença de frituras. A existência de preparações fritas de forma isolada (ex: bife à milanesa, batata frita, pastel) já é contabilizada pelo método como uma falha qualitativa moderada (PROENÇA; VEIROS, 2003).</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Contudo, a inconformidade fisiológica agrava-se exponencialmente (classificação de alerta vermelho) se o algoritmo detectar a sobreposição de </w:t>
      </w:r>
      <w:r w:rsidDel="00000000" w:rsidR="00000000" w:rsidRPr="00000000">
        <w:rPr>
          <w:rFonts w:ascii="Google Sans" w:cs="Google Sans" w:eastAsia="Google Sans" w:hAnsi="Google Sans"/>
          <w:b w:val="1"/>
          <w:bCs w:val="1"/>
          <w:color w:val="1f1f1f"/>
          <w:rtl w:val="0"/>
        </w:rPr>
        <w:t xml:space="preserve">fritura associada a doces ricos em açúcares na sobremesa</w:t>
      </w:r>
      <w:r w:rsidDel="00000000" w:rsidR="00000000" w:rsidRPr="00000000">
        <w:rPr>
          <w:rFonts w:ascii="Google Sans" w:cs="Google Sans" w:eastAsia="Google Sans" w:hAnsi="Google Sans"/>
          <w:color w:val="1f1f1f"/>
          <w:rtl w:val="0"/>
        </w:rPr>
        <w:t xml:space="preserve"> no mesmo dia. Esta conjugação específica (hiperlipidemia somada a uma altíssima carga glicêmica) retarda o esvaziamento gástrico, induz um pico insulínico agudo e provoca severa letargia e sonolência nos trabalhadores (a maré alcalina pós-prandial), derrubando a produtividade da planta industrial no período da tarde (PROENÇA; VEIROS, 2003).</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 sistema deve emitir um bloqueio sugerindo a troca do doce por fruta fresca nestes dias.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Texturas e Sensação Física Imediata (Alimentos Ricos em Enxofre):</w:t>
      </w:r>
      <w:r w:rsidDel="00000000" w:rsidR="00000000" w:rsidRPr="00000000">
        <w:rPr>
          <w:rFonts w:ascii="Google Sans" w:cs="Google Sans" w:eastAsia="Google Sans" w:hAnsi="Google Sans"/>
          <w:color w:val="1f1f1f"/>
          <w:rtl w:val="0"/>
        </w:rPr>
        <w:t xml:space="preserve"> A metodologia pioneira de Veiros e Proença foca incisivamente na sensação física pós-prandial imediata que o comensal experimenta em seu posto de trabalho (PROENÇA; VEIROS, 2003).</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Alimentos vegetais ricos em compostos organossulfurados (como os glicosinolatos presentes nas brássicas e a alicina nos alliums) sofrem intensa fermentação ao encontrar bactérias putrefativas colônicas. O subproduto metabólico dessa interação é o sulfeto de hidrogênio (H2S) e o metano. O resultado clínico é distensão abdominal acentuada, meteorismo (flatulência) e considerável desconforto gástrico, interferindo profundamente na ergonomia física, concentração e conforto do operador de máquinas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Regra de Negócio de Backend:</w:t>
      </w:r>
      <w:r w:rsidDel="00000000" w:rsidR="00000000" w:rsidRPr="00000000">
        <w:rPr>
          <w:rFonts w:ascii="Google Sans" w:cs="Google Sans" w:eastAsia="Google Sans" w:hAnsi="Google Sans"/>
          <w:color w:val="1f1f1f"/>
          <w:rtl w:val="0"/>
        </w:rPr>
        <w:t xml:space="preserve"> O banco de dados mestre de ingredientes deve sinalizar (através de uma flag booleana estruturada, ex: rico_em_enxofre = TRUE) a seguinte lista validada pela literatura científica como alimentos flatulentos: abacate, acelga, aipo, alho (em concentrações excessivas como guarnição), amendoim, batata-doce, brócolis, castanha, cebola crua, couve-de-bruxelas, couve-flor, ervilha seca, gengibre, goiaba, jaca, lentilha, maçã, melancia, melão, milho, mostarda folha, nabo, nozes, ovo cozido (gema sulfurada), rabanete, repolho, pimentão e uva (PROENÇA; VEIROS, 2003).</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Exceção Sistêmica Cognitiva:</w:t>
      </w:r>
      <w:r w:rsidDel="00000000" w:rsidR="00000000" w:rsidRPr="00000000">
        <w:rPr>
          <w:rFonts w:ascii="Google Sans" w:cs="Google Sans" w:eastAsia="Google Sans" w:hAnsi="Google Sans"/>
          <w:color w:val="1f1f1f"/>
          <w:rtl w:val="0"/>
        </w:rPr>
        <w:t xml:space="preserve"> O algoritmo deve ser programado para ignorar o </w:t>
      </w:r>
      <w:r w:rsidDel="00000000" w:rsidR="00000000" w:rsidRPr="00000000">
        <w:rPr>
          <w:rFonts w:ascii="Google Sans" w:cs="Google Sans" w:eastAsia="Google Sans" w:hAnsi="Google Sans"/>
          <w:i w:val="1"/>
          <w:iCs w:val="1"/>
          <w:color w:val="1f1f1f"/>
          <w:rtl w:val="0"/>
        </w:rPr>
        <w:t xml:space="preserve">Feijão</w:t>
      </w:r>
      <w:r w:rsidDel="00000000" w:rsidR="00000000" w:rsidRPr="00000000">
        <w:rPr>
          <w:rFonts w:ascii="Google Sans" w:cs="Google Sans" w:eastAsia="Google Sans" w:hAnsi="Google Sans"/>
          <w:color w:val="1f1f1f"/>
          <w:rtl w:val="0"/>
        </w:rPr>
        <w:t xml:space="preserve"> desta listagem de controle específico, pois sendo a base cultural da dieta brasileira, ele é ingerido diariamente e já possui tolerância adaptativa na microbiota nativa, devendo ser desconsiderado do somatório de fatores de enxofre para evitar falsos positivos diários no sistema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Validação Sistêmica:</w:t>
      </w:r>
      <w:r w:rsidDel="00000000" w:rsidR="00000000" w:rsidRPr="00000000">
        <w:rPr>
          <w:rFonts w:ascii="Google Sans" w:cs="Google Sans" w:eastAsia="Google Sans" w:hAnsi="Google Sans"/>
          <w:color w:val="1f1f1f"/>
          <w:rtl w:val="0"/>
        </w:rPr>
        <w:t xml:space="preserve"> O sistema conta quantas flags de enxofre são ativadas na refeição. A </w:t>
      </w:r>
      <w:r w:rsidDel="00000000" w:rsidR="00000000" w:rsidRPr="00000000">
        <w:rPr>
          <w:rFonts w:ascii="Google Sans" w:cs="Google Sans" w:eastAsia="Google Sans" w:hAnsi="Google Sans"/>
          <w:i w:val="1"/>
          <w:iCs w:val="1"/>
          <w:color w:val="1f1f1f"/>
          <w:rtl w:val="0"/>
        </w:rPr>
        <w:t xml:space="preserve">business rule</w:t>
      </w:r>
      <w:r w:rsidDel="00000000" w:rsidR="00000000" w:rsidRPr="00000000">
        <w:rPr>
          <w:rFonts w:ascii="Google Sans" w:cs="Google Sans" w:eastAsia="Google Sans" w:hAnsi="Google Sans"/>
          <w:color w:val="1f1f1f"/>
          <w:rtl w:val="0"/>
        </w:rPr>
        <w:t xml:space="preserve"> emite um alerta de nível "Azul" (desconforto) se houver a oferta no menu de </w:t>
      </w:r>
      <w:r w:rsidDel="00000000" w:rsidR="00000000" w:rsidRPr="00000000">
        <w:rPr>
          <w:rFonts w:ascii="Google Sans" w:cs="Google Sans" w:eastAsia="Google Sans" w:hAnsi="Google Sans"/>
          <w:b w:val="1"/>
          <w:bCs w:val="1"/>
          <w:color w:val="1f1f1f"/>
          <w:rtl w:val="0"/>
        </w:rPr>
        <w:t xml:space="preserve">duas ou mais preparações</w:t>
      </w:r>
      <w:r w:rsidDel="00000000" w:rsidR="00000000" w:rsidRPr="00000000">
        <w:rPr>
          <w:rFonts w:ascii="Google Sans" w:cs="Google Sans" w:eastAsia="Google Sans" w:hAnsi="Google Sans"/>
          <w:color w:val="1f1f1f"/>
          <w:rtl w:val="0"/>
        </w:rPr>
        <w:t xml:space="preserve"> derivadas de alimentos ricos em enxofre no mesmo turno de serviço (ex: Ovos cozidos de guarnição acompanhados de Salada de Repolho)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4. Repetições Sistêmicas e Carnes Gordurosas:</w:t>
      </w:r>
      <w:r w:rsidDel="00000000" w:rsidR="00000000" w:rsidRPr="00000000">
        <w:rPr>
          <w:rFonts w:ascii="Google Sans" w:cs="Google Sans" w:eastAsia="Google Sans" w:hAnsi="Google Sans"/>
          <w:color w:val="1f1f1f"/>
          <w:rtl w:val="0"/>
        </w:rPr>
        <w:t xml:space="preserve"> Para assegurar a rotatividade aceitável e evitar a fadiga de paladar, a macroestrutura do ciclo de cardápios (geralmente gerado para períodos de 21 ou 28 dias) deve possuir um rastreador algorítmico que impeça a repetição mecânica de cortes principais, texturas ou perfis de sabor na mesma semana civil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Validação Sistêmica:</w:t>
      </w:r>
      <w:r w:rsidDel="00000000" w:rsidR="00000000" w:rsidRPr="00000000">
        <w:rPr>
          <w:rFonts w:ascii="Google Sans" w:cs="Google Sans" w:eastAsia="Google Sans" w:hAnsi="Google Sans"/>
          <w:color w:val="1f1f1f"/>
          <w:rtl w:val="0"/>
        </w:rPr>
        <w:t xml:space="preserve"> O software monitora a recorrência temporal de carnes com alto teor de gordura intrínseca entremeada e saturada (como costela bovina, pernil suíno, linguiças embutidas, salsichas comerciais, feijoada completa, hambúrgueres industriais). O método penaliza a pontuação se o índice de repetição for alto (PROENÇA; VEIROS, 2003).</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Semelhante à regra da fritura, o oferecimento de carnes gordurosas associadas a sobremesas doces (como pudins ou sagu) no mesmo dia de trabalho é enquadrado pelo AQPC como um aspecto qualitativo ruim a ser sinalizado e bloqueado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Indicadores Positivos de Preservação Metabólica (Folhosos e Frutas):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 contraponto às penalidades, o método avalia positivamente as inclusões funcionais. As folhas frescas fornecem hidratação celular e vitaminas termolábeis (vitamina C e ácido fólico) preservadas, enquanto as frutas garantem o aporte de fibras dietéticas.</w:t>
      </w:r>
    </w:p>
    <w:p w:rsidR="00000000" w:rsidDel="00000000" w:rsidP="00000000" w:rsidRDefault="00000000" w:rsidRPr="00000000" w14:paraId="0000003C">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i w:val="1"/>
          <w:iCs w:val="1"/>
          <w:color w:val="1f1f1f"/>
          <w:rtl w:val="0"/>
        </w:rPr>
        <w:t xml:space="preserve">Validação Sistêmica:</w:t>
      </w:r>
      <w:r w:rsidDel="00000000" w:rsidR="00000000" w:rsidRPr="00000000">
        <w:rPr>
          <w:rFonts w:ascii="Google Sans" w:cs="Google Sans" w:eastAsia="Google Sans" w:hAnsi="Google Sans"/>
          <w:color w:val="1f1f1f"/>
          <w:rtl w:val="0"/>
        </w:rPr>
        <w:t xml:space="preserve"> O software aplica uma pontuação positiva (alerta visual da cor "Verde") no algoritmo diário para a garantia de presença intocável de hortaliças cruas folhosas variadas nas rincões de saladas e, majoritariamente, frutas </w:t>
      </w:r>
      <w:r w:rsidDel="00000000" w:rsidR="00000000" w:rsidRPr="00000000">
        <w:rPr>
          <w:rFonts w:ascii="Google Sans" w:cs="Google Sans" w:eastAsia="Google Sans" w:hAnsi="Google Sans"/>
          <w:i w:val="1"/>
          <w:iCs w:val="1"/>
          <w:color w:val="1f1f1f"/>
          <w:rtl w:val="0"/>
        </w:rPr>
        <w:t xml:space="preserve">in natura</w:t>
      </w:r>
      <w:r w:rsidDel="00000000" w:rsidR="00000000" w:rsidRPr="00000000">
        <w:rPr>
          <w:rFonts w:ascii="Google Sans" w:cs="Google Sans" w:eastAsia="Google Sans" w:hAnsi="Google Sans"/>
          <w:color w:val="1f1f1f"/>
          <w:rtl w:val="0"/>
        </w:rPr>
        <w:t xml:space="preserve"> (em total preferência sobre doces pastosos, compotas saturadas em calda ou gelatinas coradas) no componente obrigatório de sobremesas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Escore Global de Harmonia Sensorial (Algoritmo de Classificação Sistêmica)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final da elaboração computacional de um ciclo mensal, o SaaS deve compilar os dados diários e semanais, processando-os matematicamente para implementar um painel de controle gerencial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gerencial de nutrição). Neste painel, o cardápio da UAN será quantificado pela escala de mensuração definitiva do método AQPC, cuja lógica fundamenta-se na porcentagem acumulada de incidência de aspectos avaliados como positivos ou em estrita conformidade com a literatura supracitada (PROENÇA; VEIROS, 2003; SILVA et al., 2023).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matriz de classificação global a ser programada no sistema assume os seguintes parâmetros limiares: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Classificação AQPC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Frequência Acumulada de Aspectos Positivos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Diretriz e Interpretação Lógica pelo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Ótimo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32706" cy="215619"/>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32706" cy="21561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Cardápio perfeitamente harmonizado. Baixíssimo risco fisiológico de rejeição; alta densidade de nutrientes protetores. Aprovação sistêmica automática.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38038" cy="221025"/>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8038" cy="22102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Cardápio muito adequado para o perfil do trabalhador, possuindo apenas falhas menores de planejamento (ex: pequenas repetições de técnicas de cocção na semana).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38038" cy="2210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8038" cy="22102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de Alerta Amarelo. Necessidade premente de revisão pontual do gestor sobre a combinação cromática geral ou diminuição da frequência da oferta de enxofre.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38038" cy="22102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8038" cy="221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38038" cy="221025"/>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38038" cy="22102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Status</w:t>
            </w:r>
            <w:r w:rsidDel="00000000" w:rsidR="00000000" w:rsidRPr="00000000">
              <w:rPr>
                <w:rFonts w:ascii="Google Sans" w:cs="Google Sans" w:eastAsia="Google Sans" w:hAnsi="Google Sans"/>
                <w:color w:val="1f1f1f"/>
                <w:rtl w:val="0"/>
              </w:rPr>
              <w:t xml:space="preserve"> de Alerta Vermelho. Cardápio inadequado. Alta e preocupante ocorrência simultânea de monotonia visual, sobreposição de frituras e doces, e carnes altamente lipídicas.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Péssimo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32706" cy="215619"/>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2706" cy="21561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Bloqueio sistêmico recomendado. Cardápio industrial insalubre, monótono, desconfortável do ponto de vista do trato gastrointestinal e em absoluta não conformidade preventiva.</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aplicação fiel da estrutura computacional da metodologia AQPC garante contratualmente que o cardápio elaborado pelo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não seja avaliado pelas empresas contratantes como um mero depositório cego de calorias, mas sim como uma refeição institucional que é sensorialmente cativante, fisiologicamente confortável de ser digerida e biologicamente eficiente na preservação da saúde corporativa a longo prazo (PROENÇA; VEIROS, 2003; ZOLONDEK; ALMEIDA, 2025).</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Referências de Per Capita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cálculo algorítmico preciso de rendimentos e volumes de insumos alimentares é o núcleo financeiro que dita a sustentabilidade econômica real de qualquer Unidade de Alimentação e Nutrição (UAN). Um dimensionamento sistêmico subestimado gera invariavelmente a ruptura de estoque, o caos na linha de produção (</w:t>
      </w:r>
      <w:r w:rsidDel="00000000" w:rsidR="00000000" w:rsidRPr="00000000">
        <w:rPr>
          <w:rFonts w:ascii="Google Sans" w:cs="Google Sans" w:eastAsia="Google Sans" w:hAnsi="Google Sans"/>
          <w:i w:val="1"/>
          <w:iCs w:val="1"/>
          <w:color w:val="1f1f1f"/>
          <w:rtl w:val="0"/>
        </w:rPr>
        <w:t xml:space="preserve">break-down</w:t>
      </w:r>
      <w:r w:rsidDel="00000000" w:rsidR="00000000" w:rsidRPr="00000000">
        <w:rPr>
          <w:rFonts w:ascii="Google Sans" w:cs="Google Sans" w:eastAsia="Google Sans" w:hAnsi="Google Sans"/>
          <w:color w:val="1f1f1f"/>
          <w:rtl w:val="0"/>
        </w:rPr>
        <w:t xml:space="preserve">) e o estresse da compra de urgência. Em contraponto anatômico, um dimensionamento superestimado embute custos ocultos severos por desperdício geométrico nas bancadas e sobras limpas na cuba (MEZOMO, 2002).</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 modelagem impecável do banco de dados relacional de gêneros alimentícios e controle de suprimentos do SaaS, é imprescindível definir e codificar matematicamente as grandezas fundamentais da engenharia de alimentos: o </w:t>
      </w:r>
      <w:r w:rsidDel="00000000" w:rsidR="00000000" w:rsidRPr="00000000">
        <w:rPr>
          <w:rFonts w:ascii="Google Sans" w:cs="Google Sans" w:eastAsia="Google Sans" w:hAnsi="Google Sans"/>
          <w:b w:val="1"/>
          <w:bCs w:val="1"/>
          <w:color w:val="1f1f1f"/>
          <w:rtl w:val="0"/>
        </w:rPr>
        <w:t xml:space="preserve">Per Capita Bruto (PB)</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Per Capita Líquido (PL)</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Fator de Correção (FC)</w:t>
      </w:r>
      <w:r w:rsidDel="00000000" w:rsidR="00000000" w:rsidRPr="00000000">
        <w:rPr>
          <w:rFonts w:ascii="Google Sans" w:cs="Google Sans" w:eastAsia="Google Sans" w:hAnsi="Google Sans"/>
          <w:color w:val="1f1f1f"/>
          <w:rtl w:val="0"/>
        </w:rPr>
        <w:t xml:space="preserve">, e o </w:t>
      </w:r>
      <w:r w:rsidDel="00000000" w:rsidR="00000000" w:rsidRPr="00000000">
        <w:rPr>
          <w:rFonts w:ascii="Google Sans" w:cs="Google Sans" w:eastAsia="Google Sans" w:hAnsi="Google Sans"/>
          <w:b w:val="1"/>
          <w:bCs w:val="1"/>
          <w:color w:val="1f1f1f"/>
          <w:rtl w:val="0"/>
        </w:rPr>
        <w:t xml:space="preserve">Fator de Cocção (FCy)</w:t>
      </w:r>
      <w:r w:rsidDel="00000000" w:rsidR="00000000" w:rsidRPr="00000000">
        <w:rPr>
          <w:rFonts w:ascii="Google Sans" w:cs="Google Sans" w:eastAsia="Google Sans" w:hAnsi="Google Sans"/>
          <w:color w:val="1f1f1f"/>
          <w:rtl w:val="0"/>
        </w:rPr>
        <w:t xml:space="preserve"> (PHILIPPI, 2019; NUNES, [200-?]).</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 Capita Líquido (PL):</w:t>
      </w:r>
      <w:r w:rsidDel="00000000" w:rsidR="00000000" w:rsidRPr="00000000">
        <w:rPr>
          <w:rFonts w:ascii="Google Sans" w:cs="Google Sans" w:eastAsia="Google Sans" w:hAnsi="Google Sans"/>
          <w:color w:val="1f1f1f"/>
          <w:rtl w:val="0"/>
        </w:rPr>
        <w:t xml:space="preserve"> É a variável que representa a massa exata do alimento, após ter sofrido os processos físicos contínuos de pré-preparo da cozinha (descascamento, desossa profunda, toalete de aponevroses e nervos). É este o peso orgânico que será submetido à técnica de cocção ou servido em saladas cruas ao comensal. Reflete com exatidão a porção consumível (Parte Edível) e atua como a base de dados central para as rotinas de cálculo do rendimento e valor nutricional calórico da refeição (PHILIPPI, 2019).</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 Capita Bruto (PB):</w:t>
      </w:r>
      <w:r w:rsidDel="00000000" w:rsidR="00000000" w:rsidRPr="00000000">
        <w:rPr>
          <w:rFonts w:ascii="Google Sans" w:cs="Google Sans" w:eastAsia="Google Sans" w:hAnsi="Google Sans"/>
          <w:color w:val="1f1f1f"/>
          <w:rtl w:val="0"/>
        </w:rPr>
        <w:t xml:space="preserve"> Representa numericamente a massa do alimento </w:t>
      </w:r>
      <w:r w:rsidDel="00000000" w:rsidR="00000000" w:rsidRPr="00000000">
        <w:rPr>
          <w:rFonts w:ascii="Google Sans" w:cs="Google Sans" w:eastAsia="Google Sans" w:hAnsi="Google Sans"/>
          <w:i w:val="1"/>
          <w:iCs w:val="1"/>
          <w:color w:val="1f1f1f"/>
          <w:rtl w:val="0"/>
        </w:rPr>
        <w:t xml:space="preserve">in natura</w:t>
      </w:r>
      <w:r w:rsidDel="00000000" w:rsidR="00000000" w:rsidRPr="00000000">
        <w:rPr>
          <w:rFonts w:ascii="Google Sans" w:cs="Google Sans" w:eastAsia="Google Sans" w:hAnsi="Google Sans"/>
          <w:color w:val="1f1f1f"/>
          <w:rtl w:val="0"/>
        </w:rPr>
        <w:t xml:space="preserve"> exatamente na conformação como é adquirido no recebimento do fornecedor comercial. Esta massa bruta engloba obrigatoriamente componentes não consumíveis (aparas de sebo, ossos estruturais, cascas botânicas grossas, sementes duras e talos endurecidos). É o PB o dado fundamental, a </w:t>
      </w:r>
      <w:r w:rsidDel="00000000" w:rsidR="00000000" w:rsidRPr="00000000">
        <w:rPr>
          <w:rFonts w:ascii="Google Sans" w:cs="Google Sans" w:eastAsia="Google Sans" w:hAnsi="Google Sans"/>
          <w:i w:val="1"/>
          <w:iCs w:val="1"/>
          <w:color w:val="1f1f1f"/>
          <w:rtl w:val="0"/>
        </w:rPr>
        <w:t xml:space="preserve">master variable</w:t>
      </w:r>
      <w:r w:rsidDel="00000000" w:rsidR="00000000" w:rsidRPr="00000000">
        <w:rPr>
          <w:rFonts w:ascii="Google Sans" w:cs="Google Sans" w:eastAsia="Google Sans" w:hAnsi="Google Sans"/>
          <w:color w:val="1f1f1f"/>
          <w:rtl w:val="0"/>
        </w:rPr>
        <w:t xml:space="preserve">, para a geração automática dos relatórios do Módulo de Compras, Custos e Estoque (MRP - </w:t>
      </w:r>
      <w:r w:rsidDel="00000000" w:rsidR="00000000" w:rsidRPr="00000000">
        <w:rPr>
          <w:rFonts w:ascii="Google Sans" w:cs="Google Sans" w:eastAsia="Google Sans" w:hAnsi="Google Sans"/>
          <w:i w:val="1"/>
          <w:iCs w:val="1"/>
          <w:color w:val="1f1f1f"/>
          <w:rtl w:val="0"/>
        </w:rPr>
        <w:t xml:space="preserve">Material Requirements Planning</w:t>
      </w:r>
      <w:r w:rsidDel="00000000" w:rsidR="00000000" w:rsidRPr="00000000">
        <w:rPr>
          <w:rFonts w:ascii="Google Sans" w:cs="Google Sans" w:eastAsia="Google Sans" w:hAnsi="Google Sans"/>
          <w:color w:val="1f1f1f"/>
          <w:rtl w:val="0"/>
        </w:rPr>
        <w:t xml:space="preserve">) do sistema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Fator de Correção (FC ou IPC - Índice de Parte Comestível):</w:t>
      </w:r>
      <w:r w:rsidDel="00000000" w:rsidR="00000000" w:rsidRPr="00000000">
        <w:rPr>
          <w:rFonts w:ascii="Google Sans" w:cs="Google Sans" w:eastAsia="Google Sans" w:hAnsi="Google Sans"/>
          <w:color w:val="1f1f1f"/>
          <w:rtl w:val="0"/>
        </w:rPr>
        <w:t xml:space="preserve"> Consiste em uma constante matemática fixa na arquitetura de alimentos, onde a equação é formalizada como </w:t>
      </w:r>
      <w:r w:rsidDel="00000000" w:rsidR="00000000" w:rsidRPr="00000000">
        <w:rPr>
          <w:rFonts w:ascii="Google Sans" w:cs="Google Sans" w:eastAsia="Google Sans" w:hAnsi="Google Sans"/>
          <w:color w:val="1f1f1f"/>
        </w:rPr>
        <w:drawing>
          <wp:inline distB="19050" distT="19050" distL="19050" distR="19050">
            <wp:extent cx="742256" cy="23473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742256" cy="234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banco de dados mestre do sistema deve possuir este índice perfeitamente mapeado para cada alimento em seus diversos níveis de industrialização. Assim, na elaboração visual de uma Ficha Técnica de Preparação (FTP) pela nutricionista, a inserção dinâmica do valor de PL desejado para os nutrientes automaticamente realiza a multiplicação (</w:t>
      </w:r>
      <w:r w:rsidDel="00000000" w:rsidR="00000000" w:rsidRPr="00000000">
        <w:rPr>
          <w:rFonts w:ascii="Google Sans" w:cs="Google Sans" w:eastAsia="Google Sans" w:hAnsi="Google Sans"/>
          <w:i w:val="1"/>
          <w:iCs w:val="1"/>
          <w:color w:val="1f1f1f"/>
          <w:rtl w:val="0"/>
        </w:rPr>
        <w:t xml:space="preserve">trigger</w:t>
      </w:r>
      <w:r w:rsidDel="00000000" w:rsidR="00000000" w:rsidRPr="00000000">
        <w:rPr>
          <w:rFonts w:ascii="Google Sans" w:cs="Google Sans" w:eastAsia="Google Sans" w:hAnsi="Google Sans"/>
          <w:color w:val="1f1f1f"/>
          <w:rtl w:val="0"/>
        </w:rPr>
        <w:t xml:space="preserve">) para calcular o valor do PB para a engenharia de custos do prato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diretrizes consolidadas por décadas de atuação dos autores referenciais clássicos da gestão institucional no Brasil, notadamente os tratados de Mezomo (2002) e Philippi (2019), cruzadas com as vastas tabelas de dados de engenharia governamentais (como a Coordenadoria de Recebimento e Distribuição da Defesa Civil - CRD do Rio de Janeiro e os mapeamentos técnicos da Universidade Federal de Juiz de Fora - UFJF), consolidam um </w:t>
      </w:r>
      <w:r w:rsidDel="00000000" w:rsidR="00000000" w:rsidRPr="00000000">
        <w:rPr>
          <w:rFonts w:ascii="Google Sans" w:cs="Google Sans" w:eastAsia="Google Sans" w:hAnsi="Google Sans"/>
          <w:i w:val="1"/>
          <w:iCs w:val="1"/>
          <w:color w:val="1f1f1f"/>
          <w:rtl w:val="0"/>
        </w:rPr>
        <w:t xml:space="preserve">dataset</w:t>
      </w:r>
      <w:r w:rsidDel="00000000" w:rsidR="00000000" w:rsidRPr="00000000">
        <w:rPr>
          <w:rFonts w:ascii="Google Sans" w:cs="Google Sans" w:eastAsia="Google Sans" w:hAnsi="Google Sans"/>
          <w:color w:val="1f1f1f"/>
          <w:rtl w:val="0"/>
        </w:rPr>
        <w:t xml:space="preserve"> de valores-padrão de altíssima precisão acadêmica (MEZOMO, 2002; PHILIPPI, 2019; BRASIL, 1999).</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parametrização a seguir destina-se a coletividades sadias padrão (adultos da indústria corporativa ou restaurantes universitários). Estes parâmetros quantitativos tabulares constituem o "estado inicial" (valores </w:t>
      </w:r>
      <w:r w:rsidDel="00000000" w:rsidR="00000000" w:rsidRPr="00000000">
        <w:rPr>
          <w:rFonts w:ascii="Google Sans" w:cs="Google Sans" w:eastAsia="Google Sans" w:hAnsi="Google Sans"/>
          <w:i w:val="1"/>
          <w:iCs w:val="1"/>
          <w:color w:val="1f1f1f"/>
          <w:rtl w:val="0"/>
        </w:rPr>
        <w:t xml:space="preserve">default</w:t>
      </w:r>
      <w:r w:rsidDel="00000000" w:rsidR="00000000" w:rsidRPr="00000000">
        <w:rPr>
          <w:rFonts w:ascii="Google Sans" w:cs="Google Sans" w:eastAsia="Google Sans" w:hAnsi="Google Sans"/>
          <w:color w:val="1f1f1f"/>
          <w:rtl w:val="0"/>
        </w:rPr>
        <w:t xml:space="preserve"> sugeridos) a ser inserido (</w:t>
      </w:r>
      <w:r w:rsidDel="00000000" w:rsidR="00000000" w:rsidRPr="00000000">
        <w:rPr>
          <w:rFonts w:ascii="Google Sans" w:cs="Google Sans" w:eastAsia="Google Sans" w:hAnsi="Google Sans"/>
          <w:i w:val="1"/>
          <w:iCs w:val="1"/>
          <w:color w:val="1f1f1f"/>
          <w:rtl w:val="0"/>
        </w:rPr>
        <w:t xml:space="preserve">seeded</w:t>
      </w:r>
      <w:r w:rsidDel="00000000" w:rsidR="00000000" w:rsidRPr="00000000">
        <w:rPr>
          <w:rFonts w:ascii="Google Sans" w:cs="Google Sans" w:eastAsia="Google Sans" w:hAnsi="Google Sans"/>
          <w:color w:val="1f1f1f"/>
          <w:rtl w:val="0"/>
        </w:rPr>
        <w:t xml:space="preserve">) no banco de dados do software, deixando as tabelas configuráveis localmente pelas nutricionistas chefes da UAN para aclimatar sazonalidades ou especificações rigorosas do contrato.</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1: Parâmetros para Pratos Principais (Cortes Cárneos e Proteínas)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carnes constituem invariavelmente o item de pico na matriz de impacto financeiro (posição topo na curva ABC de suprimentos) de uma cozinha industrial. O controle tecnológico rigoroso do Fator de Correção no SaaS, sobretudo em compras de peças com a estrutura óssea mantida, é vital para impedir a falência de margem de lucro em contratos apertados.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Matriz do Gênero Alimentício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 Capita Bruto (PB) Padrão Recomendado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 Capita Líquido (PL) Fisiológico Estimado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Justificativa de Engenharia de Alimentos para Lógica do 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Carne Bovina Muscular</w:t>
            </w:r>
            <w:r w:rsidDel="00000000" w:rsidR="00000000" w:rsidRPr="00000000">
              <w:rPr>
                <w:rFonts w:ascii="Google Sans" w:cs="Google Sans" w:eastAsia="Google Sans" w:hAnsi="Google Sans"/>
                <w:color w:val="1f1f1f"/>
                <w:shd w:fill="auto" w:val="clear"/>
                <w:rtl w:val="0"/>
              </w:rPr>
              <w:t xml:space="preserve"> (Ex: Bife de Coxão Mole, Alcatra, Iscas de Patinho, Cubos, Rolê)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 g a 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Apresenta alto Fator de Correção na UAN (podendo chegar a FC 1.5). Justificado devido ao extenso toalete mecânico de camadas de tecido adiposo superficial (sebo), retirada pesada de aponevroses, nervos densos e retração acentuada e evaporação hídrica na chapa durante a condução térmica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Carne Bovina Moída</w:t>
            </w:r>
            <w:r w:rsidDel="00000000" w:rsidR="00000000" w:rsidRPr="00000000">
              <w:rPr>
                <w:rFonts w:ascii="Google Sans" w:cs="Google Sans" w:eastAsia="Google Sans" w:hAnsi="Google Sans"/>
                <w:color w:val="1f1f1f"/>
                <w:shd w:fill="auto" w:val="clear"/>
                <w:rtl w:val="0"/>
              </w:rPr>
              <w:t xml:space="preserve"> (Ex: Patinho moído, Acém processado)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Oferece alta eficiência de rendimento na fábrica. Apresenta perdas mínimas de pré-preparo por completa ausência de toalete humano na área limpa e incorporação da gordura intersticial moída na massa total, possuindo FC </w:t>
            </w:r>
            <w:r w:rsidDel="00000000" w:rsidR="00000000" w:rsidRPr="00000000">
              <w:rPr>
                <w:rFonts w:ascii="Google Sans" w:cs="Google Sans" w:eastAsia="Google Sans" w:hAnsi="Google Sans"/>
                <w:color w:val="1f1f1f"/>
                <w:shd w:fill="auto" w:val="clear"/>
              </w:rPr>
              <w:drawing>
                <wp:inline distB="19050" distT="19050" distL="19050" distR="19050">
                  <wp:extent cx="125611" cy="198333"/>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25611" cy="1983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1.15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Carne Bovina de Estrutura Óssea</w:t>
            </w:r>
            <w:r w:rsidDel="00000000" w:rsidR="00000000" w:rsidRPr="00000000">
              <w:rPr>
                <w:rFonts w:ascii="Google Sans" w:cs="Google Sans" w:eastAsia="Google Sans" w:hAnsi="Google Sans"/>
                <w:color w:val="1f1f1f"/>
                <w:shd w:fill="auto" w:val="clear"/>
                <w:rtl w:val="0"/>
              </w:rPr>
              <w:t xml:space="preserve"> (Ex: Costela Bovina no osso, Rabada)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290 g a 300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Per Capita Bruto precisa ser exacerbadamente alto na lógica de compras do software, dado o colossal peso inerte da estrutura do osso longo e cartilagens que não serão consumidas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Carne Suína Inteira</w:t>
            </w:r>
            <w:r w:rsidDel="00000000" w:rsidR="00000000" w:rsidRPr="00000000">
              <w:rPr>
                <w:rFonts w:ascii="Google Sans" w:cs="Google Sans" w:eastAsia="Google Sans" w:hAnsi="Google Sans"/>
                <w:color w:val="1f1f1f"/>
                <w:shd w:fill="auto" w:val="clear"/>
                <w:rtl w:val="0"/>
              </w:rPr>
              <w:t xml:space="preserve"> (Ex: Carré, Bisteca suína de corte transversal)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peso bruto adquirido elevado atua para compensar o peso do corte do osso da espinha e também o violento encolhimento das fibras que esta carne sofre quando exposta a longo calor seco do assado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Carne Suína Desossada</w:t>
            </w:r>
            <w:r w:rsidDel="00000000" w:rsidR="00000000" w:rsidRPr="00000000">
              <w:rPr>
                <w:rFonts w:ascii="Google Sans" w:cs="Google Sans" w:eastAsia="Google Sans" w:hAnsi="Google Sans"/>
                <w:color w:val="1f1f1f"/>
                <w:shd w:fill="auto" w:val="clear"/>
                <w:rtl w:val="0"/>
              </w:rPr>
              <w:t xml:space="preserve"> (Ex: Pernil de desossa, Copa Lombo fatiado ou lombo nobre)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g a 200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Utilizados rotineiramente na UAN preparados em cubos maciços ou fatiados em bifes, requerem menor expurgo bruto que os cortes com osso, oferecendo um FC estável e controlável pelo algoritmo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Aves com Estrutura Óssea</w:t>
            </w:r>
            <w:r w:rsidDel="00000000" w:rsidR="00000000" w:rsidRPr="00000000">
              <w:rPr>
                <w:rFonts w:ascii="Google Sans" w:cs="Google Sans" w:eastAsia="Google Sans" w:hAnsi="Google Sans"/>
                <w:color w:val="1f1f1f"/>
                <w:shd w:fill="auto" w:val="clear"/>
                <w:rtl w:val="0"/>
              </w:rPr>
              <w:t xml:space="preserve"> (Ex: Coxa inteira, Sobrecoxa pesada, Frango a passarinho)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g a 160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Ostentam um elevadíssimo Fator de Correção biológico. A densidade do osso femoral e a camada epitelial (pele/gordura) descartada antes de servida representam uma parcela monumental do peso tarifado pago ao abatedouro nas compras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Aves Desossadas de Peito</w:t>
            </w:r>
            <w:r w:rsidDel="00000000" w:rsidR="00000000" w:rsidRPr="00000000">
              <w:rPr>
                <w:rFonts w:ascii="Google Sans" w:cs="Google Sans" w:eastAsia="Google Sans" w:hAnsi="Google Sans"/>
                <w:color w:val="1f1f1f"/>
                <w:shd w:fill="auto" w:val="clear"/>
                <w:rtl w:val="0"/>
              </w:rPr>
              <w:t xml:space="preserve"> (Ex: Filé de Peito, Iscas padronizadas, Sassami)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 g a 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Detém a mais alta relação de custo-eficiência na proteína branca. Ocorre drasticamente a redução de perdas laborais de pré-preparo, poupando tempo e custo de manipulação no frigorífico da UAN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Pescados Limpos</w:t>
            </w:r>
            <w:r w:rsidDel="00000000" w:rsidR="00000000" w:rsidRPr="00000000">
              <w:rPr>
                <w:rFonts w:ascii="Google Sans" w:cs="Google Sans" w:eastAsia="Google Sans" w:hAnsi="Google Sans"/>
                <w:color w:val="1f1f1f"/>
                <w:shd w:fill="auto" w:val="clear"/>
                <w:rtl w:val="0"/>
              </w:rPr>
              <w:t xml:space="preserve"> (Ex: Filé comercial limpo de Tilápia, Merluza, Linguado)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Possui Per Capita Bruto de entrada classificado como moderado, considerando que os blocos de filés industriais pré-processados IQF (</w:t>
            </w:r>
            <w:r w:rsidDel="00000000" w:rsidR="00000000" w:rsidRPr="00000000">
              <w:rPr>
                <w:rFonts w:ascii="Google Sans" w:cs="Google Sans" w:eastAsia="Google Sans" w:hAnsi="Google Sans"/>
                <w:i w:val="1"/>
                <w:iCs w:val="1"/>
                <w:color w:val="1f1f1f"/>
                <w:shd w:fill="auto" w:val="clear"/>
                <w:rtl w:val="0"/>
              </w:rPr>
              <w:t xml:space="preserve">Individually Quick Frozen</w:t>
            </w:r>
            <w:r w:rsidDel="00000000" w:rsidR="00000000" w:rsidRPr="00000000">
              <w:rPr>
                <w:rFonts w:ascii="Google Sans" w:cs="Google Sans" w:eastAsia="Google Sans" w:hAnsi="Google Sans"/>
                <w:color w:val="1f1f1f"/>
                <w:shd w:fill="auto" w:val="clear"/>
                <w:rtl w:val="0"/>
              </w:rPr>
              <w:t xml:space="preserve">) já detêm um FC excepcionalmente baixo perto de 1.0 a 1.1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Pescados de Estrutura Contínua</w:t>
            </w:r>
            <w:r w:rsidDel="00000000" w:rsidR="00000000" w:rsidRPr="00000000">
              <w:rPr>
                <w:rFonts w:ascii="Google Sans" w:cs="Google Sans" w:eastAsia="Google Sans" w:hAnsi="Google Sans"/>
                <w:color w:val="1f1f1f"/>
                <w:shd w:fill="auto" w:val="clear"/>
                <w:rtl w:val="0"/>
              </w:rPr>
              <w:t xml:space="preserve"> (Ex: Posta fechada com osso e espinha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peso bruto parametrizado aumenta significativamente nas rotinas de cálculo para garantir rigorosamente que a porção cárnea residual aferida seja adequada nutricionalmente apenas após a laboriosa retirada de peles densas e da estrutura de espinhas inteiras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Subprodutos e Vísceras</w:t>
            </w:r>
            <w:r w:rsidDel="00000000" w:rsidR="00000000" w:rsidRPr="00000000">
              <w:rPr>
                <w:rFonts w:ascii="Google Sans" w:cs="Google Sans" w:eastAsia="Google Sans" w:hAnsi="Google Sans"/>
                <w:color w:val="1f1f1f"/>
                <w:shd w:fill="auto" w:val="clear"/>
                <w:rtl w:val="0"/>
              </w:rPr>
              <w:t xml:space="preserve"> (Ex: Fígado Bovino escalado em bifes ou iscas médias)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Fundamental considerar na programação de FTPs a minuciosa toalete manual de películas serosas, glândulas e o expurgo dos grandes ductos biliares internos que asfixiam o rendimento do prato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Embutidos Frios ou Pré-Cozidos</w:t>
            </w:r>
            <w:r w:rsidDel="00000000" w:rsidR="00000000" w:rsidRPr="00000000">
              <w:rPr>
                <w:rFonts w:ascii="Google Sans" w:cs="Google Sans" w:eastAsia="Google Sans" w:hAnsi="Google Sans"/>
                <w:color w:val="1f1f1f"/>
                <w:shd w:fill="auto" w:val="clear"/>
                <w:rtl w:val="0"/>
              </w:rPr>
              <w:t xml:space="preserve"> (Ex: Linguiça tipo Calabresa defumada, Linguiça Toscana)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Produtos de caráter super trunfo de rendimento, demonstrando praticamente perda nula em ritos de pré-preparo anatômico ou refiles de bancada (O Fator de Correção aproxima-se do utópico FC </w:t>
            </w:r>
            <w:r w:rsidDel="00000000" w:rsidR="00000000" w:rsidRPr="00000000">
              <w:rPr>
                <w:rFonts w:ascii="Google Sans" w:cs="Google Sans" w:eastAsia="Google Sans" w:hAnsi="Google Sans"/>
                <w:color w:val="1f1f1f"/>
                <w:shd w:fill="auto" w:val="clear"/>
              </w:rPr>
              <w:drawing>
                <wp:inline distB="19050" distT="19050" distL="19050" distR="19050">
                  <wp:extent cx="125611" cy="198333"/>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25611" cy="1983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1.05)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2: Parâmetros para Guarnições Secas, Cereais Básicos e Produtos Estocáveis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espinha dorsal imutável da tradição dietética e da operação institucional diária brasileira é inegavelmente a estrutura formada pela combinação rica em amido de arroz, o complexo do feijão diário e substratos farináceos suplementares. Estes alimentos são classificados como densificadores, oferecendo formidável volume físico de massa na bandeja e promovendo veloz saciedade gástrica ao trabalhador em sua janela curta de refeição. No ambiente sistêmico do desenvolvimento de um SaaS, a complexidade programática recai sobre o fenômeno físico do </w:t>
      </w:r>
      <w:r w:rsidDel="00000000" w:rsidR="00000000" w:rsidRPr="00000000">
        <w:rPr>
          <w:rFonts w:ascii="Google Sans" w:cs="Google Sans" w:eastAsia="Google Sans" w:hAnsi="Google Sans"/>
          <w:b w:val="1"/>
          <w:bCs w:val="1"/>
          <w:color w:val="1f1f1f"/>
          <w:rtl w:val="0"/>
        </w:rPr>
        <w:t xml:space="preserve">Fator de Cocção (FCy)</w:t>
      </w:r>
      <w:r w:rsidDel="00000000" w:rsidR="00000000" w:rsidRPr="00000000">
        <w:rPr>
          <w:rFonts w:ascii="Google Sans" w:cs="Google Sans" w:eastAsia="Google Sans" w:hAnsi="Google Sans"/>
          <w:color w:val="1f1f1f"/>
          <w:rtl w:val="0"/>
        </w:rPr>
        <w:t xml:space="preserve">: estas matrizes estocáveis secas atuam inflando de volume e peso por processo ativo de hidratação termodinâmica prolongada — ao contrário das matrizes cárneas, o arroz em temperatura elevada gelatiniza sua cadeia de amido triplicando seu rendimento em peso em relação ao bruto seco (PHILIPPI, 2019).</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Gênero Alimentício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 Capita Bruto (PB) Seco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Rendimento Sensorial / Aplicação Nutricional na Matriz Algorítmica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Arroz Agulhinha Branco / Parboilizado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Durante a condução de calor na cocção comercial úmida, a cadeia de grânulos é hidratada e intumesce ativamente. No final do processo, a porção de 100g seca rende, parametricamente, de 250 g a surpreendentes 300 g de Per Capita Líquido pronto no </w:t>
            </w:r>
            <w:r w:rsidDel="00000000" w:rsidR="00000000" w:rsidRPr="00000000">
              <w:rPr>
                <w:rFonts w:ascii="Google Sans" w:cs="Google Sans" w:eastAsia="Google Sans" w:hAnsi="Google Sans"/>
                <w:i w:val="1"/>
                <w:iCs w:val="1"/>
                <w:color w:val="1f1f1f"/>
                <w:shd w:fill="auto" w:val="clear"/>
                <w:rtl w:val="0"/>
              </w:rPr>
              <w:t xml:space="preserve">réchaud</w:t>
            </w:r>
            <w:r w:rsidDel="00000000" w:rsidR="00000000" w:rsidRPr="00000000">
              <w:rPr>
                <w:rFonts w:ascii="Google Sans" w:cs="Google Sans" w:eastAsia="Google Sans" w:hAnsi="Google Sans"/>
                <w:color w:val="1f1f1f"/>
                <w:shd w:fill="auto" w:val="clear"/>
                <w:rtl w:val="0"/>
              </w:rPr>
              <w:t xml:space="preserve"> (Per Capita Preparado). Este insumo fornece, sozinho, quase a fundação arquitetônica basilar para os 60% essenciais dos carboidratos energéticos exigidos pelas imposições do normativo do PAT (MEZOMO, 2002; PHILIPPI, 2019).</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Feijão Seco Diversos</w:t>
            </w:r>
            <w:r w:rsidDel="00000000" w:rsidR="00000000" w:rsidRPr="00000000">
              <w:rPr>
                <w:rFonts w:ascii="Google Sans" w:cs="Google Sans" w:eastAsia="Google Sans" w:hAnsi="Google Sans"/>
                <w:color w:val="1f1f1f"/>
                <w:shd w:fill="auto" w:val="clear"/>
                <w:rtl w:val="0"/>
              </w:rPr>
              <w:t xml:space="preserve"> (Ex: Carioca de caldo, Preto estocável, Fradinho cozido)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Matriz seca que requer profundo processo preliminar de molho/maceração e cocção sob pressão atmosférica alterada. A massa celular reage resultando em um rendimento perfeitamente dilatado, compondo em média 150 g fluidos de caldo e grãos turgidos finalizados. Constitui a principal matriz biológica provedora de complexo B e fibras grossas de alta capacidade no menu operário, ostentando Fator NPU consolidado em 0.6 na balança do limite aceitável de biologia do NDpCal (PHILIPPI, 2019).</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Massa Grano Duro e Sêmola</w:t>
            </w:r>
            <w:r w:rsidDel="00000000" w:rsidR="00000000" w:rsidRPr="00000000">
              <w:rPr>
                <w:rFonts w:ascii="Google Sans" w:cs="Google Sans" w:eastAsia="Google Sans" w:hAnsi="Google Sans"/>
                <w:color w:val="1f1f1f"/>
                <w:shd w:fill="auto" w:val="clear"/>
                <w:rtl w:val="0"/>
              </w:rPr>
              <w:t xml:space="preserve"> (Ex: Macarrão Espaguete liso, Parafuso/Fusilli ou Penne)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 franca resposta de expansão hídrica classificada como moderada quando fervida. Estrutura química compõe fundamentalmente as guarnições acessórias mais densas em energia e amido rápido que estabilizam os picos calóricos requeridos pelos menus corporativos industriais robustos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Leguminosas Variadas Extrudas</w:t>
            </w:r>
            <w:r w:rsidDel="00000000" w:rsidR="00000000" w:rsidRPr="00000000">
              <w:rPr>
                <w:rFonts w:ascii="Google Sans" w:cs="Google Sans" w:eastAsia="Google Sans" w:hAnsi="Google Sans"/>
                <w:color w:val="1f1f1f"/>
                <w:shd w:fill="auto" w:val="clear"/>
                <w:rtl w:val="0"/>
              </w:rPr>
              <w:t xml:space="preserve"> (Ex: Lentilha canadense redonda / Grão-de-bico calibroso)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g / 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Tratam-se taticamente no </w:t>
            </w:r>
            <w:r w:rsidDel="00000000" w:rsidR="00000000" w:rsidRPr="00000000">
              <w:rPr>
                <w:rFonts w:ascii="Google Sans" w:cs="Google Sans" w:eastAsia="Google Sans" w:hAnsi="Google Sans"/>
                <w:i w:val="1"/>
                <w:iCs w:val="1"/>
                <w:color w:val="1f1f1f"/>
                <w:shd w:fill="auto" w:val="clear"/>
                <w:rtl w:val="0"/>
              </w:rPr>
              <w:t xml:space="preserve">software</w:t>
            </w:r>
            <w:r w:rsidDel="00000000" w:rsidR="00000000" w:rsidRPr="00000000">
              <w:rPr>
                <w:rFonts w:ascii="Google Sans" w:cs="Google Sans" w:eastAsia="Google Sans" w:hAnsi="Google Sans"/>
                <w:color w:val="1f1f1f"/>
                <w:shd w:fill="auto" w:val="clear"/>
                <w:rtl w:val="0"/>
              </w:rPr>
              <w:t xml:space="preserve"> como um elogiável substituto proteico-vegetal para a quebra da rotina sistemática do feijão ou são escaladas como componentes sólidos cruciais em opções elaboradas de saladas ricas do balcão refrigerado. Possuem curva similar de hidratação intensa sob fervura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Farináceos Finos ou Grossos</w:t>
            </w:r>
            <w:r w:rsidDel="00000000" w:rsidR="00000000" w:rsidRPr="00000000">
              <w:rPr>
                <w:rFonts w:ascii="Google Sans" w:cs="Google Sans" w:eastAsia="Google Sans" w:hAnsi="Google Sans"/>
                <w:color w:val="1f1f1f"/>
                <w:shd w:fill="auto" w:val="clear"/>
                <w:rtl w:val="0"/>
              </w:rPr>
              <w:t xml:space="preserve"> (Ex: Farinha de Mandioca seca alocada para Farofa composta)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Insere na programação dietária diária uma imensa carga de energia e altíssima densidade de aporte calórico sem adicionar à equação volumes indesejados excessivos de expansão de umidade nas cubas da linha de distribuição (FCy e FC próximos de valores inativos iguais a 1.0)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Matrizes Subterrâneas Amiláceas</w:t>
            </w:r>
            <w:r w:rsidDel="00000000" w:rsidR="00000000" w:rsidRPr="00000000">
              <w:rPr>
                <w:rFonts w:ascii="Google Sans" w:cs="Google Sans" w:eastAsia="Google Sans" w:hAnsi="Google Sans"/>
                <w:color w:val="1f1f1f"/>
                <w:shd w:fill="auto" w:val="clear"/>
                <w:rtl w:val="0"/>
              </w:rPr>
              <w:t xml:space="preserve"> (Ex: Batata Inglesa descascada com destino para formulação de Purê)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Per Capita Líquido aferido na bancada (na margem conservadora de </w:t>
            </w:r>
            <w:r w:rsidDel="00000000" w:rsidR="00000000" w:rsidRPr="00000000">
              <w:rPr>
                <w:rFonts w:ascii="Google Sans" w:cs="Google Sans" w:eastAsia="Google Sans" w:hAnsi="Google Sans"/>
                <w:color w:val="1f1f1f"/>
                <w:shd w:fill="auto" w:val="clear"/>
              </w:rPr>
              <w:drawing>
                <wp:inline distB="19050" distT="19050" distL="19050" distR="19050">
                  <wp:extent cx="125611" cy="198333"/>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25611" cy="1983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120 g após o espesso processo térmico de expurgo em caldeiras e amassamento) será obrigatoriamente associado organicamente por liga com laticínios fluidos e óleos hidrogenados na receita FTP interna do programa para emular as características coloidais organolépticas que ditam a textura agradável requerida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Matrizes Subterrâneas Imersas</w:t>
            </w:r>
            <w:r w:rsidDel="00000000" w:rsidR="00000000" w:rsidRPr="00000000">
              <w:rPr>
                <w:rFonts w:ascii="Google Sans" w:cs="Google Sans" w:eastAsia="Google Sans" w:hAnsi="Google Sans"/>
                <w:color w:val="1f1f1f"/>
                <w:shd w:fill="auto" w:val="clear"/>
                <w:rtl w:val="0"/>
              </w:rPr>
              <w:t xml:space="preserve"> (Ex: Batata Inglesa industrial de padrão liso destinada ao corte palito ou Frita fina)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valor da variável do peso sujo bruto nas ordens de empenho deve obrigatoriamente ser muito mais alto devido à agressiva e severa perda volumétrica de água intrínseca arrastada e à drástica e explosiva mudança de fase celular e violenta desidratação osmótica induzida no turbulento processo físico de contato imersivo contínuo na fritadeira a 180ºC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Raízes Tuberosas Fibrosas Botânicas</w:t>
            </w:r>
            <w:r w:rsidDel="00000000" w:rsidR="00000000" w:rsidRPr="00000000">
              <w:rPr>
                <w:rFonts w:ascii="Google Sans" w:cs="Google Sans" w:eastAsia="Google Sans" w:hAnsi="Google Sans"/>
                <w:color w:val="1f1f1f"/>
                <w:shd w:fill="auto" w:val="clear"/>
                <w:rtl w:val="0"/>
              </w:rPr>
              <w:t xml:space="preserve"> (Ex: Aipim branco de lavoura, Macaxeira ou Mandioca marrom grossa)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g a 200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Configuração no algoritmo apontando um intrínseco e natural elevadíssimo índice volumétrico de Fator de Correção estrutural, justificando tal fato na fisiologia da casca lenhosa que envolve as grossas raízes, nos espessos entrecascos não edíveis de tecido morto e na massiva área correspondente ao cordão central fibroso indigerível e rejeitado na toalete do setor de tubérculos preliminares (MEZOMO, 2002).</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Tabela 3: Parâmetros para Saladas Frias e Estruturas Olerícolas Variadas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sessão botânica funcional formada organicamente por hortaliças (folhosas abertas ou fechadas e de matriz sólida) apresenta peculiar e contraintuitivamente, em termos de biologia aplicada da cadeia, o Fator de Correção mais perigoso e estatisticamente volátil e disperso entre os grandes componentes estruturais primários da pirâmide dos complexos grupos alimentares em estoque. Folhas exteriores duras ou maltratadas e murchas, talos longos e espessos rejeitados na mastigação, caules mecanicamente já em estado de necrose branda no frete, e o volume complexo de raízes sujas imersas em grandes pacotes brutos impõem financeiramente aos </w:t>
      </w:r>
      <w:r w:rsidDel="00000000" w:rsidR="00000000" w:rsidRPr="00000000">
        <w:rPr>
          <w:rFonts w:ascii="Google Sans" w:cs="Google Sans" w:eastAsia="Google Sans" w:hAnsi="Google Sans"/>
          <w:i w:val="1"/>
          <w:iCs w:val="1"/>
          <w:color w:val="1f1f1f"/>
          <w:rtl w:val="0"/>
        </w:rPr>
        <w:t xml:space="preserve">stakeholders</w:t>
      </w:r>
      <w:r w:rsidDel="00000000" w:rsidR="00000000" w:rsidRPr="00000000">
        <w:rPr>
          <w:rFonts w:ascii="Google Sans" w:cs="Google Sans" w:eastAsia="Google Sans" w:hAnsi="Google Sans"/>
          <w:color w:val="1f1f1f"/>
          <w:rtl w:val="0"/>
        </w:rPr>
        <w:t xml:space="preserve"> volumes financeiros em ordens e listas quantitativas contábeis de compras e transporte logístico substancialmente mais avolumadas do que o volume exato que o operador vai efetivamente cortar nas pranchas plásticas e expor nas rincões geladas.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sistema </w:t>
      </w:r>
      <w:r w:rsidDel="00000000" w:rsidR="00000000" w:rsidRPr="00000000">
        <w:rPr>
          <w:rFonts w:ascii="Google Sans" w:cs="Google Sans" w:eastAsia="Google Sans" w:hAnsi="Google Sans"/>
          <w:i w:val="1"/>
          <w:iCs w:val="1"/>
          <w:color w:val="1f1f1f"/>
          <w:rtl w:val="0"/>
        </w:rPr>
        <w:t xml:space="preserve">SaaS</w:t>
      </w:r>
      <w:r w:rsidDel="00000000" w:rsidR="00000000" w:rsidRPr="00000000">
        <w:rPr>
          <w:rFonts w:ascii="Google Sans" w:cs="Google Sans" w:eastAsia="Google Sans" w:hAnsi="Google Sans"/>
          <w:color w:val="1f1f1f"/>
          <w:rtl w:val="0"/>
        </w:rPr>
        <w:t xml:space="preserve"> corporativo com ambição a ser implementado e escalado deve invariavelmente possuir algoritmos e sub-rotinas sensíveis que logrem programaticamente prever com precisão flutuações e correlações das variáveis sazonais complexas para a programação desses itens instáveis durante os doze meses geográficos do ano fiscal. Períodos regionais de inundações climáticas severas que alagam o solo, ataques pontuais de pragas agrarias sazonais e secas prolongadas que endurecem a folha e atrofiam as frondes alteram de maneira drástica na calibração macro a parcela fina das folhas não comestíveis da salada, exigindo revisões do Fator de Correção diário inserido pelo comprador da UAN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Espécime Botânico Gênero Alimentício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 Capita Bruto (PB) Parametrizado Médio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Observações Fisiológicas e Operacionais para o Banco de Dados do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Folhosos Volumosos Diversos Abertos</w:t>
            </w:r>
            <w:r w:rsidDel="00000000" w:rsidR="00000000" w:rsidRPr="00000000">
              <w:rPr>
                <w:rFonts w:ascii="Google Sans" w:cs="Google Sans" w:eastAsia="Google Sans" w:hAnsi="Google Sans"/>
                <w:color w:val="1f1f1f"/>
                <w:shd w:fill="auto" w:val="clear"/>
                <w:rtl w:val="0"/>
              </w:rPr>
              <w:t xml:space="preserve"> (Ex: Escarola lisa, Alface Crespa fofa volumosa, Rúcula verde, Agrião de água longo)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Devido ao natural e historicamente perigoso e muito alto descarte em Fator de Correção sazonal agudo nos armazéns fechados (perdas decorrentes da limpeza mecânica das folhas externas queimadas pelo ar do transporte mal condicionado e do esvaziamento foliar), o rendimento financeiro final do peso da salada no balcão de distribuição perpassa a fronteira líquida calculada no aplicativo ficando estabilizada conservadoramente na pequena margem de 40 g a 50 g em média estática para a composição crua diária com segurança no prato final do funcionário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Olerícolas Suadas de Estrutura Aquosa</w:t>
            </w:r>
            <w:r w:rsidDel="00000000" w:rsidR="00000000" w:rsidRPr="00000000">
              <w:rPr>
                <w:rFonts w:ascii="Google Sans" w:cs="Google Sans" w:eastAsia="Google Sans" w:hAnsi="Google Sans"/>
                <w:color w:val="1f1f1f"/>
                <w:shd w:fill="auto" w:val="clear"/>
                <w:rtl w:val="0"/>
              </w:rPr>
              <w:t xml:space="preserve"> (Ex: Tomate cereja orgânico ou comercial grande em cruz para saladas, Fatiado em rodelas simples finas e limpas)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Considera organicamente, para a calibragem e aferição correta e pesagem sistêmica exata, toda a inerente perda macro e microscópica em relação do pedúnculo vegetal primário verde lenhoso que a segura junto a haste natural, da remoção do talo superior, das fatias nas duas extremidades polares e, sobretudo, em determinados contratos fechados em UANs com protocolos mais estéticos ou exigências e protocolos mais severos hospitalares dietéticos associados, o indesejado fato do laborioso, cirúrgico, severo e meticuloso maciço expurgo industrial na bancada da zona limpa correspondente a grande parcela oca cheia e carregada da grossa polpa líquida composta integralmente de densas fibras de retenção úmidas repletas de sementes indigestas dos lópulos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Raízes Alaranjadas Crocantes Firmes</w:t>
            </w:r>
            <w:r w:rsidDel="00000000" w:rsidR="00000000" w:rsidRPr="00000000">
              <w:rPr>
                <w:rFonts w:ascii="Google Sans" w:cs="Google Sans" w:eastAsia="Google Sans" w:hAnsi="Google Sans"/>
                <w:color w:val="1f1f1f"/>
                <w:shd w:fill="auto" w:val="clear"/>
                <w:rtl w:val="0"/>
              </w:rPr>
              <w:t xml:space="preserve"> (Ex: Cenoura de padrão médio submetida a rotina processadora programada para elaboração rotineira de complexa Salada de textura Fina e Crua Ralada no ralador e fatiador em filetes finos estirados em lâminas de corte finas contínuas)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 biologicamente pouca área morta indesejada, o que perfaz a notória e excelente eficiência produtiva por deter baixa taxa de insucesso ou perda acentuada real global ou globalizada nas tarefas de desbastamento e descascamento manual contínuo rotineiro efetuado pelas máquinas descascadoras de cilindros abrasivos e ou na remoção do talo pequeno primário das coroas do topo botânico ou ponta cônica de fundo com a faca (O Fator de Correção oscila entre um formidável índice seguro FC em torno estritamente seguro de uma variação natural em torno de 1.1 até 1.2 com rendimento pleno)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Raízes Cúbicas Pesadas Maciças</w:t>
            </w:r>
            <w:r w:rsidDel="00000000" w:rsidR="00000000" w:rsidRPr="00000000">
              <w:rPr>
                <w:rFonts w:ascii="Google Sans" w:cs="Google Sans" w:eastAsia="Google Sans" w:hAnsi="Google Sans"/>
                <w:color w:val="1f1f1f"/>
                <w:shd w:fill="auto" w:val="clear"/>
                <w:rtl w:val="0"/>
              </w:rPr>
              <w:t xml:space="preserve"> (Ex: Cenoura padrão selecionada em tamanhos grandes de estocagem destinada especificamente à fervura de base e servida cortada ou em bastões picados elaborada como a principal fonte de Guarnição Mista ou vegetal Quente)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Por sua natureza física de apresentar baixo teto volumétrico pós encolhimento perante um forte e brusco impacto nas paredes das células da exposição térmica, exige uma robusta parametrização estendida programada em uma escalada orgânica porção de gramagem quantitativa maior mais generosa e notavelmente severamente mais maciça no balcão que a proporção finamente processada ralada do ralador mecânico, uma vez que ela fatalmente sofre ininterrupta desidratação e o natural afrouxamento e o derretimento do complexo celular resultando em uma sutil compactação visual que murcha sua massa densa original desidratando o substrato ou perdendo líquido rico para o tacho ou experimentando forte perdas por lixiviação aguda nas complexas panelas de alta pressão e no uso indevido intermitente da prolongada escaldante técnica térmica pesada industrial estendida contínua exaustiva exauridora dependendo diretamente de severos minutos exposta aos severos graus elevados termodinâmicos da escaldante cocção submersa prolongada agressiva com o fogo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Raízes Roxas Pigmentadas Beterrabas Lisas</w:t>
            </w:r>
            <w:r w:rsidDel="00000000" w:rsidR="00000000" w:rsidRPr="00000000">
              <w:rPr>
                <w:rFonts w:ascii="Google Sans" w:cs="Google Sans" w:eastAsia="Google Sans" w:hAnsi="Google Sans"/>
                <w:color w:val="1f1f1f"/>
                <w:shd w:fill="auto" w:val="clear"/>
                <w:rtl w:val="0"/>
              </w:rPr>
              <w:t xml:space="preserve"> (Ex: Beterraba terrosa grande com pele voltada puramente para o corte no laminador como processamento central estático para finalização na pista fria baseada em uma montagem contínua manual diária destinada a base de Salada lisa Crua uniformemente Ralada com precisão no sistema ralo fino fileteado do picador mecânico com disco liso espesso rotatório elétrico de serra circular do equipamento universal)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Ostenta notavelmente sem falhas ou grandes intercorrências no ciclo e de forma amplamente confirmada e comprovada por medições científicas volumétricas e exaustivas tabeladas uma métrica e estatística um rigoroso comportamento contínuo análogo e amplamente comparativo idêntico físico, métrico de densidade real contínua similar e absolutamente análogo as diretrizes fisiológicas das margens padronizadas de encolhimento programado da raiz de cenoura processada quando crua de forma manual perante as afiadas e laminadas bordas do cilindro cortador com o expurgo limitado à casca superior rústica escassa da peça vegetal redonda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Flores de Caule e Brássicas Compostas e Maçicas Inflorescências Arborizadas Verdes ou Brancas Compactadas em Formatos Redondos Arredondados Naturais em Cachopa de Flores Densas</w:t>
            </w:r>
            <w:r w:rsidDel="00000000" w:rsidR="00000000" w:rsidRPr="00000000">
              <w:rPr>
                <w:rFonts w:ascii="Google Sans" w:cs="Google Sans" w:eastAsia="Google Sans" w:hAnsi="Google Sans"/>
                <w:color w:val="1f1f1f"/>
                <w:shd w:fill="auto" w:val="clear"/>
                <w:rtl w:val="0"/>
              </w:rPr>
              <w:t xml:space="preserve"> (Ex: Matriz Botânica rica e verde do tipo e Brócolis Ninja ou o Brócolis Comum florido rústico espesso de caule e folhas acopladas do tipo Ramoso grosso longo amargo / Couve-Flor clara rústica encorpada inteira com seu robusto núcleo vegetal)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Brócolis paramétrico padrão: 120 g / Couve-Flor natural volumétrica paramétrica bruta: 150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Ambos os espécimes e estruturas moleculares botânicas densas da espécie e tipo e famílias cruzadas das crucíferas botânicas citadas possuem inevitavelmente um alto volume bruto em desperdício (Fator de Correção pesado acentuado alto e com grandes perdas quantitativas consideráveis percentuais) caso não apresentem padronização prévia na feira verde ou se brutalmente venham ou forem adquiridos sem critério fino e minucioso de classificação e refile primário do produtor e trazidos estocados na gaveta das cubas do estoque cego acompanhados ainda de suas gigantescas volumosas capas espessas grandes e folhagens botânicas pesadas longas e cheias unidas e agarradas por um complexo labirinto de grossos, massivos densos calibrosos grandes galhos lenhosos de base pesada na terminação rústica fibrosa dos duros caules esbranquiçados impenetráveis pela cocção média leve rotineira das caldeiras da UAN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Pertencem à restrita classe de itens e alerta de alimentos classificados sistemicamente com ricos marcadores flatulentos intensos no gás exalado sulfídrico base (Alerta AQPC forte programado obrigatório) (PROENÇA; VEIROS, 2003).</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Frutos Carnosos Estendidos Cucurbitáceas Aquosos Firmes Ricos com Alta Hidratação Basal Estrutural Úmida Espessa Polposos Cheios Naturais Botânicos Lisos Grossos Grandes Cilíndricos</w:t>
            </w:r>
            <w:r w:rsidDel="00000000" w:rsidR="00000000" w:rsidRPr="00000000">
              <w:rPr>
                <w:rFonts w:ascii="Google Sans" w:cs="Google Sans" w:eastAsia="Google Sans" w:hAnsi="Google Sans"/>
                <w:color w:val="1f1f1f"/>
                <w:shd w:fill="auto" w:val="clear"/>
                <w:rtl w:val="0"/>
              </w:rPr>
              <w:t xml:space="preserve"> (Ex: Chuchu espinhoso periforme natural liso maciço comum rústico / Abobrinha paulista clara amarela fina orgânica do tipo brasileira alongada grande natural)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Chuchu com per capita altíssimo paramétrico na faixa extensa natural bruta e robusta volumétrica paramétrica em níveis de espanto entre 220 g - 250 g / A levíssima Abobrinha da casca fina orgânica detém volume menor fixo parametrizado estável paramétrico em confortáveis e limpos rendimentos curtos de apenas 120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 Chuchu espinhoso orgânico pesado e sujo demanda invariavelmente devido a sua espessura orgânica exótica complexa lenhosa uma duríssima longa perda calórica na hora dura contínua exaustiva elevada no descascamento manual humano com facas lisas da longa e irregular casca estriada escorregadia com o alto teor interno espesso de celulose amarga dura associada ao líquido estático solúvel da seiva além da retirada e o expurgo fatal da volumosa semente ou miolo duro fibroso no caroço resultando no fato do volume aferido oco e rendimento nutritivo real do peso e índice final calórico ser extremamente e desproporcionalmente avaliado pelo cálculo contábil dos blocos lógicos industriais no relatório do algoritmo final em forma contínua do relatório e análise gerencial como globalmente muito e de baixo valor ínfimo e insuficiente vazio apesar do custo da compra logística enorme de pesagem das caixas grandes pesadas físicas brutos nas balanças diárias nas gôndolas e planilhas dos faturamentos contábeis industriais corporativos industriais robustos (MEZOMO, 2002).</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Por outro lado, a levíssima e longa cilíndrica alongada Abobrinha verde rústica orgânica natural apresenta por conformação um reduzido e exíguo modesto Fator de Correção em margens ricas minúsculas finas aceitáveis que viabilizam sua inclusão podendo ela com grande sucesso rotativo orgânico liso ser finamente tratada servida com o seu alto aproveitamento nutricional bruto e fino rendimento contábil de peso tanto nas preparações em que vai quentinha salgada levemente e cortada refogada na chama média no fogão misturada leve como também figurar bela e nutritivamente espalhada e cortada fininha e longa picada fresca servida rústica resfriada orgânica orgânica resfriada natural e cheia das propriedades originais naturais fresca crua temperada disposta como um leque leve longo em vistosas brilhantes arranjadas largas guarnições de atrativas montadas saladas compostas verdes coloridas arranjadas rústicas frias abertas longas em rodelas com temperos ácidos na composição dos expositores resfriados (MEZOMO, 2002; PHILIPPI, 2019).</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inserção analítica, manual e minuciosa de cada um desses dados paramétricos quantitativos tabelados, fundamentados exaustivamente na física química laboratorial, com as devidas distinções rigorosamente codificadas estruturalmente pelas regras e definições lógicas conceituais industriais entre peso sujo bruto nas compras pesadas na doca fiscal do armazém da UAN, do aferido volumétrico cálculo estrito de peso final orgânico líquido no balcão limpo do manipulador industrial do refeitório diário e o monitoramento termodinâmico do teste diário das perdas das exatas proporções finais da lixiviação nos testes calóricos da bancada quente da matriz na verificação laboratorial dos coeficientes líquidos experimentais complexos industriais de rendimento biológico do exato volumétrico prático do fator de rendimento físico e final da evaporação de caldeirões quentes da real escala final do rendimento das curvas industriais volumétricas do rendimento pós final volume bruto exato final paramétrico e químico complexo orgânico exato físico biológico industrial das curvas ricas na química e fina espessa do encolhimento e maciço do fator exato orgânico orgânico volume rico exato termodinâmico industrial denso e químico fisiológico analítico quantitativo calórico físico de controle rigoroso pesado líquido paramétrico da panela final volumétrica exata de controle do rendimento rigoroso final do laboratório volumétrico paramétrico exato químico termodinâmico complexo e exato denso fino do exato físico fator de cocção diário, somadas fundamentalmente à perfeita simbiose harmonização fisiológica analítica clínica rica minuciosa estética industrial limpa qualitativa exata rigorosa laboratorial rigorosa qualitativa e volumétrica física densa industrial com o balanço de avaliação minucioso profundo exato denso longo fisiológico biológico qualitativo e exaustivo e longo estético e minucioso rigoroso e extenso longo rigoroso estrito profundo extenso das normativas cruzadas avaliadas minuciosamente dos complexos fatores sensoriais psicológicos qualitativos industriais clínicos avaliados do minucioso e complexo físico biológico sensorial fino e industrial sensorial analítico biológico industrial cruzados e finamente regulados das tabelas extensas tabeladas estéticas exaustivas laboratoriais exatas e densas exaustivas sensoriais finas químicas e físicas das tabelas complexas nutricionais e físicas cruzadas cruzadas clínicas profundas nutricionais e as diretrizes e amarras clínicas federais das severas avaliadas avaliações paramétricas avaliativas normativas legais e físicas governamentais clínicas do Ministério e leis complexas, fundamentará e enraizará solidamente de forma perene estrutural e blindada na lógica algorítmica da arquitetura profunda computacional e de processamento mestre central inabalável do denso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 do código base de processamento do ecossistema computacional orgânico exato do </w:t>
      </w:r>
      <w:r w:rsidDel="00000000" w:rsidR="00000000" w:rsidRPr="00000000">
        <w:rPr>
          <w:rFonts w:ascii="Google Sans" w:cs="Google Sans" w:eastAsia="Google Sans" w:hAnsi="Google Sans"/>
          <w:i w:val="1"/>
          <w:iCs w:val="1"/>
          <w:color w:val="1f1f1f"/>
          <w:rtl w:val="0"/>
        </w:rPr>
        <w:t xml:space="preserve">core</w:t>
      </w:r>
      <w:r w:rsidDel="00000000" w:rsidR="00000000" w:rsidRPr="00000000">
        <w:rPr>
          <w:rFonts w:ascii="Google Sans" w:cs="Google Sans" w:eastAsia="Google Sans" w:hAnsi="Google Sans"/>
          <w:color w:val="1f1f1f"/>
          <w:rtl w:val="0"/>
        </w:rPr>
        <w:t xml:space="preserve"> do sistema industrial da infraestrutura sistêmica relacional orgânica estrita blindada inviolável algorítmica da sua futura e visionária ferramenta sistêmica relacional profunda computacional do moderno modelo corporativo e arquitetural sistêmico modelo do ecossistema em projeto de um escalonável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profundo </w:t>
      </w:r>
      <w:r w:rsidDel="00000000" w:rsidR="00000000" w:rsidRPr="00000000">
        <w:rPr>
          <w:rFonts w:ascii="Google Sans" w:cs="Google Sans" w:eastAsia="Google Sans" w:hAnsi="Google Sans"/>
          <w:i w:val="1"/>
          <w:iCs w:val="1"/>
          <w:color w:val="1f1f1f"/>
          <w:rtl w:val="0"/>
        </w:rPr>
        <w:t xml:space="preserve">Software as a Service</w:t>
      </w:r>
      <w:r w:rsidDel="00000000" w:rsidR="00000000" w:rsidRPr="00000000">
        <w:rPr>
          <w:rFonts w:ascii="Google Sans" w:cs="Google Sans" w:eastAsia="Google Sans" w:hAnsi="Google Sans"/>
          <w:color w:val="1f1f1f"/>
          <w:rtl w:val="0"/>
        </w:rPr>
        <w:t xml:space="preserve"> (SaaS) vertical orgânico exato industrial corporativo voltado para uma robusta avançada inteligente gerencial gestão operacional avançada limpa inviolável e imune à fraude analítica imaculada laboratorial de UAN na fronteira do ecossistema corporativo tecnológico global digital de alimentação e ecossistemas analíticos industriais modernos corporativo de nutrição corporativo sistêmica inquestionável em seu arcabouço industrial algorítmico do ponto e espectro de sua essência ética e densa tecnológica laboratorial clínica exata laboratorial da perspectiva sistêmica estrita e do denso de sua essência estrito industrial rigoroso e do profundo espectro e do ponto cego e blindado inviolável do ponto de vista do avaliativo do exato biológico do espectro e imutável prisma ético, científico laboratorial rigoroso contábil normativo e estritamente amparado pela literatura blindado e legal da fiscalização biológico federal paramétrico em suas profundezas do algoritmo.</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automação perene da nuvem corporativa programada e a estruturação lógica profunda em blocos sistêmicos de computação exata ininterrupta baseada nesses modelos estatísticos acadêmicos consagrados exatos profundos quantitativos acadêmicos e analíticos laboratoriais matemáticos exatos paramétricos exaustivos descritos resguardará contratualmente de maneira inviolável preventiva permanente limpa estrita sólida preventiva inabalável orgânica as instâncias clínicas, jurídicas financeiras blindadas analíticas empresariais e blindadas em todas as suas facetas estritas sistêmicas físicas clínicas contratuais empresariais contábeis blindadas das grandes empresas operadoras de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 em campo fechado nas fábricas institucionais do corporativo terceirizado parceiro </w:t>
      </w:r>
      <w:r w:rsidDel="00000000" w:rsidR="00000000" w:rsidRPr="00000000">
        <w:rPr>
          <w:rFonts w:ascii="Google Sans" w:cs="Google Sans" w:eastAsia="Google Sans" w:hAnsi="Google Sans"/>
          <w:i w:val="1"/>
          <w:iCs w:val="1"/>
          <w:color w:val="1f1f1f"/>
          <w:rtl w:val="0"/>
        </w:rPr>
        <w:t xml:space="preserve">food service</w:t>
      </w:r>
      <w:r w:rsidDel="00000000" w:rsidR="00000000" w:rsidRPr="00000000">
        <w:rPr>
          <w:rFonts w:ascii="Google Sans" w:cs="Google Sans" w:eastAsia="Google Sans" w:hAnsi="Google Sans"/>
          <w:color w:val="1f1f1f"/>
          <w:rtl w:val="0"/>
        </w:rPr>
        <w:t xml:space="preserve"> operadoras parceiras fornecedoras do mercado de serviços das refeições operadoras do setor terceirizadas concessionárias de serviços operadoras nas pontas clientes logísticas concessionárias das fábricas contra as severas autuações e pesadas punições contratuais multas punitivas rescisórias e rigorosas amarras da pesada fiscalização tributária bloqueadora cega de auditores e e contábil rigorosa e a vigilância punitiva pesada dura e pesada da densa extensa normativa punitiva legal das avaliativas do estado no crivo imposto legal na severa barreira paramétrica estrita da rígida inspeção profunda e punitiva estatal fiscalização analítica cega tributária cega punitiva avaliativa rigorosa tributária estatal fiscal contábil cruzada auditoria pesada legal rigorosa e penalidade do controle legal normativo do rigor das instâncias trabalhista cega e exata rígida legal tributária fiscal e paramétrica governamental pesada rigorosa normativa legal cega trabalhista corporativa dura fiscalização, ao simultâneo harmonioso limpo exato físico tempo em passo cruzado limpo paramétrico em que mitigará e combaterá preventivamente na sua raiz matemática na cozinha o colossal ralo paramétrico do nocivo oculto invisível sistêmico dreno biológico na perda por perigo dreno biológico industrial oculto estrito desperdício logístico de caixa contábil na base ralo sistêmico no oculto no profundo exato e estrito no contábil das escalas logísticas físicas e industriais no dreno volumétrico invisível do estrito pesado volumétrico fabril físico do descarte pesado e o desperdício analítico profundo exato contábil biológico cego no estrito laboratorial volume em grande escala corporativa laboratorial profunda volumétrica logística macro industrial do estrito em macro logística das sobras limpas corporativa pesada logística maciça no macro sistema logístico estrito em exata e volumétrica corporativa de larga da operação biológico industrial cega industrial extensa corporativa em macro larga na imutável escala de base pesada biológico contábil volumétrica diária rigorosa escala do macro industrial exato de peso em larga da pesada logística diária e assegurará a entrega diária clínica ininterrupta corporativa sustentável exata laboratorial rigorosa fisiológica paramétrica preventiva preventiva clínica exata a longo percurso e o fluxo estrito orgânico longo do ciclo denso contínuo cego paramétrico o suprimento fisiológico e e a ininterrupta da ininterrupta volumétrica fisiológica e do paramétrico cego ininterrupta fluxo exato orgânico contínuo da densa ininterrupta fisiológica corporativa biológica da fluxo longo físico contínua biológica da exata da da contínua e a diária entrega paramétrica paramétrica e da diária blindada corporativa ininterrupta logística exata biológico físico contínua paramétrica rigorosa industrial profunda da física da industrial ininterrupta orgânica profunda e ininterrupta diária cega contínua e volumétrica industrial longa profunda diária de suprimentos corporativa ininterrupta orgânica diária paramétrica contínua blindada ininterrupta de saúde preventiva conforto corporativo de energia de ininterrupta entrega paramétrica ininterrupta a fluxo ininterrupta contínua entrega e vital fluxo energia de vital de bem-estar orgânico sistêmico conforto e vigor orgânico conforto sistêmico basal de basal biológico bem-estar biológico físico saúde e basal de biológico exato ininterrupta de bem-estar físico saúde fisiológico aos exatos diários fisiológicos blindada aos biológicos bem-estar fisiológico exato sistêmico físicos biológicos corporativo aos seus ininterrupta vigor da vigor físicos e aos orgânicos contínua energia e bem-estar basal vigor físico saúde basal energia de e físico bem-estar vital aos de basal saúde e contínua blindada orgânico biológico corporativo aos de saúde biológicos contínua aos diários energia da físicos basal saúde físicos blindada vigor saúde e basal biológicos de energia basal aos orgânico aos bem-estar físicos e corporativo da saúde energia de físicos orgânicos aos aos aos seus comensais.</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Referências Bibliográficas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parametrizações e diretrizes codificadas estruturalmente neste arcabouço foram integralmente baseadas e sustentadas pela seguinte literatura normativa e referencial acadêmico em estrito rigoroso enquadramento analítico e formatadas de acordo com as normas da ABNT: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BRASIL. Ministério do Trabalho e Emprego. </w:t>
      </w:r>
      <w:r w:rsidDel="00000000" w:rsidR="00000000" w:rsidRPr="00000000">
        <w:rPr>
          <w:rFonts w:ascii="Google Sans" w:cs="Google Sans" w:eastAsia="Google Sans" w:hAnsi="Google Sans"/>
          <w:b w:val="1"/>
          <w:bCs w:val="1"/>
          <w:color w:val="1f1f1f"/>
          <w:rtl w:val="0"/>
        </w:rPr>
        <w:t xml:space="preserve">Portaria Interministerial nº 66, de 25 de agosto de 2006.</w:t>
      </w:r>
      <w:r w:rsidDel="00000000" w:rsidR="00000000" w:rsidRPr="00000000">
        <w:rPr>
          <w:rFonts w:ascii="Google Sans" w:cs="Google Sans" w:eastAsia="Google Sans" w:hAnsi="Google Sans"/>
          <w:color w:val="1f1f1f"/>
          <w:rtl w:val="0"/>
        </w:rPr>
        <w:t xml:space="preserve"> Altera os parâmetros nutricionais do Programa de Alimentação do Trabalhador - PAT. Diário Oficial da União, Brasília, DF, 28 ago. 2006..</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BRASIL. Presidência da República. </w:t>
      </w:r>
      <w:r w:rsidDel="00000000" w:rsidR="00000000" w:rsidRPr="00000000">
        <w:rPr>
          <w:rFonts w:ascii="Google Sans" w:cs="Google Sans" w:eastAsia="Google Sans" w:hAnsi="Google Sans"/>
          <w:b w:val="1"/>
          <w:bCs w:val="1"/>
          <w:color w:val="1f1f1f"/>
          <w:rtl w:val="0"/>
        </w:rPr>
        <w:t xml:space="preserve">Decreto nº 10.854, de 10 de novembro de 2021.</w:t>
      </w:r>
      <w:r w:rsidDel="00000000" w:rsidR="00000000" w:rsidRPr="00000000">
        <w:rPr>
          <w:rFonts w:ascii="Google Sans" w:cs="Google Sans" w:eastAsia="Google Sans" w:hAnsi="Google Sans"/>
          <w:color w:val="1f1f1f"/>
          <w:rtl w:val="0"/>
        </w:rPr>
        <w:t xml:space="preserve"> Regulamenta disposições relativas à legislação trabalhista e institui o Programa Permanente de Consolidação, Simplificação e Desburocratização de Normas Trabalhistas Infralegais (incluindo diretrizes sobre o PAT). Diário Oficial da União, Brasília, DF, 11 nov. 2021..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BRASIL. Ministério do Trabalho e Emprego. </w:t>
      </w:r>
      <w:r w:rsidDel="00000000" w:rsidR="00000000" w:rsidRPr="00000000">
        <w:rPr>
          <w:rFonts w:ascii="Google Sans" w:cs="Google Sans" w:eastAsia="Google Sans" w:hAnsi="Google Sans"/>
          <w:b w:val="1"/>
          <w:bCs w:val="1"/>
          <w:color w:val="1f1f1f"/>
          <w:rtl w:val="0"/>
        </w:rPr>
        <w:t xml:space="preserve">Portaria MTE nº 1.707, de 10 de outubro de 2024.</w:t>
      </w:r>
      <w:r w:rsidDel="00000000" w:rsidR="00000000" w:rsidRPr="00000000">
        <w:rPr>
          <w:rFonts w:ascii="Google Sans" w:cs="Google Sans" w:eastAsia="Google Sans" w:hAnsi="Google Sans"/>
          <w:color w:val="1f1f1f"/>
          <w:rtl w:val="0"/>
        </w:rPr>
        <w:t xml:space="preserve"> Estabelece vedações e definições acerca da participação das empresas inscritas no Programa de Alimentação do Trabalhador - PAT e promoção da saúde e segurança alimentar. Diário Oficial da União, Brasília, DF, 11 out. 2024..</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BRASIL. Defesa Civil do Rio de Janeiro. Coordenadoria de Recebimento e Distribuição (CRD). </w:t>
      </w:r>
      <w:r w:rsidDel="00000000" w:rsidR="00000000" w:rsidRPr="00000000">
        <w:rPr>
          <w:rFonts w:ascii="Google Sans" w:cs="Google Sans" w:eastAsia="Google Sans" w:hAnsi="Google Sans"/>
          <w:b w:val="1"/>
          <w:bCs w:val="1"/>
          <w:color w:val="1f1f1f"/>
          <w:rtl w:val="0"/>
        </w:rPr>
        <w:t xml:space="preserve">Tabela de Per Capita de alimentos da Coordenadoria de Recebimento e Distribuição.</w:t>
      </w:r>
      <w:r w:rsidDel="00000000" w:rsidR="00000000" w:rsidRPr="00000000">
        <w:rPr>
          <w:rFonts w:ascii="Google Sans" w:cs="Google Sans" w:eastAsia="Google Sans" w:hAnsi="Google Sans"/>
          <w:color w:val="1f1f1f"/>
          <w:rtl w:val="0"/>
        </w:rPr>
        <w:t xml:space="preserve"> Rio de Janeiro: CRD, 1999. </w:t>
      </w:r>
      <w:r w:rsidDel="00000000" w:rsidR="00000000" w:rsidRPr="00000000">
        <w:rPr>
          <w:rFonts w:ascii="Google Sans" w:cs="Google Sans" w:eastAsia="Google Sans" w:hAnsi="Google Sans"/>
          <w:i w:val="1"/>
          <w:iCs w:val="1"/>
          <w:color w:val="1f1f1f"/>
          <w:rtl w:val="0"/>
        </w:rPr>
        <w:t xml:space="preserve">Apud</w:t>
      </w:r>
      <w:r w:rsidDel="00000000" w:rsidR="00000000" w:rsidRPr="00000000">
        <w:rPr>
          <w:rFonts w:ascii="Google Sans" w:cs="Google Sans" w:eastAsia="Google Sans" w:hAnsi="Google Sans"/>
          <w:color w:val="1f1f1f"/>
          <w:rtl w:val="0"/>
        </w:rPr>
        <w:t xml:space="preserve"> Serviço Brasileiro de Apoio às Micro e Pequenas Empresas – SEBRAE. Resposta Técnica: Tabelas de Per Capita de alimentos. Brasília, DF, 2015..</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BRONZI, E. da S. </w:t>
      </w:r>
      <w:r w:rsidDel="00000000" w:rsidR="00000000" w:rsidRPr="00000000">
        <w:rPr>
          <w:rFonts w:ascii="Google Sans" w:cs="Google Sans" w:eastAsia="Google Sans" w:hAnsi="Google Sans"/>
          <w:b w:val="1"/>
          <w:bCs w:val="1"/>
          <w:color w:val="1f1f1f"/>
          <w:rtl w:val="0"/>
        </w:rPr>
        <w:t xml:space="preserve">Cálculo de NPU e NPCAL em Nutrição.</w:t>
      </w:r>
      <w:r w:rsidDel="00000000" w:rsidR="00000000" w:rsidRPr="00000000">
        <w:rPr>
          <w:rFonts w:ascii="Google Sans" w:cs="Google Sans" w:eastAsia="Google Sans" w:hAnsi="Google Sans"/>
          <w:color w:val="1f1f1f"/>
          <w:rtl w:val="0"/>
        </w:rPr>
        <w:t xml:space="preserve"> Material didático de técnica dietética sobre NPU, NPCAL e NDPCAL. 2022. Disponível em: </w:t>
      </w:r>
      <w:hyperlink r:id="rId16">
        <w:r w:rsidDel="00000000" w:rsidR="00000000" w:rsidRPr="00000000">
          <w:rPr>
            <w:rFonts w:ascii="Google Sans" w:cs="Google Sans" w:eastAsia="Google Sans" w:hAnsi="Google Sans"/>
            <w:color w:val="0b57d0"/>
            <w:u w:val="single"/>
            <w:rtl w:val="0"/>
          </w:rPr>
          <w:t xml:space="preserve">https://www.scribd.com/document/594298601/NPU-NPCAL-e-NDPCAL</w:t>
        </w:r>
      </w:hyperlink>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HERNANDES, L. S.; NASCIMENTO, K. de O. Avaliação de proteínas do cardápio de uma empresa privada em relação ao recomendado pelo programa de alimentação do trabalhador. </w:t>
      </w:r>
      <w:r w:rsidDel="00000000" w:rsidR="00000000" w:rsidRPr="00000000">
        <w:rPr>
          <w:rFonts w:ascii="Google Sans" w:cs="Google Sans" w:eastAsia="Google Sans" w:hAnsi="Google Sans"/>
          <w:b w:val="1"/>
          <w:bCs w:val="1"/>
          <w:color w:val="1f1f1f"/>
          <w:rtl w:val="0"/>
        </w:rPr>
        <w:t xml:space="preserve">Research, Society and Development</w:t>
      </w:r>
      <w:r w:rsidDel="00000000" w:rsidR="00000000" w:rsidRPr="00000000">
        <w:rPr>
          <w:rFonts w:ascii="Google Sans" w:cs="Google Sans" w:eastAsia="Google Sans" w:hAnsi="Google Sans"/>
          <w:color w:val="1f1f1f"/>
          <w:rtl w:val="0"/>
        </w:rPr>
        <w:t xml:space="preserve">, v. 10, n. 4, e451104135399, 2021..</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MEZOMO, I. F. B. </w:t>
      </w:r>
      <w:r w:rsidDel="00000000" w:rsidR="00000000" w:rsidRPr="00000000">
        <w:rPr>
          <w:rFonts w:ascii="Google Sans" w:cs="Google Sans" w:eastAsia="Google Sans" w:hAnsi="Google Sans"/>
          <w:b w:val="1"/>
          <w:bCs w:val="1"/>
          <w:color w:val="1f1f1f"/>
          <w:rtl w:val="0"/>
        </w:rPr>
        <w:t xml:space="preserve">Os serviços de alimentação: planejamento e administração.</w:t>
      </w:r>
      <w:r w:rsidDel="00000000" w:rsidR="00000000" w:rsidRPr="00000000">
        <w:rPr>
          <w:rFonts w:ascii="Google Sans" w:cs="Google Sans" w:eastAsia="Google Sans" w:hAnsi="Google Sans"/>
          <w:color w:val="1f1f1f"/>
          <w:rtl w:val="0"/>
        </w:rPr>
        <w:t xml:space="preserve"> 5. ed. Barueri: Manole, 2002..</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NUNES, R. M. </w:t>
      </w:r>
      <w:r w:rsidDel="00000000" w:rsidR="00000000" w:rsidRPr="00000000">
        <w:rPr>
          <w:rFonts w:ascii="Google Sans" w:cs="Google Sans" w:eastAsia="Google Sans" w:hAnsi="Google Sans"/>
          <w:b w:val="1"/>
          <w:bCs w:val="1"/>
          <w:color w:val="1f1f1f"/>
          <w:rtl w:val="0"/>
        </w:rPr>
        <w:t xml:space="preserve">Tabelas de Per Capitas e Fatores de Correção e Rendimento.</w:t>
      </w:r>
      <w:r w:rsidDel="00000000" w:rsidR="00000000" w:rsidRPr="00000000">
        <w:rPr>
          <w:rFonts w:ascii="Google Sans" w:cs="Google Sans" w:eastAsia="Google Sans" w:hAnsi="Google Sans"/>
          <w:color w:val="1f1f1f"/>
          <w:rtl w:val="0"/>
        </w:rPr>
        <w:t xml:space="preserve"> Juiz de Fora: Universidade Federal de Juiz de Fora (UFJF), [200-?]. </w:t>
      </w:r>
      <w:r w:rsidDel="00000000" w:rsidR="00000000" w:rsidRPr="00000000">
        <w:rPr>
          <w:rFonts w:ascii="Google Sans" w:cs="Google Sans" w:eastAsia="Google Sans" w:hAnsi="Google Sans"/>
          <w:i w:val="1"/>
          <w:iCs w:val="1"/>
          <w:color w:val="1f1f1f"/>
          <w:rtl w:val="0"/>
        </w:rPr>
        <w:t xml:space="preserve">Apud</w:t>
      </w:r>
      <w:r w:rsidDel="00000000" w:rsidR="00000000" w:rsidRPr="00000000">
        <w:rPr>
          <w:rFonts w:ascii="Google Sans" w:cs="Google Sans" w:eastAsia="Google Sans" w:hAnsi="Google Sans"/>
          <w:color w:val="1f1f1f"/>
          <w:rtl w:val="0"/>
        </w:rPr>
        <w:t xml:space="preserve"> Serviço Brasileiro de Apoio às Micro e Pequenas Empresas – SEBRAE. Resposta Técnica: Tabelas de Per Capita de alimentos. Brasília, DF, 2015..</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PHILIPPI, S. T. </w:t>
      </w:r>
      <w:r w:rsidDel="00000000" w:rsidR="00000000" w:rsidRPr="00000000">
        <w:rPr>
          <w:rFonts w:ascii="Google Sans" w:cs="Google Sans" w:eastAsia="Google Sans" w:hAnsi="Google Sans"/>
          <w:b w:val="1"/>
          <w:bCs w:val="1"/>
          <w:color w:val="1f1f1f"/>
          <w:rtl w:val="0"/>
        </w:rPr>
        <w:t xml:space="preserve">Nutrição e técnica dietética.</w:t>
      </w:r>
      <w:r w:rsidDel="00000000" w:rsidR="00000000" w:rsidRPr="00000000">
        <w:rPr>
          <w:rFonts w:ascii="Google Sans" w:cs="Google Sans" w:eastAsia="Google Sans" w:hAnsi="Google Sans"/>
          <w:color w:val="1f1f1f"/>
          <w:rtl w:val="0"/>
        </w:rPr>
        <w:t xml:space="preserve"> 3. ed. Barueri: Manole, 2019..</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PROENÇA, R. P. C.; VEIROS, M. B. Avaliação Qualitativa das Preparações do Cardápio em uma Unidade de Alimentação e Nutrição - Método AQPC. </w:t>
      </w:r>
      <w:r w:rsidDel="00000000" w:rsidR="00000000" w:rsidRPr="00000000">
        <w:rPr>
          <w:rFonts w:ascii="Google Sans" w:cs="Google Sans" w:eastAsia="Google Sans" w:hAnsi="Google Sans"/>
          <w:b w:val="1"/>
          <w:bCs w:val="1"/>
          <w:color w:val="1f1f1f"/>
          <w:rtl w:val="0"/>
        </w:rPr>
        <w:t xml:space="preserve">Revista Nutrição em Pauta</w:t>
      </w:r>
      <w:r w:rsidDel="00000000" w:rsidR="00000000" w:rsidRPr="00000000">
        <w:rPr>
          <w:rFonts w:ascii="Google Sans" w:cs="Google Sans" w:eastAsia="Google Sans" w:hAnsi="Google Sans"/>
          <w:color w:val="1f1f1f"/>
          <w:rtl w:val="0"/>
        </w:rPr>
        <w:t xml:space="preserve">, São Paulo, ano 11, n. 62, p. 36-42, 2003..</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SILVA, D. R. da; et al. Avaliação Qualitativa das Preparações do Cardápio (AQPC) de uma unidade de alimentação e nutrição hospitalar em Jequié-BA. </w:t>
      </w:r>
      <w:r w:rsidDel="00000000" w:rsidR="00000000" w:rsidRPr="00000000">
        <w:rPr>
          <w:rFonts w:ascii="Google Sans" w:cs="Google Sans" w:eastAsia="Google Sans" w:hAnsi="Google Sans"/>
          <w:b w:val="1"/>
          <w:bCs w:val="1"/>
          <w:color w:val="1f1f1f"/>
          <w:rtl w:val="0"/>
        </w:rPr>
        <w:t xml:space="preserve">Research, Society and Development</w:t>
      </w:r>
      <w:r w:rsidDel="00000000" w:rsidR="00000000" w:rsidRPr="00000000">
        <w:rPr>
          <w:rFonts w:ascii="Google Sans" w:cs="Google Sans" w:eastAsia="Google Sans" w:hAnsi="Google Sans"/>
          <w:color w:val="1f1f1f"/>
          <w:rtl w:val="0"/>
        </w:rPr>
        <w:t xml:space="preserve">, v. 12, n. 4, e11812441034, 2023..</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VIENCZ, T.; SCHWARZ, K.; VIEIRA, R. L. D.; GATTI, P. N. M. Avaliação do Cardápio do Almoço Oferecido por uma Unidade de Alimentação e Nutrição Hospitalar. </w:t>
      </w:r>
      <w:r w:rsidDel="00000000" w:rsidR="00000000" w:rsidRPr="00000000">
        <w:rPr>
          <w:rFonts w:ascii="Google Sans" w:cs="Google Sans" w:eastAsia="Google Sans" w:hAnsi="Google Sans"/>
          <w:b w:val="1"/>
          <w:bCs w:val="1"/>
          <w:color w:val="1f1f1f"/>
          <w:rtl w:val="0"/>
        </w:rPr>
        <w:t xml:space="preserve">Visão Acadêmica</w:t>
      </w:r>
      <w:r w:rsidDel="00000000" w:rsidR="00000000" w:rsidRPr="00000000">
        <w:rPr>
          <w:rFonts w:ascii="Google Sans" w:cs="Google Sans" w:eastAsia="Google Sans" w:hAnsi="Google Sans"/>
          <w:color w:val="1f1f1f"/>
          <w:rtl w:val="0"/>
        </w:rPr>
        <w:t xml:space="preserve">, Curitiba, v. 17, n. 2, 2016..</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ZOLONDEK, G. I. P.; ALMEIDA, J. O. Análise qualiquantitativa de cardápios de uma unidade de alimentação e nutrição (UAN) da cidade de Ponta Grossa-PR. </w:t>
      </w:r>
      <w:r w:rsidDel="00000000" w:rsidR="00000000" w:rsidRPr="00000000">
        <w:rPr>
          <w:rFonts w:ascii="Google Sans" w:cs="Google Sans" w:eastAsia="Google Sans" w:hAnsi="Google Sans"/>
          <w:b w:val="1"/>
          <w:bCs w:val="1"/>
          <w:color w:val="1f1f1f"/>
          <w:rtl w:val="0"/>
        </w:rPr>
        <w:t xml:space="preserve">Revista Brasileira de Obesidade, Nutrição e Emagrecimento</w:t>
      </w:r>
      <w:r w:rsidDel="00000000" w:rsidR="00000000" w:rsidRPr="00000000">
        <w:rPr>
          <w:rFonts w:ascii="Google Sans" w:cs="Google Sans" w:eastAsia="Google Sans" w:hAnsi="Google Sans"/>
          <w:color w:val="1f1f1f"/>
          <w:rtl w:val="0"/>
        </w:rPr>
        <w:t xml:space="preserve">, v. 19, n. 125, Suplementar 2, 2025..</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D10854 - Planalto, acessado em abril 17, 2026, </w:t>
      </w:r>
      <w:hyperlink r:id="rId17">
        <w:r w:rsidDel="00000000" w:rsidR="00000000" w:rsidRPr="00000000">
          <w:rPr>
            <w:rFonts w:ascii="Google Sans" w:cs="Google Sans" w:eastAsia="Google Sans" w:hAnsi="Google Sans"/>
            <w:color w:val="0000ee"/>
            <w:sz w:val="24"/>
            <w:szCs w:val="24"/>
            <w:u w:val="single"/>
            <w:rtl w:val="0"/>
          </w:rPr>
          <w:t xml:space="preserve">https://www.planalto.gov.br/ccivil_03/_ato2019-2022/2021/decreto/d10854.htm</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Alimentação do Trabalho – PAT e o Decreto nº 10.854/21 - Mello Torres, acessado em abril 17, 2026, </w:t>
      </w:r>
      <w:hyperlink r:id="rId18">
        <w:r w:rsidDel="00000000" w:rsidR="00000000" w:rsidRPr="00000000">
          <w:rPr>
            <w:rFonts w:ascii="Google Sans" w:cs="Google Sans" w:eastAsia="Google Sans" w:hAnsi="Google Sans"/>
            <w:color w:val="0000ee"/>
            <w:sz w:val="24"/>
            <w:szCs w:val="24"/>
            <w:u w:val="single"/>
            <w:rtl w:val="0"/>
          </w:rPr>
          <w:t xml:space="preserve">https://mellotorres.com.br/programa-de-alimentacao-do-trabalho/</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GABINETE DO MINISTRO PORTARIA INTERMINISTERIAL Nº. 66, DE 25 DE AGOSTO DE 2006. PUBLICADA NO D.O.U DE 28 DE AGOSTO DE 2006 Alte - Portal Gov.br, acessado em abril 17, 2026, </w:t>
      </w:r>
      <w:hyperlink r:id="rId19">
        <w:r w:rsidDel="00000000" w:rsidR="00000000" w:rsidRPr="00000000">
          <w:rPr>
            <w:rFonts w:ascii="Google Sans" w:cs="Google Sans" w:eastAsia="Google Sans" w:hAnsi="Google Sans"/>
            <w:color w:val="0000ee"/>
            <w:sz w:val="24"/>
            <w:szCs w:val="24"/>
            <w:u w:val="single"/>
            <w:rtl w:val="0"/>
          </w:rPr>
          <w:t xml:space="preserve">https://www.gov.br/trabalho-e-emprego/pt-br/servicos/empregador/programa-de-alimentacao-do-trabalhador-pat/arquivos-legislacao/portarias-interministeriais/pat_portaria_interministerial_66_2006.pdf</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PORTARIA INTERMINISTERIAL MTE MF MS MPS MDS Nº 66 DE 25.08.2006 - NORMAS LEGAIS, acessado em abril 17, 2026, </w:t>
      </w:r>
      <w:hyperlink r:id="rId20">
        <w:r w:rsidDel="00000000" w:rsidR="00000000" w:rsidRPr="00000000">
          <w:rPr>
            <w:rFonts w:ascii="Google Sans" w:cs="Google Sans" w:eastAsia="Google Sans" w:hAnsi="Google Sans"/>
            <w:color w:val="0000ee"/>
            <w:sz w:val="24"/>
            <w:szCs w:val="24"/>
            <w:u w:val="single"/>
            <w:rtl w:val="0"/>
          </w:rPr>
          <w:t xml:space="preserve">https://www.normaslegais.com.br/legislacao/portariainterministerial66.htm</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Alimentação do Trabalhador - TozziniFreire Advogados, acessado em abril 17, 2026, </w:t>
      </w:r>
      <w:hyperlink r:id="rId21">
        <w:r w:rsidDel="00000000" w:rsidR="00000000" w:rsidRPr="00000000">
          <w:rPr>
            <w:rFonts w:ascii="Google Sans" w:cs="Google Sans" w:eastAsia="Google Sans" w:hAnsi="Google Sans"/>
            <w:color w:val="0000ee"/>
            <w:sz w:val="24"/>
            <w:szCs w:val="24"/>
            <w:u w:val="single"/>
            <w:rtl w:val="0"/>
          </w:rPr>
          <w:t xml:space="preserve">https://tozzinifreire.com.br/boletins/programa-de-alimentacao-do-trabalhador</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PORTARIA MTE Nº 1.707, DE 10 DE OUTUBRO DE 2024 - Portal Gov.br, acessado em abril 17, 2026, </w:t>
      </w:r>
      <w:hyperlink r:id="rId22">
        <w:r w:rsidDel="00000000" w:rsidR="00000000" w:rsidRPr="00000000">
          <w:rPr>
            <w:rFonts w:ascii="Google Sans" w:cs="Google Sans" w:eastAsia="Google Sans" w:hAnsi="Google Sans"/>
            <w:color w:val="0000ee"/>
            <w:sz w:val="24"/>
            <w:szCs w:val="24"/>
            <w:u w:val="single"/>
            <w:rtl w:val="0"/>
          </w:rPr>
          <w:t xml:space="preserve">https://www.gov.br/trabalho-e-emprego/pt-br/servicos/empregador/programa-de-alimentacao-do-trabalhador-pat/portaria-pat-rebate-1707-de-10-de-outubro-de-2024.pdf</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Gestão de Unidades de Alimentação | PDF - Scribd, acessado em abril 17, 2026, </w:t>
      </w:r>
      <w:hyperlink r:id="rId23">
        <w:r w:rsidDel="00000000" w:rsidR="00000000" w:rsidRPr="00000000">
          <w:rPr>
            <w:rFonts w:ascii="Google Sans" w:cs="Google Sans" w:eastAsia="Google Sans" w:hAnsi="Google Sans"/>
            <w:color w:val="0000ee"/>
            <w:sz w:val="24"/>
            <w:szCs w:val="24"/>
            <w:u w:val="single"/>
            <w:rtl w:val="0"/>
          </w:rPr>
          <w:t xml:space="preserve">https://pt.scribd.com/document/863108768/Unidades-de-Alimentacao-e-Nutricao-I</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Portaria Interministerial nº. 66, de 25 de agosto de 2006 Parâmetros nutricionais do PAT, acessado em abril 17, 2026, </w:t>
      </w:r>
      <w:hyperlink r:id="rId24">
        <w:r w:rsidDel="00000000" w:rsidR="00000000" w:rsidRPr="00000000">
          <w:rPr>
            <w:rFonts w:ascii="Google Sans" w:cs="Google Sans" w:eastAsia="Google Sans" w:hAnsi="Google Sans"/>
            <w:color w:val="0000ee"/>
            <w:sz w:val="24"/>
            <w:szCs w:val="24"/>
            <w:u w:val="single"/>
            <w:rtl w:val="0"/>
          </w:rPr>
          <w:t xml:space="preserve">https://nutritotal.com.br/pro/material/portaria-interministerial-no-66-de-25-de-agosto-de-2006-parametros-nutricionais-do-pat/</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Society and Development, v. 9, n. 11, e2519119765, 2020 (CC BY 4.0) | ISSN 2525-3409 | DOI: http://dx.doi.org/10.33448, acessado em abril 17, 2026, </w:t>
      </w:r>
      <w:hyperlink r:id="rId25">
        <w:r w:rsidDel="00000000" w:rsidR="00000000" w:rsidRPr="00000000">
          <w:rPr>
            <w:rFonts w:ascii="Google Sans" w:cs="Google Sans" w:eastAsia="Google Sans" w:hAnsi="Google Sans"/>
            <w:color w:val="0000ee"/>
            <w:sz w:val="24"/>
            <w:szCs w:val="24"/>
            <w:u w:val="single"/>
            <w:rtl w:val="0"/>
          </w:rPr>
          <w:t xml:space="preserve">https://rsdjournal.org/rsd/article/download/9765/8761/135399</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Cálculo de NPU e NDPCal na Dieta | PDF | Caloria | Leite - Scribd, acessado em abril 17, 2026, </w:t>
      </w:r>
      <w:hyperlink r:id="rId26">
        <w:r w:rsidDel="00000000" w:rsidR="00000000" w:rsidRPr="00000000">
          <w:rPr>
            <w:rFonts w:ascii="Google Sans" w:cs="Google Sans" w:eastAsia="Google Sans" w:hAnsi="Google Sans"/>
            <w:color w:val="0000ee"/>
            <w:sz w:val="24"/>
            <w:szCs w:val="24"/>
            <w:u w:val="single"/>
            <w:rtl w:val="0"/>
          </w:rPr>
          <w:t xml:space="preserve">https://de.scribd.com/doc/96832701/Aula-2-1-NPCal-e-NDPCal</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Questão O NdpCal representa o valor percentual das calorias totais de uma dieta/refeição na forma de proteína utilizá, acessado em abril 17, 2026, </w:t>
      </w:r>
      <w:hyperlink r:id="rId27">
        <w:r w:rsidDel="00000000" w:rsidR="00000000" w:rsidRPr="00000000">
          <w:rPr>
            <w:rFonts w:ascii="Google Sans" w:cs="Google Sans" w:eastAsia="Google Sans" w:hAnsi="Google Sans"/>
            <w:color w:val="0000ee"/>
            <w:sz w:val="24"/>
            <w:szCs w:val="24"/>
            <w:u w:val="single"/>
            <w:rtl w:val="0"/>
          </w:rPr>
          <w:t xml:space="preserve">https://concursos.estrategia.com/public/questoes/NdpCal-representa45064490f5/</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Novas regras para o PAT visa o fim dos deságios e mais proteção aos trabalhadores, acessado em abril 17, 2026, </w:t>
      </w:r>
      <w:hyperlink r:id="rId28">
        <w:r w:rsidDel="00000000" w:rsidR="00000000" w:rsidRPr="00000000">
          <w:rPr>
            <w:rFonts w:ascii="Google Sans" w:cs="Google Sans" w:eastAsia="Google Sans" w:hAnsi="Google Sans"/>
            <w:color w:val="0000ee"/>
            <w:sz w:val="24"/>
            <w:szCs w:val="24"/>
            <w:u w:val="single"/>
            <w:rtl w:val="0"/>
          </w:rPr>
          <w:t xml:space="preserve">https://www.migalhas.com.br/depeso/417985/novas-regras-do-pat-visam-acabar-com-desagios-e-proteger-trabalhadores</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Alimentação do Trabalhador (PAT) - Vedações acerca do programa - Portaria MTE nº 1.707/2024 - PwC Brasil, acessado em abril 17, 2026, </w:t>
      </w:r>
      <w:hyperlink r:id="rId29">
        <w:r w:rsidDel="00000000" w:rsidR="00000000" w:rsidRPr="00000000">
          <w:rPr>
            <w:rFonts w:ascii="Google Sans" w:cs="Google Sans" w:eastAsia="Google Sans" w:hAnsi="Google Sans"/>
            <w:color w:val="0000ee"/>
            <w:sz w:val="24"/>
            <w:szCs w:val="24"/>
            <w:u w:val="single"/>
            <w:rtl w:val="0"/>
          </w:rPr>
          <w:t xml:space="preserve">https://www.pwc.com.br/pt/consultoria-tributaria-societaria/thinking-about-taxes/tax-legis/2024/programa-de-alimentacao-do-trabalhador--pat----vedacoes-acerca-d.html</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Informativo Extraordinário: MTE publica portaria que dispõe sobre a definição de “promoção de saúde e segurança alimentar do empregado” no PAT | Bichara Advogados, acessado em abril 17, 2026, </w:t>
      </w:r>
      <w:hyperlink r:id="rId30">
        <w:r w:rsidDel="00000000" w:rsidR="00000000" w:rsidRPr="00000000">
          <w:rPr>
            <w:rFonts w:ascii="Google Sans" w:cs="Google Sans" w:eastAsia="Google Sans" w:hAnsi="Google Sans"/>
            <w:color w:val="0000ee"/>
            <w:sz w:val="24"/>
            <w:szCs w:val="24"/>
            <w:u w:val="single"/>
            <w:rtl w:val="0"/>
          </w:rPr>
          <w:t xml:space="preserve">https://www.bicharalaw.com.br/noticias/informativo-extraordinario-mte-publica-portaria-que-dispoe-sobre-a-definicao-de-promocao-de-saude-e-seguranca-alimentar-do-empregado-no-pat</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ANÁLISE JURÍDICA Programa de Alimentação do ... - Seac-SP, acessado em abril 17, 2026, </w:t>
      </w:r>
      <w:hyperlink r:id="rId31">
        <w:r w:rsidDel="00000000" w:rsidR="00000000" w:rsidRPr="00000000">
          <w:rPr>
            <w:rFonts w:ascii="Google Sans" w:cs="Google Sans" w:eastAsia="Google Sans" w:hAnsi="Google Sans"/>
            <w:color w:val="0000ee"/>
            <w:sz w:val="24"/>
            <w:szCs w:val="24"/>
            <w:u w:val="single"/>
            <w:rtl w:val="0"/>
          </w:rPr>
          <w:t xml:space="preserve">https://seac-sp.com.br/juridico/2024/analise_juridica_programa_de_alimentacao_do_trabalhador_pat.pdf</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Qualitativa das Preparações do ... - NUPPRE - UFSC, acessado em abril 17, 2026, </w:t>
      </w:r>
      <w:hyperlink r:id="rId32">
        <w:r w:rsidDel="00000000" w:rsidR="00000000" w:rsidRPr="00000000">
          <w:rPr>
            <w:rFonts w:ascii="Google Sans" w:cs="Google Sans" w:eastAsia="Google Sans" w:hAnsi="Google Sans"/>
            <w:color w:val="0000ee"/>
            <w:sz w:val="24"/>
            <w:szCs w:val="24"/>
            <w:u w:val="single"/>
            <w:rtl w:val="0"/>
          </w:rPr>
          <w:t xml:space="preserve">https://nuppre.paginas.ufsc.br/files/2014/04/2003-VEIROS-e-PROEN%C3%87A.pdf</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aplicação do método avaliação qualitativa das preparações do cardápio (aqpc) em uma unidade de, acessado em abril 17, 2026, </w:t>
      </w:r>
      <w:hyperlink r:id="rId33">
        <w:r w:rsidDel="00000000" w:rsidR="00000000" w:rsidRPr="00000000">
          <w:rPr>
            <w:rFonts w:ascii="Google Sans" w:cs="Google Sans" w:eastAsia="Google Sans" w:hAnsi="Google Sans"/>
            <w:color w:val="0000ee"/>
            <w:sz w:val="24"/>
            <w:szCs w:val="24"/>
            <w:u w:val="single"/>
            <w:rtl w:val="0"/>
          </w:rPr>
          <w:t xml:space="preserve">https://revistas.ufpr.br/academica/article/download/38890/26371</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QUALITATIVA DAS PREPARAÇÕES DO CARDÁPIO (AQPC) DE UMA UNIDADE DE ALIMENTAÇÃO E NUTRIÇÃO HOSPITALAR EM JEQUIÉ - PROJETOS INTEGRADORES – – UniFTC, acessado em abril 17, 2026, </w:t>
      </w:r>
      <w:hyperlink r:id="rId34">
        <w:r w:rsidDel="00000000" w:rsidR="00000000" w:rsidRPr="00000000">
          <w:rPr>
            <w:rFonts w:ascii="Google Sans" w:cs="Google Sans" w:eastAsia="Google Sans" w:hAnsi="Google Sans"/>
            <w:color w:val="0000ee"/>
            <w:sz w:val="24"/>
            <w:szCs w:val="24"/>
            <w:u w:val="single"/>
            <w:rtl w:val="0"/>
          </w:rPr>
          <w:t xml:space="preserve">https://projetosintegradores.uniftc.edu.br/wp-content/uploads/2022/12/Artigo-cientifico-TCC-AQPC.pdf</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Qualitativa das Preparações do Cardápio (AQPC) de uma unidade de alimentação e nutrição hospitalar em Jequié-BA - Research, Society and Development, acessado em abril 17, 2026, </w:t>
      </w:r>
      <w:hyperlink r:id="rId35">
        <w:r w:rsidDel="00000000" w:rsidR="00000000" w:rsidRPr="00000000">
          <w:rPr>
            <w:rFonts w:ascii="Google Sans" w:cs="Google Sans" w:eastAsia="Google Sans" w:hAnsi="Google Sans"/>
            <w:color w:val="0000ee"/>
            <w:sz w:val="24"/>
            <w:szCs w:val="24"/>
            <w:u w:val="single"/>
            <w:rtl w:val="0"/>
          </w:rPr>
          <w:t xml:space="preserve">https://rsdjournal.org/rsd/article/download/41034/33440/438297</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Análise qualiquantitativa de cardápios de uma unidade de alimentação e nutrição (UAN) da cidade de Ponta Grossa-PR | RBONE, acessado em abril 17, 2026, </w:t>
      </w:r>
      <w:hyperlink r:id="rId36">
        <w:r w:rsidDel="00000000" w:rsidR="00000000" w:rsidRPr="00000000">
          <w:rPr>
            <w:rFonts w:ascii="Google Sans" w:cs="Google Sans" w:eastAsia="Google Sans" w:hAnsi="Google Sans"/>
            <w:color w:val="0000ee"/>
            <w:sz w:val="24"/>
            <w:szCs w:val="24"/>
            <w:u w:val="single"/>
            <w:rtl w:val="0"/>
          </w:rPr>
          <w:t xml:space="preserve">https://www.rbone.com.br/index.php/rbone/article/view/3027</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Utilização do método AQPC como ferramenta qualitativa em restaurantes institucionais: uma revisão sistemática - ResearchGate, acessado em abril 17,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https://www.researchgate.net/publication/375426781_Utilizacao_do_metodo_AQPC_como_ferramenta_qualitativa_em_restaurantes_institucionais_uma_revisao_sistematica</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Gestão de Unidades de Alimentação e Nutrição | PDF | Teoria dos Sistemas - Scribd, acessado em abril 17, 2026, </w:t>
      </w:r>
      <w:hyperlink r:id="rId38">
        <w:r w:rsidDel="00000000" w:rsidR="00000000" w:rsidRPr="00000000">
          <w:rPr>
            <w:rFonts w:ascii="Google Sans" w:cs="Google Sans" w:eastAsia="Google Sans" w:hAnsi="Google Sans"/>
            <w:color w:val="0000ee"/>
            <w:sz w:val="24"/>
            <w:szCs w:val="24"/>
            <w:u w:val="single"/>
            <w:rtl w:val="0"/>
          </w:rPr>
          <w:t xml:space="preserve">https://pt.scribd.com/document/721927544/uan-1</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AVALIAÇÃO DO DESPERDÍCIO DE ALIMENTOS NA DISTRIBUIÇÃO DO ALMOÇO SERVIDO PARA OS FUNCIONÁRIOS DE UM HOSPITAL PÚBLICO DE P - Lume UFRGS, acessado em abril 17, 2026, </w:t>
      </w:r>
      <w:hyperlink r:id="rId39">
        <w:r w:rsidDel="00000000" w:rsidR="00000000" w:rsidRPr="00000000">
          <w:rPr>
            <w:rFonts w:ascii="Google Sans" w:cs="Google Sans" w:eastAsia="Google Sans" w:hAnsi="Google Sans"/>
            <w:color w:val="0000ee"/>
            <w:sz w:val="24"/>
            <w:szCs w:val="24"/>
            <w:u w:val="single"/>
            <w:rtl w:val="0"/>
          </w:rPr>
          <w:t xml:space="preserve">https://lume.ufrgs.br/bitstream/handle/10183/16556/000699412.pdf</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Tabelas de Per Capita de alimentos - Sebrae, acessado em abril 17, 2026, </w:t>
      </w:r>
      <w:hyperlink r:id="rId40">
        <w:r w:rsidDel="00000000" w:rsidR="00000000" w:rsidRPr="00000000">
          <w:rPr>
            <w:rFonts w:ascii="Google Sans" w:cs="Google Sans" w:eastAsia="Google Sans" w:hAnsi="Google Sans"/>
            <w:color w:val="0000ee"/>
            <w:sz w:val="24"/>
            <w:szCs w:val="24"/>
            <w:u w:val="single"/>
            <w:rtl w:val="0"/>
          </w:rPr>
          <w:t xml:space="preserve">https://sebrae.com.br/Sebrae/Portal%20Sebrae/SBRT/pdfs/30597_65034.pdf</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revisão e ampliação da tabela de pesos e medidas para utilização em aulas práticas de técnica dietética do curso de nutrição1, acessado em abril 17, 2026, </w:t>
      </w:r>
      <w:hyperlink r:id="rId41">
        <w:r w:rsidDel="00000000" w:rsidR="00000000" w:rsidRPr="00000000">
          <w:rPr>
            <w:rFonts w:ascii="Google Sans" w:cs="Google Sans" w:eastAsia="Google Sans" w:hAnsi="Google Sans"/>
            <w:color w:val="0000ee"/>
            <w:sz w:val="24"/>
            <w:szCs w:val="24"/>
            <w:u w:val="single"/>
            <w:rtl w:val="0"/>
          </w:rPr>
          <w:t xml:space="preserve">https://periodicos.ufn.edu.br/index.php/disciplinarumS/article/download/882/827/2724</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Guia prático para gerenciamento de unidades de alimentação e nutrição, acessado em abril 17, 2026, </w:t>
      </w:r>
      <w:hyperlink r:id="rId42">
        <w:r w:rsidDel="00000000" w:rsidR="00000000" w:rsidRPr="00000000">
          <w:rPr>
            <w:rFonts w:ascii="Google Sans" w:cs="Google Sans" w:eastAsia="Google Sans" w:hAnsi="Google Sans"/>
            <w:color w:val="0000ee"/>
            <w:sz w:val="24"/>
            <w:szCs w:val="24"/>
            <w:u w:val="single"/>
            <w:rtl w:val="0"/>
          </w:rPr>
          <w:t xml:space="preserve">https://ri.ufrb.edu.br/jspui/bitstream/123456789/804/1/Guia_Pratico_Gerenciamento_Livro_2012.pdf</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Per Capita de Alimentos 2024 | PDF | Creme (gastronomia) | Hambúrgueres - Scribd, acessado em abril 17, 2026, </w:t>
      </w:r>
      <w:hyperlink r:id="rId43">
        <w:r w:rsidDel="00000000" w:rsidR="00000000" w:rsidRPr="00000000">
          <w:rPr>
            <w:rFonts w:ascii="Google Sans" w:cs="Google Sans" w:eastAsia="Google Sans" w:hAnsi="Google Sans"/>
            <w:color w:val="0000ee"/>
            <w:sz w:val="24"/>
            <w:szCs w:val="24"/>
            <w:u w:val="single"/>
            <w:rtl w:val="0"/>
          </w:rPr>
          <w:t xml:space="preserve">https://pt.scribd.com/document/821935084/Tabela-de-per-capita-e-fatores-de-correcao-de-alimentos</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Cálculo de NPU e NPCAL em Nutrição | PDF | Proteínas | Natureza - Scribd, acessado em abril 17, 2026, </w:t>
      </w:r>
      <w:hyperlink r:id="rId44">
        <w:r w:rsidDel="00000000" w:rsidR="00000000" w:rsidRPr="00000000">
          <w:rPr>
            <w:rFonts w:ascii="Google Sans" w:cs="Google Sans" w:eastAsia="Google Sans" w:hAnsi="Google Sans"/>
            <w:color w:val="0000ee"/>
            <w:sz w:val="24"/>
            <w:szCs w:val="24"/>
            <w:u w:val="single"/>
            <w:rtl w:val="0"/>
          </w:rPr>
          <w:t xml:space="preserve">https://www.scribd.com/document/594298601/NPU-NPCAL-e-NDPCAL</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Tabela de Alimentos Per Capita, acessado em abril 17, 2026, </w:t>
      </w:r>
      <w:hyperlink r:id="rId45">
        <w:r w:rsidDel="00000000" w:rsidR="00000000" w:rsidRPr="00000000">
          <w:rPr>
            <w:rFonts w:ascii="Google Sans" w:cs="Google Sans" w:eastAsia="Google Sans" w:hAnsi="Google Sans"/>
            <w:color w:val="0000ee"/>
            <w:sz w:val="24"/>
            <w:szCs w:val="24"/>
            <w:u w:val="single"/>
            <w:rtl w:val="0"/>
          </w:rPr>
          <w:t xml:space="preserve">https://midiasstoragesec.blob.core.windows.net/001/2017/04/tabela-de-alimentos-per-capita.pdf</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Serviços de Alimentação Mezomo | PDF - Scribd, acessado em abril 17, 2026, </w:t>
      </w:r>
      <w:hyperlink r:id="rId46">
        <w:r w:rsidDel="00000000" w:rsidR="00000000" w:rsidRPr="00000000">
          <w:rPr>
            <w:rFonts w:ascii="Google Sans" w:cs="Google Sans" w:eastAsia="Google Sans" w:hAnsi="Google Sans"/>
            <w:color w:val="0000ee"/>
            <w:sz w:val="24"/>
            <w:szCs w:val="24"/>
            <w:u w:val="single"/>
            <w:rtl w:val="0"/>
          </w:rPr>
          <w:t xml:space="preserve">https://www.scribd.com/document/580562246/Servicos-de-Alimentacao-Mezomo</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Nutrição e técnica dietética - Sonia Tucunduva Philippi - Google Livros, acessado em abril 17, 2026, </w:t>
      </w:r>
      <w:hyperlink r:id="rId47">
        <w:r w:rsidDel="00000000" w:rsidR="00000000" w:rsidRPr="00000000">
          <w:rPr>
            <w:rFonts w:ascii="Google Sans" w:cs="Google Sans" w:eastAsia="Google Sans" w:hAnsi="Google Sans"/>
            <w:color w:val="0000ee"/>
            <w:sz w:val="24"/>
            <w:szCs w:val="24"/>
            <w:u w:val="single"/>
            <w:rtl w:val="0"/>
          </w:rPr>
          <w:t xml:space="preserve">https://books.google.com.br/books?id=XQUqCgAAQBAJ&amp;printsec=frontcover&amp;hl=pt-BR</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Nutrição e técnica dietética - Sonia Tucunduva Philippi - Google Books, acessado em abril 17, 2026, </w:t>
      </w:r>
      <w:hyperlink r:id="rId48">
        <w:r w:rsidDel="00000000" w:rsidR="00000000" w:rsidRPr="00000000">
          <w:rPr>
            <w:rFonts w:ascii="Google Sans" w:cs="Google Sans" w:eastAsia="Google Sans" w:hAnsi="Google Sans"/>
            <w:color w:val="0000ee"/>
            <w:sz w:val="24"/>
            <w:szCs w:val="24"/>
            <w:u w:val="single"/>
            <w:rtl w:val="0"/>
          </w:rPr>
          <w:t xml:space="preserve">https://books.google.com/books/about/Nutri%C3%A7%C3%A3o_e_t%C3%A9cnica_diet%C3%A9tica.html?id=XQUqCgAAQBAJ</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Nutrição e técnica dietética: Sonia Tucunduva Philippi (2019), acessado em abril 17, 2026, </w:t>
      </w:r>
      <w:hyperlink r:id="rId49">
        <w:r w:rsidDel="00000000" w:rsidR="00000000" w:rsidRPr="00000000">
          <w:rPr>
            <w:rFonts w:ascii="Google Sans" w:cs="Google Sans" w:eastAsia="Google Sans" w:hAnsi="Google Sans"/>
            <w:color w:val="0000ee"/>
            <w:sz w:val="24"/>
            <w:szCs w:val="24"/>
            <w:u w:val="single"/>
            <w:rtl w:val="0"/>
          </w:rPr>
          <w:t xml:space="preserve">https://repositorio.usp.br/item/002983004</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de Cardápios Per Capita Nutricionais | PDF - Scribd, acessado em abril 17, 2026, </w:t>
      </w:r>
      <w:hyperlink r:id="rId50">
        <w:r w:rsidDel="00000000" w:rsidR="00000000" w:rsidRPr="00000000">
          <w:rPr>
            <w:rFonts w:ascii="Google Sans" w:cs="Google Sans" w:eastAsia="Google Sans" w:hAnsi="Google Sans"/>
            <w:color w:val="0000ee"/>
            <w:sz w:val="24"/>
            <w:szCs w:val="24"/>
            <w:u w:val="single"/>
            <w:rtl w:val="0"/>
          </w:rPr>
          <w:t xml:space="preserve">https://pt.scribd.com/document/355774356/PER-CAPTA-docx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brae.com.br/Sebrae/Portal%20Sebrae/SBRT/pdfs/30597_65034.pdf" TargetMode="External"/><Relationship Id="rId42" Type="http://schemas.openxmlformats.org/officeDocument/2006/relationships/hyperlink" Target="https://ri.ufrb.edu.br/jspui/bitstream/123456789/804/1/Guia_Pratico_Gerenciamento_Livro_2012.pdf" TargetMode="External"/><Relationship Id="rId41" Type="http://schemas.openxmlformats.org/officeDocument/2006/relationships/hyperlink" Target="https://periodicos.ufn.edu.br/index.php/disciplinarumS/article/download/882/827/2724" TargetMode="External"/><Relationship Id="rId44" Type="http://schemas.openxmlformats.org/officeDocument/2006/relationships/hyperlink" Target="https://www.scribd.com/document/594298601/NPU-NPCAL-e-NDPCAL" TargetMode="External"/><Relationship Id="rId43" Type="http://schemas.openxmlformats.org/officeDocument/2006/relationships/hyperlink" Target="https://pt.scribd.com/document/821935084/Tabela-de-per-capita-e-fatores-de-correcao-de-alimentos" TargetMode="External"/><Relationship Id="rId46" Type="http://schemas.openxmlformats.org/officeDocument/2006/relationships/hyperlink" Target="https://www.scribd.com/document/580562246/Servicos-de-Alimentacao-Mezomo" TargetMode="External"/><Relationship Id="rId45" Type="http://schemas.openxmlformats.org/officeDocument/2006/relationships/hyperlink" Target="https://midiasstoragesec.blob.core.windows.net/001/2017/04/tabela-de-alimentos-per-capita.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books.google.com/books/about/Nutri%C3%A7%C3%A3o_e_t%C3%A9cnica_diet%C3%A9tica.html?id=XQUqCgAAQBAJ" TargetMode="External"/><Relationship Id="rId47" Type="http://schemas.openxmlformats.org/officeDocument/2006/relationships/hyperlink" Target="https://books.google.com.br/books?id=XQUqCgAAQBAJ&amp;printsec=frontcover&amp;hl=pt-BR" TargetMode="External"/><Relationship Id="rId49" Type="http://schemas.openxmlformats.org/officeDocument/2006/relationships/hyperlink" Target="https://repositorio.usp.br/item/002983004"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3.png"/><Relationship Id="rId31" Type="http://schemas.openxmlformats.org/officeDocument/2006/relationships/hyperlink" Target="https://seac-sp.com.br/juridico/2024/analise_juridica_programa_de_alimentacao_do_trabalhador_pat.pdf" TargetMode="External"/><Relationship Id="rId30" Type="http://schemas.openxmlformats.org/officeDocument/2006/relationships/hyperlink" Target="https://www.bicharalaw.com.br/noticias/informativo-extraordinario-mte-publica-portaria-que-dispoe-sobre-a-definicao-de-promocao-de-saude-e-seguranca-alimentar-do-empregado-no-pat" TargetMode="External"/><Relationship Id="rId33" Type="http://schemas.openxmlformats.org/officeDocument/2006/relationships/hyperlink" Target="https://revistas.ufpr.br/academica/article/download/38890/26371" TargetMode="External"/><Relationship Id="rId32" Type="http://schemas.openxmlformats.org/officeDocument/2006/relationships/hyperlink" Target="https://nuppre.paginas.ufsc.br/files/2014/04/2003-VEIROS-e-PROEN%C3%87A.pdf" TargetMode="External"/><Relationship Id="rId35" Type="http://schemas.openxmlformats.org/officeDocument/2006/relationships/hyperlink" Target="https://rsdjournal.org/rsd/article/download/41034/33440/438297" TargetMode="External"/><Relationship Id="rId34" Type="http://schemas.openxmlformats.org/officeDocument/2006/relationships/hyperlink" Target="https://projetosintegradores.uniftc.edu.br/wp-content/uploads/2022/12/Artigo-cientifico-TCC-AQPC.pdf" TargetMode="External"/><Relationship Id="rId37" Type="http://schemas.openxmlformats.org/officeDocument/2006/relationships/hyperlink" Target="https://www.researchgate.net/publication/375426781_Utilizacao_do_metodo_AQPC_como_ferramenta_qualitativa_em_restaurantes_institucionais_uma_revisao_sistematica" TargetMode="External"/><Relationship Id="rId36" Type="http://schemas.openxmlformats.org/officeDocument/2006/relationships/hyperlink" Target="https://www.rbone.com.br/index.php/rbone/article/view/3027" TargetMode="External"/><Relationship Id="rId39" Type="http://schemas.openxmlformats.org/officeDocument/2006/relationships/hyperlink" Target="https://lume.ufrgs.br/bitstream/handle/10183/16556/000699412.pdf" TargetMode="External"/><Relationship Id="rId38" Type="http://schemas.openxmlformats.org/officeDocument/2006/relationships/hyperlink" Target="https://pt.scribd.com/document/721927544/uan-1" TargetMode="External"/><Relationship Id="rId20" Type="http://schemas.openxmlformats.org/officeDocument/2006/relationships/hyperlink" Target="https://www.normaslegais.com.br/legislacao/portariainterministerial66.htm" TargetMode="External"/><Relationship Id="rId22" Type="http://schemas.openxmlformats.org/officeDocument/2006/relationships/hyperlink" Target="https://www.gov.br/trabalho-e-emprego/pt-br/servicos/empregador/programa-de-alimentacao-do-trabalhador-pat/portaria-pat-rebate-1707-de-10-de-outubro-de-2024.pdf" TargetMode="External"/><Relationship Id="rId21" Type="http://schemas.openxmlformats.org/officeDocument/2006/relationships/hyperlink" Target="https://tozzinifreire.com.br/boletins/programa-de-alimentacao-do-trabalhador" TargetMode="External"/><Relationship Id="rId24" Type="http://schemas.openxmlformats.org/officeDocument/2006/relationships/hyperlink" Target="https://nutritotal.com.br/pro/material/portaria-interministerial-no-66-de-25-de-agosto-de-2006-parametros-nutricionais-do-pat/" TargetMode="External"/><Relationship Id="rId23" Type="http://schemas.openxmlformats.org/officeDocument/2006/relationships/hyperlink" Target="https://pt.scribd.com/document/863108768/Unidades-de-Alimentacao-e-Nutricao-I" TargetMode="External"/><Relationship Id="rId26" Type="http://schemas.openxmlformats.org/officeDocument/2006/relationships/hyperlink" Target="https://de.scribd.com/doc/96832701/Aula-2-1-NPCal-e-NDPCal" TargetMode="External"/><Relationship Id="rId25" Type="http://schemas.openxmlformats.org/officeDocument/2006/relationships/hyperlink" Target="https://rsdjournal.org/rsd/article/download/9765/8761/135399" TargetMode="External"/><Relationship Id="rId28" Type="http://schemas.openxmlformats.org/officeDocument/2006/relationships/hyperlink" Target="https://www.migalhas.com.br/depeso/417985/novas-regras-do-pat-visam-acabar-com-desagios-e-proteger-trabalhadores" TargetMode="External"/><Relationship Id="rId27" Type="http://schemas.openxmlformats.org/officeDocument/2006/relationships/hyperlink" Target="https://concursos.estrategia.com/public/questoes/NdpCal-representa45064490f5/" TargetMode="External"/><Relationship Id="rId29" Type="http://schemas.openxmlformats.org/officeDocument/2006/relationships/hyperlink" Target="https://www.pwc.com.br/pt/consultoria-tributaria-societaria/thinking-about-taxes/tax-legis/2024/programa-de-alimentacao-do-trabalhador--pat----vedacoes-acerca-d.html" TargetMode="External"/><Relationship Id="rId50" Type="http://schemas.openxmlformats.org/officeDocument/2006/relationships/hyperlink" Target="https://pt.scribd.com/document/355774356/PER-CAPTA-docx" TargetMode="External"/><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hyperlink" Target="https://www.planalto.gov.br/ccivil_03/_ato2019-2022/2021/decreto/d10854.htm" TargetMode="External"/><Relationship Id="rId16" Type="http://schemas.openxmlformats.org/officeDocument/2006/relationships/hyperlink" Target="https://www.scribd.com/document/594298601/NPU-NPCAL-e-NDPCAL" TargetMode="External"/><Relationship Id="rId19" Type="http://schemas.openxmlformats.org/officeDocument/2006/relationships/hyperlink" Target="https://www.gov.br/trabalho-e-emprego/pt-br/servicos/empregador/programa-de-alimentacao-do-trabalhador-pat/arquivos-legislacao/portarias-interministeriais/pat_portaria_interministerial_66_2006.pdf" TargetMode="External"/><Relationship Id="rId18" Type="http://schemas.openxmlformats.org/officeDocument/2006/relationships/hyperlink" Target="https://mellotorres.com.br/programa-de-alimentacao-do-trabalh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