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Relatório Científico: Parâmetros Algorítmicos e Indicadores de Desperdício para Gestão ESG em Unidades de Alimentação e Nutrição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consolidação de diretrizes de Governança Ambiental, Social e Corporativa (ESG) no ecossistema corporativo contemporâneo impôs ao setor de alimentação coletiva a necessidade imperativa de transição de modelos lineares de exploração de recursos para arquiteturas de economia circular. A concepção de um Software as a Service (SaaS) destinado ao monitoramento e à mitigação de desperdícios em Unidades de Alimentação e Nutrição (UAN) requer uma modelagem de dados que transcenda a mera digitalização de planilhas de controle diário. O desenvolvimento de painéis de visualização de dados (</w:t>
      </w:r>
      <w:r w:rsidDel="00000000" w:rsidR="00000000" w:rsidRPr="00000000">
        <w:rPr>
          <w:rFonts w:ascii="Google Sans" w:cs="Google Sans" w:eastAsia="Google Sans" w:hAnsi="Google Sans"/>
          <w:i w:val="1"/>
          <w:iCs w:val="1"/>
          <w:color w:val="1f1f1f"/>
          <w:rtl w:val="0"/>
        </w:rPr>
        <w:t xml:space="preserve">dashboards</w:t>
      </w:r>
      <w:r w:rsidDel="00000000" w:rsidR="00000000" w:rsidRPr="00000000">
        <w:rPr>
          <w:rFonts w:ascii="Google Sans" w:cs="Google Sans" w:eastAsia="Google Sans" w:hAnsi="Google Sans"/>
          <w:color w:val="1f1f1f"/>
          <w:rtl w:val="0"/>
        </w:rPr>
        <w:t xml:space="preserve">) com medidores dinâmicos exige a parametrização algorítmica de indicadores físicos, alicerçada no estado da arte da literatura acadêmica em Nutrição, Engenharia de Produção e Ciências Ambientais.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Globalmente, a Organização das Nações Unidas para a Alimentação e a Agricultura (FAO) e o Programa das Nações Unidas para o Meio Ambiente (UNEP) estimam que aproximadamente um terço de todos os alimentos produzidos no mundo é perdido ou desperdiçado anualmente, perfazendo mais de um bilhão de toneladas de matéria orgânica descartada.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Este fenômeno não representa apenas uma falha crítica na segurança alimentar global, mas também configura um desastre climático severo, uma vez que a decomposição anaeróbia de resíduos alimentares em aterros sanitários é uma das principais fontes antropogênicas de emissão de gás metano. Em território brasileiro, onde a insegurança alimentar ainda assola parcelas significativas da população, o desperdício em cozinhas industriais assume contornos de ineficiência operacional e passivo ético-social.</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Nesse cenário, o software a ser desenvolvido atuará como o núcleo de inteligência gerencial da UAN. Para que os medidores (</w:t>
      </w:r>
      <w:r w:rsidDel="00000000" w:rsidR="00000000" w:rsidRPr="00000000">
        <w:rPr>
          <w:rFonts w:ascii="Google Sans" w:cs="Google Sans" w:eastAsia="Google Sans" w:hAnsi="Google Sans"/>
          <w:i w:val="1"/>
          <w:iCs w:val="1"/>
          <w:color w:val="1f1f1f"/>
          <w:rtl w:val="0"/>
        </w:rPr>
        <w:t xml:space="preserve">gauges</w:t>
      </w:r>
      <w:r w:rsidDel="00000000" w:rsidR="00000000" w:rsidRPr="00000000">
        <w:rPr>
          <w:rFonts w:ascii="Google Sans" w:cs="Google Sans" w:eastAsia="Google Sans" w:hAnsi="Google Sans"/>
          <w:color w:val="1f1f1f"/>
          <w:rtl w:val="0"/>
        </w:rPr>
        <w:t xml:space="preserve">) transitem de forma automatizada entre os </w:t>
      </w:r>
      <w:r w:rsidDel="00000000" w:rsidR="00000000" w:rsidRPr="00000000">
        <w:rPr>
          <w:rFonts w:ascii="Google Sans" w:cs="Google Sans" w:eastAsia="Google Sans" w:hAnsi="Google Sans"/>
          <w:i w:val="1"/>
          <w:iCs w:val="1"/>
          <w:color w:val="1f1f1f"/>
          <w:rtl w:val="0"/>
        </w:rPr>
        <w:t xml:space="preserve">status</w:t>
      </w:r>
      <w:r w:rsidDel="00000000" w:rsidR="00000000" w:rsidRPr="00000000">
        <w:rPr>
          <w:rFonts w:ascii="Google Sans" w:cs="Google Sans" w:eastAsia="Google Sans" w:hAnsi="Google Sans"/>
          <w:color w:val="1f1f1f"/>
          <w:rtl w:val="0"/>
        </w:rPr>
        <w:t xml:space="preserve"> Verde (Excelência), Amarelo (Alerta) e Vermelho (Crítico), é estritamente necessário definir a taxonomia do desperdício, modelar matematicamente as equações de balanço de massa da cozinha e estipular limites de tolerância validados por autores clássicos e pesquisadores contemporâneos do setor de </w:t>
      </w:r>
      <w:r w:rsidDel="00000000" w:rsidR="00000000" w:rsidRPr="00000000">
        <w:rPr>
          <w:rFonts w:ascii="Google Sans" w:cs="Google Sans" w:eastAsia="Google Sans" w:hAnsi="Google Sans"/>
          <w:i w:val="1"/>
          <w:iCs w:val="1"/>
          <w:color w:val="1f1f1f"/>
          <w:rtl w:val="0"/>
        </w:rPr>
        <w:t xml:space="preserve">Food Service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Fórmulas de Desperdício (Sobras e Resto-Ingesta)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modelagem da arquitetura de dados de um SaaS para o setor de alimentação coletiva deve respeitar a cronologia do fluxo de produção das refeições. O desperdício não é um evento singular, mas um processo cumulativo que pode se manifestar em múltiplas etapas, desde o recebimento da matéria-prima até a devolução das bandejas pelos comensais. Para o escopo de mensuração do desperdício de produtos finalizados (prontos para o consumo), a literatura clássica e as normativas de qualidade em UANs categorizam as perdas em três dimensões operacionais distintas: Sobras Limpas, Sobras Sujas e Resto-Ingesta.</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Cada uma destas categorias exige metodologias de pesagem específicas, variáveis de cálculo distintas e, fundamentalmente, destinações diferentes sob a ótica sanitária e legal. A acurácia do sistema dependerá da capacidade da equipe de retaguarda de alimentar a interface do software com aferições diárias precisas, descontando sistematicamente as taras das cubas gastronômicas (GNs), lixeiras e recipientes de medição.</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Sobras Limpas (Produção Não Distribuída)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Conceitualmente, o termo "Sobra Limpa", também reconhecido na literatura como "sobra aproveitável" ou "excedente de produção primário", designa o volume absoluto de alimentos que foi planejado, processado, submetido à cocção e finalizado no ambiente restrito da cozinha, mas que em nenhum momento chegou a ser exposto no balcão de distribuição ou rampa de </w:t>
      </w:r>
      <w:r w:rsidDel="00000000" w:rsidR="00000000" w:rsidRPr="00000000">
        <w:rPr>
          <w:rFonts w:ascii="Google Sans" w:cs="Google Sans" w:eastAsia="Google Sans" w:hAnsi="Google Sans"/>
          <w:i w:val="1"/>
          <w:iCs w:val="1"/>
          <w:color w:val="1f1f1f"/>
          <w:rtl w:val="0"/>
        </w:rPr>
        <w:t xml:space="preserve">self-service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Trata-se do alimento que permaneceu resguardado em panelas, estufas de aquecimento, </w:t>
      </w:r>
      <w:r w:rsidDel="00000000" w:rsidR="00000000" w:rsidRPr="00000000">
        <w:rPr>
          <w:rFonts w:ascii="Google Sans" w:cs="Google Sans" w:eastAsia="Google Sans" w:hAnsi="Google Sans"/>
          <w:i w:val="1"/>
          <w:iCs w:val="1"/>
          <w:color w:val="1f1f1f"/>
          <w:rtl w:val="0"/>
        </w:rPr>
        <w:t xml:space="preserve">pass-throughs</w:t>
      </w:r>
      <w:r w:rsidDel="00000000" w:rsidR="00000000" w:rsidRPr="00000000">
        <w:rPr>
          <w:rFonts w:ascii="Google Sans" w:cs="Google Sans" w:eastAsia="Google Sans" w:hAnsi="Google Sans"/>
          <w:color w:val="1f1f1f"/>
          <w:rtl w:val="0"/>
        </w:rPr>
        <w:t xml:space="preserve"> ou câmaras de resfriamento na área interna de produção.</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característica fundamental que define a Sobra Limpa é a preservação da integridade microbiológica e da cadeia de controle de temperatura. Por não ter tido contato direto com o ambiente externo do refeitório, com os comensais ou com a atmosfera não controlada, este alimento não sofreu os riscos inerentes à contaminação cruzada.</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Consequentemente, as normativas da vigilância sanitária e os manuais de boas práticas permitem que as Sobras Limpas sejam reaproveitadas em refeições subsequentes, desde que submetidas a processos rigorosos de resfriamento rápido (queda de temperatura para níveis de refrigeração em tempo hábil) e armazenamento etiquetado.</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 ponto de vista da governança operacional, um alto índice de Sobra Limpa denuncia falhas sistêmicas no dimensionamento do cardápio, erros de </w:t>
      </w:r>
      <w:r w:rsidDel="00000000" w:rsidR="00000000" w:rsidRPr="00000000">
        <w:rPr>
          <w:rFonts w:ascii="Google Sans" w:cs="Google Sans" w:eastAsia="Google Sans" w:hAnsi="Google Sans"/>
          <w:i w:val="1"/>
          <w:iCs w:val="1"/>
          <w:color w:val="1f1f1f"/>
          <w:rtl w:val="0"/>
        </w:rPr>
        <w:t xml:space="preserve">forecasting</w:t>
      </w:r>
      <w:r w:rsidDel="00000000" w:rsidR="00000000" w:rsidRPr="00000000">
        <w:rPr>
          <w:rFonts w:ascii="Google Sans" w:cs="Google Sans" w:eastAsia="Google Sans" w:hAnsi="Google Sans"/>
          <w:color w:val="1f1f1f"/>
          <w:rtl w:val="0"/>
        </w:rPr>
        <w:t xml:space="preserve"> (previsão de demanda) e insegurança do gestor, o qual adota uma margem de segurança hipertrofiada ("medo de faltar"). O algoritmo do SaaS deve calcular o percentual de Sobra Limpa relacionando o peso não distribuído com o total produzido de cada preparação.</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fórmula exata para a parametrização do cálculo no código-fonte do sistema é:</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15000" cy="857250"/>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15000" cy="85725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implementação sistêmica deve prever a inserção diária (ou por turno) destas duas variáveis macro. A literatura aponta que a avaliação minuciosa da Sobra Limpa serve como o principal termômetro para auditar a adequação do per capita estimado na fase de planejamento contratual versus o consumo empírico real.</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Sobras Sujas (Resto de Balcão)</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Em contraste direto com o excedente de retaguarda, o indicador de "Sobra Suja" engloba a totalidade dos alimentos que efetivamente cruzaram a fronteira da área de produção para a área de consumo. Trata-se do alimento que foi exposto nos balcões térmicos, vitrines refrigeradas, pistas de distribuição ou rampas de </w:t>
      </w:r>
      <w:r w:rsidDel="00000000" w:rsidR="00000000" w:rsidRPr="00000000">
        <w:rPr>
          <w:rFonts w:ascii="Google Sans" w:cs="Google Sans" w:eastAsia="Google Sans" w:hAnsi="Google Sans"/>
          <w:i w:val="1"/>
          <w:iCs w:val="1"/>
          <w:color w:val="1f1f1f"/>
          <w:rtl w:val="0"/>
        </w:rPr>
        <w:t xml:space="preserve">self-service</w:t>
      </w:r>
      <w:r w:rsidDel="00000000" w:rsidR="00000000" w:rsidRPr="00000000">
        <w:rPr>
          <w:rFonts w:ascii="Google Sans" w:cs="Google Sans" w:eastAsia="Google Sans" w:hAnsi="Google Sans"/>
          <w:color w:val="1f1f1f"/>
          <w:rtl w:val="0"/>
        </w:rPr>
        <w:t xml:space="preserve">, mas que não foi servido aos comensais e remanesceu nas cubas após o encerramento oficial do turno de distribuição.</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regulamentações sanitárias brasileiras e os ditames da microbiologia de alimentos são absolutos e inflexíveis quanto a esta categoria: a Sobra Suja é sumariamente imprópria para o consumo humano, sendo terminantemente proibido o seu reaproveitamento ou doação.</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Esta proibição decorre da quebra da cadeia de biossegurança. O alimento exposto em balcão sofre oscilações termométricas contínuas, fica suscetível à deposição de perdigotos (gotículas de saliva) provenientes da fala ou tosse dos usuários, e sofre manipulação indireta contínua pelos talheres de serviço compartilhados.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a inteligência de negócios do </w:t>
      </w:r>
      <w:r w:rsidDel="00000000" w:rsidR="00000000" w:rsidRPr="00000000">
        <w:rPr>
          <w:rFonts w:ascii="Google Sans" w:cs="Google Sans" w:eastAsia="Google Sans" w:hAnsi="Google Sans"/>
          <w:i w:val="1"/>
          <w:iCs w:val="1"/>
          <w:color w:val="1f1f1f"/>
          <w:rtl w:val="0"/>
        </w:rPr>
        <w:t xml:space="preserve">Food Service</w:t>
      </w:r>
      <w:r w:rsidDel="00000000" w:rsidR="00000000" w:rsidRPr="00000000">
        <w:rPr>
          <w:rFonts w:ascii="Google Sans" w:cs="Google Sans" w:eastAsia="Google Sans" w:hAnsi="Google Sans"/>
          <w:color w:val="1f1f1f"/>
          <w:rtl w:val="0"/>
        </w:rPr>
        <w:t xml:space="preserve">, a Sobra Suja é um indicador de falha na sincronia logística e visual. Índices elevados de Sobra Suja revelam uma equipe que realiza reposições em volumes excessivos nos minutos finais do atendimento, frequentemente motivada por uma cultura estética de manter o balcão com aparência de abundância até a saída do último cliente. Este comportamento gera um custo oculto severo. A métrica programada no sistema deve refletir este desperdício gerencial.</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fórmula exata para parametrização é:</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15000" cy="742950"/>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15000"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literatura mais rigorosa de controle de custos, como evidenciada nos tratados de Vaz, exige que o gestor monitore ativamente o somatório das sobras para compreender o nível de ineficiência intrínseca da equipe, antes mesmo que o comensal interaja com o prato.</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Deste modo, o SaaS deve possuir uma métrica agregadora denominada Índice de Sobras Totais (IST), cujo algoritmo é a soma simples dos dois desperdícios de produção sobre o total produzido.</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Resto-Ingesta (Devolução do Comensal)</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"Resto-Ingesta" (frequentemente abreviado como RI) é, sob a ótica econômica, comportamental e ambiental, o indicador mais crítico e oneroso de uma Unidade de Alimentação e Nutrição. O conceito de Resto-Ingesta restringe-se única e exclusivamente à quantidade de alimentos que foi servida e depositada nos pratos ou bandejas dos comensais, mas que foi rejeitada, não consumida, e subsequentemente devolvida nas lixeiras da área de devolução (escarção).</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Representa o desperdício de ponta de linha, a rejeição final do usuário.</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gravidade financeira do Resto-Ingesta reside no fato de que ele agrega todos os custos diretos e indiretos da cadeia produtiva. Diferentemente de uma matéria-prima estragada no estoque, o Resto-Ingesta embute o custo do insumo, da água para lavagem, da energia elétrica ou gás utilizados na cocção, das horas de trabalho dos cozinheiros, do desgaste dos equipamentos e do esforço de distribuição.</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Quando o comensal joga o alimento fora, ele descarta a cadeia de valor inteira.</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causas subjacentes ao alto RI são multifatoriais e exigem diagnóstico complexo pelo gestor. A literatura elenca que altos níveis de devolução refletem: cardápios monótonos ou mal elaborados; falhas na execução culinária (alimento sem sabor, textura inadequada, cocção excessiva); dimensionamento incorreto dos utensílios de porcionamento (conchas e colheres grandes demais); e, primordialmente, a ausência de educação alimentar e conscientização por parte do cliente, que desenvolve um apetite visual excessivo nos sistemas de livre serviço (</w:t>
      </w:r>
      <w:r w:rsidDel="00000000" w:rsidR="00000000" w:rsidRPr="00000000">
        <w:rPr>
          <w:rFonts w:ascii="Google Sans" w:cs="Google Sans" w:eastAsia="Google Sans" w:hAnsi="Google Sans"/>
          <w:i w:val="1"/>
          <w:iCs w:val="1"/>
          <w:color w:val="1f1f1f"/>
          <w:rtl w:val="0"/>
        </w:rPr>
        <w:t xml:space="preserve">self-service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o desenvolvimento do dashboard, o cálculo do Resto-Ingesta é mandatário em duas dimensões matemáticas diferentes: o cálculo percentual e o cálculo de gramatura individual (</w:t>
      </w:r>
      <w:r w:rsidDel="00000000" w:rsidR="00000000" w:rsidRPr="00000000">
        <w:rPr>
          <w:rFonts w:ascii="Google Sans" w:cs="Google Sans" w:eastAsia="Google Sans" w:hAnsi="Google Sans"/>
          <w:i w:val="1"/>
          <w:iCs w:val="1"/>
          <w:color w:val="1f1f1f"/>
          <w:rtl w:val="0"/>
        </w:rPr>
        <w:t xml:space="preserve">per capita</w:t>
      </w:r>
      <w:r w:rsidDel="00000000" w:rsidR="00000000" w:rsidRPr="00000000">
        <w:rPr>
          <w:rFonts w:ascii="Google Sans" w:cs="Google Sans" w:eastAsia="Google Sans" w:hAnsi="Google Sans"/>
          <w:color w:val="1f1f1f"/>
          <w:rtl w:val="0"/>
        </w:rPr>
        <w:t xml:space="preserve">). É um erro conceitual grave calcular o percentual de RI sobre a produção total. A base de cálculo do denominador deve ser a </w:t>
      </w:r>
      <w:r w:rsidDel="00000000" w:rsidR="00000000" w:rsidRPr="00000000">
        <w:rPr>
          <w:rFonts w:ascii="Google Sans" w:cs="Google Sans" w:eastAsia="Google Sans" w:hAnsi="Google Sans"/>
          <w:b w:val="1"/>
          <w:bCs w:val="1"/>
          <w:color w:val="1f1f1f"/>
          <w:rtl w:val="0"/>
        </w:rPr>
        <w:t xml:space="preserve">Refeição Distribuída</w:t>
      </w:r>
      <w:r w:rsidDel="00000000" w:rsidR="00000000" w:rsidRPr="00000000">
        <w:rPr>
          <w:rFonts w:ascii="Google Sans" w:cs="Google Sans" w:eastAsia="Google Sans" w:hAnsi="Google Sans"/>
          <w:color w:val="1f1f1f"/>
          <w:rtl w:val="0"/>
        </w:rPr>
        <w:t xml:space="preserve">, pois o cliente só pode desperdiçar aquilo que efetivamente lhe foi entregue.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peso da refeição distribuída é um dado derivado, calculado subtraindo-se as sobras do montante produzido:</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15000" cy="65405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15000" cy="65405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 a base matemática correta, o sistema processará as fórmulas exatas conforme estabelecido na literatura nutricional:</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Fórmula Percentual (%):</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715000" cy="857250"/>
            <wp:effectExtent b="0" l="0" r="0" t="0"/>
            <wp:docPr id="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15000" cy="85725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Fórmula Per Capita (g/comensal):</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715000" cy="857250"/>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15000" cy="85725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fator multiplicador de 1000 na segunda fórmula converte o resultado de quilogramas para gramas, unidade de medida universalmente padronizada em todos os artigos científicos da área.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Para o módulo ESG do SaaS, aderir aos protocolos globais, como o </w:t>
      </w:r>
      <w:r w:rsidDel="00000000" w:rsidR="00000000" w:rsidRPr="00000000">
        <w:rPr>
          <w:rFonts w:ascii="Google Sans" w:cs="Google Sans" w:eastAsia="Google Sans" w:hAnsi="Google Sans"/>
          <w:i w:val="1"/>
          <w:iCs w:val="1"/>
          <w:color w:val="1f1f1f"/>
          <w:rtl w:val="0"/>
        </w:rPr>
        <w:t xml:space="preserve">Food Loss and Waste Protocol</w:t>
      </w:r>
      <w:r w:rsidDel="00000000" w:rsidR="00000000" w:rsidRPr="00000000">
        <w:rPr>
          <w:rFonts w:ascii="Google Sans" w:cs="Google Sans" w:eastAsia="Google Sans" w:hAnsi="Google Sans"/>
          <w:color w:val="1f1f1f"/>
          <w:rtl w:val="0"/>
        </w:rPr>
        <w:t xml:space="preserve"> (FLW Standard), também implica em treinar a equipe para descontar do peso do Resto-Ingesta as partes intrinsecamente não comestíveis (ossos, cascas de frutas servidas com pele, espinhas de peixe), de modo a não penalizar artificialmente a métrica de eficiência do consumo.</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Parâmetros Aceitáveis (Benchmarks da Literatura)</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sucesso de um dashboard focado em gestão por indicadores reside na parametrização de limites operacionais estritamente balizados por estudos de campo, evitando a adoção de metas irreais que geram desmotivação na equipe, ou tetos demasiadamente lenientes que mascaram a ineficiência contábil. A construção visual dos </w:t>
      </w:r>
      <w:r w:rsidDel="00000000" w:rsidR="00000000" w:rsidRPr="00000000">
        <w:rPr>
          <w:rFonts w:ascii="Google Sans" w:cs="Google Sans" w:eastAsia="Google Sans" w:hAnsi="Google Sans"/>
          <w:i w:val="1"/>
          <w:iCs w:val="1"/>
          <w:color w:val="1f1f1f"/>
          <w:rtl w:val="0"/>
        </w:rPr>
        <w:t xml:space="preserve">gauges</w:t>
      </w:r>
      <w:r w:rsidDel="00000000" w:rsidR="00000000" w:rsidRPr="00000000">
        <w:rPr>
          <w:rFonts w:ascii="Google Sans" w:cs="Google Sans" w:eastAsia="Google Sans" w:hAnsi="Google Sans"/>
          <w:color w:val="1f1f1f"/>
          <w:rtl w:val="0"/>
        </w:rPr>
        <w:t xml:space="preserve"> — utilizando o espectro de cores Verde, Amarelo e Vermelho — deve refletir os consensos alcançados por teóricos e pesquisadores de alimentação coletiva ao longo das últimas décadas.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É fundamental ressaltar a premissa imposta pela literatura acadêmica: a parametrização do software difere brutalmente dependendo do perfil da coletividade atendida. Unidades hospitalares (coletividades enfermas) enfrentam barreiras fisiológicas profundas no apetite de seus pacientes devido à dor, efeitos colaterais de quimioterapia, restrições medicamentosas agudas e dietas terapêuticas (como dietas pastosas ou hipossódicas), resultando em índices de devolução organicamente muito superiores aos convencionais.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Em contraste, a literatura aplicada a "coletividades sadias" — grupo que engloba restaurantes universitários, refeitórios industriais do Programa de Alimentação do Trabalhador (PAT), praças de alimentação corporativa e restaurantes comerciais — trabalha com métricas de tolerância severamente mais baixas.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O desenvolvimento dos limites a seguir é inteiramente focado no segmento de coletividade sadia.</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Benchmarks de Desempenho para Resto-Ingesta</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erradicação absoluta e sustentada do Resto-Ingesta (o cobiçado "Zero Desperdício") é categorizada pela doutrina como uma meta intangível em longo prazo. O comportamento humano apresenta oscilações diárias, a aceitabilidade sazonal flutua devido a condições climáticas (redução do apetite em picos de calor), e a curva de aprendizado frente à introdução de novos pratos invariavelmente resulta em pontuais solavancos no desperdício.</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Consequentemente, a literatura estabelece o conceito de "margem operacional de aceitação".</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métricas estruturantes mais adotadas nas UANs brasileiras originam-se das pesquisas clássicas de Vaz (2006) e das tabelas de classificação de Mezomo.</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Segundo as exaustivas publicações de Célia Silvério Vaz, o limite percentual de excelência e viabilidade econômica para o Resto-Ingesta oscila estritamente entre </w:t>
      </w:r>
      <w:r w:rsidDel="00000000" w:rsidR="00000000" w:rsidRPr="00000000">
        <w:rPr>
          <w:rFonts w:ascii="Google Sans" w:cs="Google Sans" w:eastAsia="Google Sans" w:hAnsi="Google Sans"/>
          <w:b w:val="1"/>
          <w:bCs w:val="1"/>
          <w:color w:val="1f1f1f"/>
          <w:rtl w:val="0"/>
        </w:rPr>
        <w:t xml:space="preserve">2% e 5%</w:t>
      </w:r>
      <w:r w:rsidDel="00000000" w:rsidR="00000000" w:rsidRPr="00000000">
        <w:rPr>
          <w:rFonts w:ascii="Google Sans" w:cs="Google Sans" w:eastAsia="Google Sans" w:hAnsi="Google Sans"/>
          <w:color w:val="1f1f1f"/>
          <w:rtl w:val="0"/>
        </w:rPr>
        <w:t xml:space="preserve"> em relação ao montante distribuído.</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Do ponto de vista da mensuração de peso, a mesma teórica determina que a taxa ideal de devolução gravita entre </w:t>
      </w:r>
      <w:r w:rsidDel="00000000" w:rsidR="00000000" w:rsidRPr="00000000">
        <w:rPr>
          <w:rFonts w:ascii="Google Sans" w:cs="Google Sans" w:eastAsia="Google Sans" w:hAnsi="Google Sans"/>
          <w:b w:val="1"/>
          <w:bCs w:val="1"/>
          <w:color w:val="1f1f1f"/>
          <w:rtl w:val="0"/>
        </w:rPr>
        <w:t xml:space="preserve">15 gramas e 45 gramas por comensal</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Estudos contemporâneos realizados em restaurantes industriais demonstram que UANs sem sistemas de gestão ativos superam essas marcas com facilidade impressionante, com pesquisas flagrando médias médias de 9,45% e devoluções superiores a 77,82g por pessoa, indicando a necessidade de intervenções drásticas.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Para trazer um escalonamento útil ao algoritmo de cores do SaaS, adota-se a estratificação qualitativa baseada na obra de Mezomo, amplamente citada nos compêndios de gestão de qualidade: índices de até 10% são considerados o teto da classificação "Bom", ao passo que de 10% a 15% recai-se na classificação "Regular", e médias acima de 15% recebem a chancela de "Ruim".</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Promovendo a síntese entre o padrão ouro de Vaz e a escala flexível de Mezomo, o </w:t>
      </w:r>
      <w:r w:rsidDel="00000000" w:rsidR="00000000" w:rsidRPr="00000000">
        <w:rPr>
          <w:rFonts w:ascii="Google Sans" w:cs="Google Sans" w:eastAsia="Google Sans" w:hAnsi="Google Sans"/>
          <w:i w:val="1"/>
          <w:iCs w:val="1"/>
          <w:color w:val="1f1f1f"/>
          <w:rtl w:val="0"/>
        </w:rPr>
        <w:t xml:space="preserve">backend</w:t>
      </w:r>
      <w:r w:rsidDel="00000000" w:rsidR="00000000" w:rsidRPr="00000000">
        <w:rPr>
          <w:rFonts w:ascii="Google Sans" w:cs="Google Sans" w:eastAsia="Google Sans" w:hAnsi="Google Sans"/>
          <w:color w:val="1f1f1f"/>
          <w:rtl w:val="0"/>
        </w:rPr>
        <w:t xml:space="preserve"> do software deve mapear os </w:t>
      </w:r>
      <w:r w:rsidDel="00000000" w:rsidR="00000000" w:rsidRPr="00000000">
        <w:rPr>
          <w:rFonts w:ascii="Google Sans" w:cs="Google Sans" w:eastAsia="Google Sans" w:hAnsi="Google Sans"/>
          <w:i w:val="1"/>
          <w:iCs w:val="1"/>
          <w:color w:val="1f1f1f"/>
          <w:rtl w:val="0"/>
        </w:rPr>
        <w:t xml:space="preserve">gauges</w:t>
      </w:r>
      <w:r w:rsidDel="00000000" w:rsidR="00000000" w:rsidRPr="00000000">
        <w:rPr>
          <w:rFonts w:ascii="Google Sans" w:cs="Google Sans" w:eastAsia="Google Sans" w:hAnsi="Google Sans"/>
          <w:color w:val="1f1f1f"/>
          <w:rtl w:val="0"/>
        </w:rPr>
        <w:t xml:space="preserve"> de Resto-Ingesta de acordo com a matriz da Tabela 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Status no Sistema (Gauges)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Parâmetro Percentual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Parâmetro Per Capita (g/pessoa)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Avaliação Operacional do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Verde (Excelência)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43470" cy="221727"/>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43470" cy="221727"/>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43470" cy="221727"/>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43470" cy="221727"/>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45,0g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Eficiência máxima de aceitação. Planejamento do cardápio alinhado ao comportamento e perfil do consumidor. Porcionamento excelente.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Amarelo (Atenção)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5,1% a 10,0%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45,1g a 60,0g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Desempenho aceitável, porém com flutuações. Denota falhas pontuais no porcionamento dos utensílios ou introdução de pratos com moderada rejeição. Demanda monitoramento ativo.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Vermelho (Crítico)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&gt; 10,0%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&gt; 60,0g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Risco severo de prejuízo contábil e dano ambiental. Ausência de campanhas educativas, cardápio rechaçado pelos clientes ou falha estrutural de cocção que prejudicou os atributos sensoriais da refeição.</w:t>
            </w:r>
          </w:p>
        </w:tc>
      </w:tr>
    </w:tbl>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integração de análises estatísticas no sistema também deve permitir avaliações de correlação. Pesquisadores já evidenciaram correlações positivas (utilizando coeficientes de </w:t>
      </w:r>
      <w:r w:rsidDel="00000000" w:rsidR="00000000" w:rsidRPr="00000000">
        <w:rPr>
          <w:rFonts w:ascii="Google Sans" w:cs="Google Sans" w:eastAsia="Google Sans" w:hAnsi="Google Sans"/>
          <w:i w:val="1"/>
          <w:iCs w:val="1"/>
          <w:color w:val="1f1f1f"/>
          <w:rtl w:val="0"/>
        </w:rPr>
        <w:t xml:space="preserve">Spearman</w:t>
      </w:r>
      <w:r w:rsidDel="00000000" w:rsidR="00000000" w:rsidRPr="00000000">
        <w:rPr>
          <w:rFonts w:ascii="Google Sans" w:cs="Google Sans" w:eastAsia="Google Sans" w:hAnsi="Google Sans"/>
          <w:color w:val="1f1f1f"/>
          <w:rtl w:val="0"/>
        </w:rPr>
        <w:t xml:space="preserve">) entre a Sobra Limpa de determinadas preparações (como guarnições) e o Resto-Ingesta, sugerindo que uma preparação rejeitada na linha de frente frequentemente também não encontra vazão, acumulando sobras na cozinha.</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Benchmarks de Desempenho para Sobras Totais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controle de sobras é primordialmente um atestado da competência administrativa do nutricionista e do gerente de loja. Enquanto o comensal manipula o Resto-Ingesta, a Sobra é um erro cuja autoria reside integralmente na equipe da contratada.</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As margens de segurança para sobras não devem servir como subterfúgio para o mau planejamento de estoque e descontrole diário da planilha de compras.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Vaz (2006) estipula que a margem máxima de sobras tolerável, para que a unidade não tenha a sua viabilidade de lucros corroída pelos custos ocultos, não deve ultrapassar os limites de eficiência produtiva.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Na estruturação deste indicador, a academia agrupa Sobras Limpas e Sobras Sujas em um único Índice de Sobras Totais, e postula como teto o valor percentual de </w:t>
      </w:r>
      <w:r w:rsidDel="00000000" w:rsidR="00000000" w:rsidRPr="00000000">
        <w:rPr>
          <w:rFonts w:ascii="Google Sans" w:cs="Google Sans" w:eastAsia="Google Sans" w:hAnsi="Google Sans"/>
          <w:b w:val="1"/>
          <w:bCs w:val="1"/>
          <w:color w:val="1f1f1f"/>
          <w:rtl w:val="0"/>
        </w:rPr>
        <w:t xml:space="preserve">7% a 10%</w:t>
      </w:r>
      <w:r w:rsidDel="00000000" w:rsidR="00000000" w:rsidRPr="00000000">
        <w:rPr>
          <w:rFonts w:ascii="Google Sans" w:cs="Google Sans" w:eastAsia="Google Sans" w:hAnsi="Google Sans"/>
          <w:color w:val="1f1f1f"/>
          <w:rtl w:val="0"/>
        </w:rPr>
        <w:t xml:space="preserve"> como a fronteira máxima admissível para a classificação "Bom".</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Valores que rompem esta barreira sinalizam desorganização crônica.</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algoritmo do dashboard para sobras deverá ser configurado utilizando a Matriz descrita na Tabela 2.</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Status no Sistema (Gauges)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Índice de Sobras Totais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Avaliação Operacional do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Verde (Eficiência)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43470" cy="221727"/>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43470" cy="221727"/>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7,0%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Previsão de demanda preditiva assertiva. Execução primorosa do </w:t>
            </w:r>
            <w:r w:rsidDel="00000000" w:rsidR="00000000" w:rsidRPr="00000000">
              <w:rPr>
                <w:rFonts w:ascii="Google Sans" w:cs="Google Sans" w:eastAsia="Google Sans" w:hAnsi="Google Sans"/>
                <w:i w:val="1"/>
                <w:iCs w:val="1"/>
                <w:color w:val="1f1f1f"/>
                <w:rtl w:val="0"/>
              </w:rPr>
              <w:t xml:space="preserve">Just-in-Time</w:t>
            </w:r>
            <w:r w:rsidDel="00000000" w:rsidR="00000000" w:rsidRPr="00000000">
              <w:rPr>
                <w:rFonts w:ascii="Google Sans" w:cs="Google Sans" w:eastAsia="Google Sans" w:hAnsi="Google Sans"/>
                <w:color w:val="1f1f1f"/>
                <w:rtl w:val="0"/>
              </w:rPr>
              <w:t xml:space="preserve"> nas reposições de balcão. Controle térmico e estatístico das cubas em alto nível.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Amarelo (Alerta Base)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7,1% a 10,0%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Excesso de margem de segurança na produção primária. Tendência a produzir lotes máximos muito cedo, gerando excedente que não escoa na distribuição.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Vermelho (Ineficiência)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&gt; 10,0%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Planejamento de compras superdimensionado. Inobservância de fichas técnicas, gerando volumes incompatíveis com o per capita histórico. Produção perdulária.</w:t>
            </w:r>
          </w:p>
        </w:tc>
      </w:tr>
    </w:tbl>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 dashboard inteligente deverá alertar o gerente caso o sistema detecte cenários de inversão de polaridade: por exemplo, quando o indicador de Sobras está vermelho profundo (muito excedente) e o Resto-Ingesta está na zona verde. Isto revela que os comensais amam a comida ofertada (rejeição zero no prato), mas a cozinha perdeu o controle da panela, gerando um desperdício interno desastroso. A inteligência de correlação destes dois relógios é o que transforma o SaaS em uma ferramenta de </w:t>
      </w:r>
      <w:r w:rsidDel="00000000" w:rsidR="00000000" w:rsidRPr="00000000">
        <w:rPr>
          <w:rFonts w:ascii="Google Sans" w:cs="Google Sans" w:eastAsia="Google Sans" w:hAnsi="Google Sans"/>
          <w:i w:val="1"/>
          <w:iCs w:val="1"/>
          <w:color w:val="1f1f1f"/>
          <w:rtl w:val="0"/>
        </w:rPr>
        <w:t xml:space="preserve">Data Science</w:t>
      </w:r>
      <w:r w:rsidDel="00000000" w:rsidR="00000000" w:rsidRPr="00000000">
        <w:rPr>
          <w:rFonts w:ascii="Google Sans" w:cs="Google Sans" w:eastAsia="Google Sans" w:hAnsi="Google Sans"/>
          <w:color w:val="1f1f1f"/>
          <w:rtl w:val="0"/>
        </w:rPr>
        <w:t xml:space="preserve"> aplicada à nutrição.</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Estratégias de Mitigação e Destinação</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Diagnosticar a extensão do desperdício por meio dos painéis matemáticos do SaaS cumpre apenas metade do desafio da governança corporativa. O software agregará real valor ao mercado ao se portar como um hub de inteligência ativa, oferecendo soluções, recomendando processos e facilitando o cumprimento dos rigorosos critérios ESG (Governança Ambiental, Social e Corporativa).</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transição de uma UAN que amarga indicadores crônicos na zona vermelha para o estado da arte da operação (zona verde) demanda um arcabouço metodológico complexo. As práticas comprovadas para erradicar as perdas subdividem-se em três eixos de atuação: o combate operacional direto e intervenção comportamental para o Resto-Ingesta; o cumprimento do papel socioassistencial e as prerrogativas legais na doação do excedente; e a descarbonização ecológica da destinação do lixo terminal orgânico.</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Intervenções Técnicas e Comportamentais (Redução de Resto-Ingesta)</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combate ao Resto-Ingesta é a batalha mais desafiadora por envolver a esfera psicológica do usuário final. Quando submetidos a refeitórios com sistema </w:t>
      </w:r>
      <w:r w:rsidDel="00000000" w:rsidR="00000000" w:rsidRPr="00000000">
        <w:rPr>
          <w:rFonts w:ascii="Google Sans" w:cs="Google Sans" w:eastAsia="Google Sans" w:hAnsi="Google Sans"/>
          <w:i w:val="1"/>
          <w:iCs w:val="1"/>
          <w:color w:val="1f1f1f"/>
          <w:rtl w:val="0"/>
        </w:rPr>
        <w:t xml:space="preserve">self-service</w:t>
      </w:r>
      <w:r w:rsidDel="00000000" w:rsidR="00000000" w:rsidRPr="00000000">
        <w:rPr>
          <w:rFonts w:ascii="Google Sans" w:cs="Google Sans" w:eastAsia="Google Sans" w:hAnsi="Google Sans"/>
          <w:color w:val="1f1f1f"/>
          <w:rtl w:val="0"/>
        </w:rPr>
        <w:t xml:space="preserve">, indivíduos freqüentemente superestimam a sua necessidade calórica, um reflexo condicionado pela "oferta de abundância", originando pratos pesados cujas frações terminais invariavelmente viram lixo.</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As metodologias validadas cientificamente para mitigar esta patologia comportamental operam em várias frentes.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 espectro técnico de gestão, a espinha dorsal de qualquer cozinha industrial sadia é a adoção irrevogável da </w:t>
      </w:r>
      <w:r w:rsidDel="00000000" w:rsidR="00000000" w:rsidRPr="00000000">
        <w:rPr>
          <w:rFonts w:ascii="Google Sans" w:cs="Google Sans" w:eastAsia="Google Sans" w:hAnsi="Google Sans"/>
          <w:b w:val="1"/>
          <w:bCs w:val="1"/>
          <w:color w:val="1f1f1f"/>
          <w:rtl w:val="0"/>
        </w:rPr>
        <w:t xml:space="preserve">Ficha Técnica de Preparação (FTP)</w:t>
      </w:r>
      <w:r w:rsidDel="00000000" w:rsidR="00000000" w:rsidRPr="00000000">
        <w:rPr>
          <w:rFonts w:ascii="Google Sans" w:cs="Google Sans" w:eastAsia="Google Sans" w:hAnsi="Google Sans"/>
          <w:color w:val="1f1f1f"/>
          <w:rtl w:val="0"/>
        </w:rPr>
        <w:t xml:space="preserve">. O uso rígido da FTP padroniza o quantitativo exato de sal, especiarias, tempo de cocção e rendimento de cada cuba.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 treinamento contínuo das equipes em respeito à FTP previne picos de rejeição originados de falhas culinárias (por exemplo, arroz excessivamente salgado ou feijão ralo), garantindo que a aceitação do cliente não sofra sobressaltos devido a variações diárias na mão da equipe.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Adicionalmente, o emprego da arquitetura de escolhas e ergonomia (</w:t>
      </w:r>
      <w:r w:rsidDel="00000000" w:rsidR="00000000" w:rsidRPr="00000000">
        <w:rPr>
          <w:rFonts w:ascii="Google Sans" w:cs="Google Sans" w:eastAsia="Google Sans" w:hAnsi="Google Sans"/>
          <w:i w:val="1"/>
          <w:iCs w:val="1"/>
          <w:color w:val="1f1f1f"/>
          <w:rtl w:val="0"/>
        </w:rPr>
        <w:t xml:space="preserve">nudge theory</w:t>
      </w:r>
      <w:r w:rsidDel="00000000" w:rsidR="00000000" w:rsidRPr="00000000">
        <w:rPr>
          <w:rFonts w:ascii="Google Sans" w:cs="Google Sans" w:eastAsia="Google Sans" w:hAnsi="Google Sans"/>
          <w:color w:val="1f1f1f"/>
          <w:rtl w:val="0"/>
        </w:rPr>
        <w:t xml:space="preserve">) prescreve a utilização de utensílios menores na rampa de servir. Substituir conchas grandes por escumadeiras fracionadas ou cortar porções de carnes em pedaços discretos obriga o comensal a fazer múltiplas repetições mecânicas caso deseje muito alimento, quebrando o ciclo de excesso visual instantâneo.</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 espectro comportamental, a literatura exibe resultados esmagadores quanto ao poder das </w:t>
      </w:r>
      <w:r w:rsidDel="00000000" w:rsidR="00000000" w:rsidRPr="00000000">
        <w:rPr>
          <w:rFonts w:ascii="Google Sans" w:cs="Google Sans" w:eastAsia="Google Sans" w:hAnsi="Google Sans"/>
          <w:b w:val="1"/>
          <w:bCs w:val="1"/>
          <w:color w:val="1f1f1f"/>
          <w:rtl w:val="0"/>
        </w:rPr>
        <w:t xml:space="preserve">Campanhas Educativas de Conscientização Contra o Desperdício</w:t>
      </w:r>
      <w:r w:rsidDel="00000000" w:rsidR="00000000" w:rsidRPr="00000000">
        <w:rPr>
          <w:rFonts w:ascii="Google Sans" w:cs="Google Sans" w:eastAsia="Google Sans" w:hAnsi="Google Sans"/>
          <w:color w:val="1f1f1f"/>
          <w:rtl w:val="0"/>
        </w:rPr>
        <w:t xml:space="preserve">. Diferente de avisos estáticos ignorados, campanhas de impacto gamificadas produzem efeitos notórios. Um estudo documentou que uma campanha ativa de intervenção e conscientização por apenas 25 dias reduziu a média per capita do resto-ingesta de intoleráveis 60,0g para estelares 39,3g, promovendo simultaneamente um corte de 34,6% nos custos financeiros gerados pelas lixeiras.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Outros ensaios acadêmicos demonstraram reduções dramáticas variando de uma queda de 31,4% (estudo de Souza, 1995) até a extraordinária contração de 91,95% no desperdício do comensal (estudo de Corrêa, 2006).</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SaaS deverá ter uma função de </w:t>
      </w:r>
      <w:r w:rsidDel="00000000" w:rsidR="00000000" w:rsidRPr="00000000">
        <w:rPr>
          <w:rFonts w:ascii="Google Sans" w:cs="Google Sans" w:eastAsia="Google Sans" w:hAnsi="Google Sans"/>
          <w:i w:val="1"/>
          <w:iCs w:val="1"/>
          <w:color w:val="1f1f1f"/>
          <w:rtl w:val="0"/>
        </w:rPr>
        <w:t xml:space="preserve">reporting</w:t>
      </w:r>
      <w:r w:rsidDel="00000000" w:rsidR="00000000" w:rsidRPr="00000000">
        <w:rPr>
          <w:rFonts w:ascii="Google Sans" w:cs="Google Sans" w:eastAsia="Google Sans" w:hAnsi="Google Sans"/>
          <w:color w:val="1f1f1f"/>
          <w:rtl w:val="0"/>
        </w:rPr>
        <w:t xml:space="preserve"> dinâmico, gerando infográficos e cartazes atualizados em tempo real, os quais a gestão pode imprimir ou espelhar em televisores no refeitório. Mensagens como "Nesta semana evitamos o desperdício de 300kg. Parabéns a todos!" materializam um senso de responsabilidade coletiva invisível nas cozinhas analógicas.</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O Eixo Social do ESG: Doação de Alimentos e a Lei Nº 14.016/2020</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Ao transitar da mitigação operacional para o âmbito corporativo do ESG (eixo Social), o foco da unidade volta-se para a destinação ética daquele desperdício que possuiu viabilidade sanitária: as Sobras Limpas. Por décadas, as grandes empresas de </w:t>
      </w:r>
      <w:r w:rsidDel="00000000" w:rsidR="00000000" w:rsidRPr="00000000">
        <w:rPr>
          <w:rFonts w:ascii="Google Sans" w:cs="Google Sans" w:eastAsia="Google Sans" w:hAnsi="Google Sans"/>
          <w:i w:val="1"/>
          <w:iCs w:val="1"/>
          <w:color w:val="1f1f1f"/>
          <w:rtl w:val="0"/>
        </w:rPr>
        <w:t xml:space="preserve">Food Service</w:t>
      </w:r>
      <w:r w:rsidDel="00000000" w:rsidR="00000000" w:rsidRPr="00000000">
        <w:rPr>
          <w:rFonts w:ascii="Google Sans" w:cs="Google Sans" w:eastAsia="Google Sans" w:hAnsi="Google Sans"/>
          <w:color w:val="1f1f1f"/>
          <w:rtl w:val="0"/>
        </w:rPr>
        <w:t xml:space="preserve"> no Brasil assumiram uma postura refratária e temerosa em relação à doação do excedente alimentar. O receio paralisante advinha da percepção de insegurança jurídica de responsabilização civil e criminal, caso uma pessoa vulnerável consumisse o alimento doado e viesse a sofrer algum tipo de intoxicação alimentar.</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Por força deste temor, toneladas de comida de qualidade intocável (Sobra Limpa) iam para o lixo industrial.</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panorama legislativo, ético e jurídico sofreu uma reviravolta monumental com a sanção da </w:t>
      </w:r>
      <w:r w:rsidDel="00000000" w:rsidR="00000000" w:rsidRPr="00000000">
        <w:rPr>
          <w:rFonts w:ascii="Google Sans" w:cs="Google Sans" w:eastAsia="Google Sans" w:hAnsi="Google Sans"/>
          <w:b w:val="1"/>
          <w:bCs w:val="1"/>
          <w:color w:val="1f1f1f"/>
          <w:rtl w:val="0"/>
        </w:rPr>
        <w:t xml:space="preserve">Lei Federal Nº 14.016, de 23 de junho de 2020</w:t>
      </w:r>
      <w:r w:rsidDel="00000000" w:rsidR="00000000" w:rsidRPr="00000000">
        <w:rPr>
          <w:rFonts w:ascii="Google Sans" w:cs="Google Sans" w:eastAsia="Google Sans" w:hAnsi="Google Sans"/>
          <w:color w:val="1f1f1f"/>
          <w:rtl w:val="0"/>
        </w:rPr>
        <w:t xml:space="preserve">. A referida lei foi estruturada justamente para combater o desperdício, isentando formalmente produtores, supermercados e restaurantes (doadores de excedentes) da pesada responsabilidade objetiva.</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Sob o escrutínio do novo texto legal, o doador passa a ter o repasse resguardado juridicamente desde que os alimentos distribuídos mantenham suas propriedades nutricionais, obedeçam ao rigoroso controle de prazo de validade ou se apresentem seguros para consumo mesmo com dano à embalagem original.</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O avanço legislativo vital é o princípio protetivo estabelecido no mecanismo de culpabilidade: a nova matriz estatui que as empresas e UANs doadoras </w:t>
      </w:r>
      <w:r w:rsidDel="00000000" w:rsidR="00000000" w:rsidRPr="00000000">
        <w:rPr>
          <w:rFonts w:ascii="Google Sans" w:cs="Google Sans" w:eastAsia="Google Sans" w:hAnsi="Google Sans"/>
          <w:b w:val="1"/>
          <w:bCs w:val="1"/>
          <w:color w:val="1f1f1f"/>
          <w:rtl w:val="0"/>
        </w:rPr>
        <w:t xml:space="preserve">somente responderão civil e penalmente por eventuais danos causados se ficar comprovado pelas autoridades o dolo</w:t>
      </w:r>
      <w:r w:rsidDel="00000000" w:rsidR="00000000" w:rsidRPr="00000000">
        <w:rPr>
          <w:rFonts w:ascii="Google Sans" w:cs="Google Sans" w:eastAsia="Google Sans" w:hAnsi="Google Sans"/>
          <w:color w:val="1f1f1f"/>
          <w:rtl w:val="0"/>
        </w:rPr>
        <w:t xml:space="preserve"> (a intenção prévia e criminosa de gerar dano ou de intoxicar alguém) ou culpa grave com total desdém pela vigilância sanitária.</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Logo, a empresa que age de boa-fé, mantém controle em planilhas e doa Sobras Limpas em padrão térmico correto está blindada contra litígios injustos decorrentes de falhas que ocorram na fase posterior ao seu manuseio.</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desenvolvimento do SaaS, esta legislação oferece uma oportunidade formidável. O sistema deve possuir um módulo social integrado. Ao registrar um volume X de Sobra Limpa diária, o software gerará, com um clique, os Termos de Doação formatados segundo as diretrizes da Lei 14.016/2020, rastreando eletronicamente a temperatura final de saída e documentando a transferência para o banco de alimentos receptor.</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Além da blindagem jurídica digital, o algoritmo multiplicará o peso doado por um fator de refeição padrão, emitindo relatórios gerenciais na aba ESG com indicativos imponentes, como "Número de Famílias Atendidas" ou "Impacto Social Gerado". Este dado servirá de alicerce para relatórios corporativos de sustentabilidade auditáveis.</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O Eixo Ambiental do ESG: Conformidade à PNRS e Gestão de Resíduos Orgânicos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Finalmente, há contingentes de matéria orgânica no fluxo da UAN que são impossíveis de serem prevenidos (como cascas grossas de vegetais, bagaços e talos duros) e massas que são irrecuperáveis e inaptas à doação (o Resto-Ingesta e as Sobras Sujas que falharam na linha de balcão). Para a governança ambiental (eixo 'E' do ESG), o destino dessas frações dita a pegada de carbono da corporação.</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Historicamente, o despejo do lixo úmido em contêineres comuns que rumavam diretamente para os aterros sanitários e lixões era a norma.</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Este direcionamento é, hoje, o maior antagonista dos princípios sustentáveis globais. O enterro de frações putrescíveis e úmidas (resíduos alimentares) gera pesadas contaminações dos lençóis freáticos pelo escorrimento de chorume tóxico e lança milhares de toneladas métricas de biogás não tratado (predominantemente metano, cujo fator de aprisionamento de calor é exponencialmente mais nocivo que o carbono simples).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promulgação da </w:t>
      </w:r>
      <w:r w:rsidDel="00000000" w:rsidR="00000000" w:rsidRPr="00000000">
        <w:rPr>
          <w:rFonts w:ascii="Google Sans" w:cs="Google Sans" w:eastAsia="Google Sans" w:hAnsi="Google Sans"/>
          <w:b w:val="1"/>
          <w:bCs w:val="1"/>
          <w:color w:val="1f1f1f"/>
          <w:rtl w:val="0"/>
        </w:rPr>
        <w:t xml:space="preserve">Política Nacional de Resíduos Sólidos (PNRS)</w:t>
      </w:r>
      <w:r w:rsidDel="00000000" w:rsidR="00000000" w:rsidRPr="00000000">
        <w:rPr>
          <w:rFonts w:ascii="Google Sans" w:cs="Google Sans" w:eastAsia="Google Sans" w:hAnsi="Google Sans"/>
          <w:color w:val="1f1f1f"/>
          <w:rtl w:val="0"/>
        </w:rPr>
        <w:t xml:space="preserve"> — instituída pela Lei Nº 12.305/2010 — transformou esta matéria. A PNRS institui o dever jurídico da redução, reutilização e reciclagem de resíduos sólidos.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Sob a batuta da PNRS, a disposição em aterros sanitários passa a ser a última linha de defesa, restringindo-se severa e unicamente aos "rejeitos" (materiais inertes esgotados tecnologicamente para fins de reaproveitamento).</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Os resíduos orgânicos das cozinhas não são rejeitos; são matéria-prima fértil passível de plena valorização na economia circular.</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Leis estaduais e municipais progressistas pelo país (como evidenciado pelo PL 472/2022 do município de São Paulo) têm endurecido essa norma a níveis punitivos, vedando integralmente o uso de aterros para lixo orgânico industrial e comercial fora de casos de calamidade, e mandatoriamente exigindo a destinação especializada.</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garantir a destinação cabalmente correta e ambientalmente nobre desses resíduos, destacam-se duas práticas científicas consolidadas na engenharia ambiental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Compostagem Aeróbia Industrial:</w:t>
      </w:r>
      <w:r w:rsidDel="00000000" w:rsidR="00000000" w:rsidRPr="00000000">
        <w:rPr>
          <w:rFonts w:ascii="Google Sans" w:cs="Google Sans" w:eastAsia="Google Sans" w:hAnsi="Google Sans"/>
          <w:color w:val="1f1f1f"/>
          <w:rtl w:val="0"/>
        </w:rPr>
        <w:t xml:space="preserve"> Trata-se do desvio da matéria orgânica putrescível para pátios de estabilização onde, através do revolvimento mecânico, controle de umidade e inoculação microbiológica rica em oxigênio, bactérias aeróbias degradam rapidamente os restos orgânicos. A elevação orgânica da temperatura na leira (até 70ºC) promove assepsia e extinção total de fitopatógenos e sementes inviáveis, convertendo o volume das lixeiras de restos em um fertilizante húmico rico e inodoro (composto agrícola).</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Em campi corporativos e restaurantes universitários (onde os restos de refeição somam mais de 80% do descarte de lixo global da planta), o adubo resultante é reinserido no circuito da empresa, sustentando projetos de horta social orgânica, áreas verdes internas ou repasse agrícola.</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Biodigestão Anaeróbia e Cogeração:</w:t>
      </w:r>
      <w:r w:rsidDel="00000000" w:rsidR="00000000" w:rsidRPr="00000000">
        <w:rPr>
          <w:rFonts w:ascii="Google Sans" w:cs="Google Sans" w:eastAsia="Google Sans" w:hAnsi="Google Sans"/>
          <w:color w:val="1f1f1f"/>
          <w:rtl w:val="0"/>
        </w:rPr>
        <w:t xml:space="preserve"> A alternativa para grandes UANs industriais é a biodigestão em regime sem oxigênio. Em dornas seladas, consórcios de arqueas metanogênicas trituram as Sobras Sujas e Resto-Ingesta, digerindo a fração de carbono e lançando, de modo confinado, o biogás.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Este vetor de energia renovável sofre tratamento para secagem e é então queimado em caldeiras, turbinas de cogeração ou direcionado ao maquinário de cocção da própria central de produção de alimentos da empresa.</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painel de monitoramento do ESG no software conectará todas as engrenagens dessa complexa máquina verde. Ao imputar diariamente que X quilogramas de Sobra Suja e Y quilogramas de Resto-Ingesta foram despachados via notas de serviço para as empresas terceirizadas de compostagem ou biodigestão da região, o SaaS deverá utilizar os fatores técnicos de conversão e emissão preconizados pelas normas ISO e calculará a "Pegada de Carbono Mitigada" (Toneladas de GEE evitadas ao não despachar para o aterro sanitário). É por intermédio da triangulação rigorosa do peso matemático do desperdício nas cozinhas, do embasamento humano da doação solidária e da contabilidade limpa da reciclagem orgânica que o sistema alavancará a UAN ao ápice do gerenciamento global contemporâneo.</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Referências Bibliográficas (Rigorosamente em formato ABNT)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ABREU, E. S.; SPINELLI, M. G. N.; ZANARDI, A. M. P. </w:t>
      </w:r>
      <w:r w:rsidDel="00000000" w:rsidR="00000000" w:rsidRPr="00000000">
        <w:rPr>
          <w:rFonts w:ascii="Google Sans" w:cs="Google Sans" w:eastAsia="Google Sans" w:hAnsi="Google Sans"/>
          <w:b w:val="1"/>
          <w:bCs w:val="1"/>
          <w:color w:val="1f1f1f"/>
          <w:rtl w:val="0"/>
        </w:rPr>
        <w:t xml:space="preserve">Gestão de unidades de alimentação e nutrição: um modo de fazer</w:t>
      </w:r>
      <w:r w:rsidDel="00000000" w:rsidR="00000000" w:rsidRPr="00000000">
        <w:rPr>
          <w:rFonts w:ascii="Google Sans" w:cs="Google Sans" w:eastAsia="Google Sans" w:hAnsi="Google Sans"/>
          <w:color w:val="1f1f1f"/>
          <w:rtl w:val="0"/>
        </w:rPr>
        <w:t xml:space="preserve">. São Paulo: Metha, 2003.</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BEAL, C.; FRITZ, M.; COZER, M. Índice de resto-ingestão e sobras alimentares de um serviço de nutrição e dietética localizado no sudoeste do Paraná. </w:t>
      </w:r>
      <w:r w:rsidDel="00000000" w:rsidR="00000000" w:rsidRPr="00000000">
        <w:rPr>
          <w:rFonts w:ascii="Google Sans" w:cs="Google Sans" w:eastAsia="Google Sans" w:hAnsi="Google Sans"/>
          <w:b w:val="1"/>
          <w:bCs w:val="1"/>
          <w:color w:val="1f1f1f"/>
          <w:rtl w:val="0"/>
        </w:rPr>
        <w:t xml:space="preserve">Revista Simbio-Logias</w:t>
      </w:r>
      <w:r w:rsidDel="00000000" w:rsidR="00000000" w:rsidRPr="00000000">
        <w:rPr>
          <w:rFonts w:ascii="Google Sans" w:cs="Google Sans" w:eastAsia="Google Sans" w:hAnsi="Google Sans"/>
          <w:color w:val="1f1f1f"/>
          <w:rtl w:val="0"/>
        </w:rPr>
        <w:t xml:space="preserve">, v. 10, n. 14, p. 95-106, 2018.</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BRASIL. </w:t>
      </w:r>
      <w:r w:rsidDel="00000000" w:rsidR="00000000" w:rsidRPr="00000000">
        <w:rPr>
          <w:rFonts w:ascii="Google Sans" w:cs="Google Sans" w:eastAsia="Google Sans" w:hAnsi="Google Sans"/>
          <w:b w:val="1"/>
          <w:bCs w:val="1"/>
          <w:color w:val="1f1f1f"/>
          <w:rtl w:val="0"/>
        </w:rPr>
        <w:t xml:space="preserve">Lei nº 12.305, de 2 de agosto de 2010</w:t>
      </w:r>
      <w:r w:rsidDel="00000000" w:rsidR="00000000" w:rsidRPr="00000000">
        <w:rPr>
          <w:rFonts w:ascii="Google Sans" w:cs="Google Sans" w:eastAsia="Google Sans" w:hAnsi="Google Sans"/>
          <w:color w:val="1f1f1f"/>
          <w:rtl w:val="0"/>
        </w:rPr>
        <w:t xml:space="preserve">. Institui a Política Nacional de Resíduos Sólidos; altera a Lei nº 9.605, de 12 de fevereiro de 1998; e dá outras providências. Brasília, DF: Diário Oficial da União, 2010.</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BRASIL. </w:t>
      </w:r>
      <w:r w:rsidDel="00000000" w:rsidR="00000000" w:rsidRPr="00000000">
        <w:rPr>
          <w:rFonts w:ascii="Google Sans" w:cs="Google Sans" w:eastAsia="Google Sans" w:hAnsi="Google Sans"/>
          <w:b w:val="1"/>
          <w:bCs w:val="1"/>
          <w:color w:val="1f1f1f"/>
          <w:rtl w:val="0"/>
        </w:rPr>
        <w:t xml:space="preserve">Lei nº 14.016, de 23 de junho de 2020</w:t>
      </w:r>
      <w:r w:rsidDel="00000000" w:rsidR="00000000" w:rsidRPr="00000000">
        <w:rPr>
          <w:rFonts w:ascii="Google Sans" w:cs="Google Sans" w:eastAsia="Google Sans" w:hAnsi="Google Sans"/>
          <w:color w:val="1f1f1f"/>
          <w:rtl w:val="0"/>
        </w:rPr>
        <w:t xml:space="preserve">. Dispõe sobre o combate ao desperdício de alimentos e a doação de excedentes de alimentos para o consumo humano. Brasília, DF: Diário Oficial da União, 2020.</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BRITO, M. P.; OLIVEIRA, C. V. S. C. Avaliação do resto-ingestão e sobra limpa em uma unidade de alimentação e nutrição no interior da Bahia. </w:t>
      </w:r>
      <w:r w:rsidDel="00000000" w:rsidR="00000000" w:rsidRPr="00000000">
        <w:rPr>
          <w:rFonts w:ascii="Google Sans" w:cs="Google Sans" w:eastAsia="Google Sans" w:hAnsi="Google Sans"/>
          <w:b w:val="1"/>
          <w:bCs w:val="1"/>
          <w:color w:val="1f1f1f"/>
          <w:rtl w:val="0"/>
        </w:rPr>
        <w:t xml:space="preserve">Nutrição Brasil</w:t>
      </w:r>
      <w:r w:rsidDel="00000000" w:rsidR="00000000" w:rsidRPr="00000000">
        <w:rPr>
          <w:rFonts w:ascii="Google Sans" w:cs="Google Sans" w:eastAsia="Google Sans" w:hAnsi="Google Sans"/>
          <w:color w:val="1f1f1f"/>
          <w:rtl w:val="0"/>
        </w:rPr>
        <w:t xml:space="preserve">, v. 16, n. 4, p. 240-244, 2017.</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CHAMBERLEM, B.; KINASZ, T. R.; CAMPOS, J. B. Fatores que influenciam na geração de resto-ingesta em unidades de alimentação e nutrição. </w:t>
      </w:r>
      <w:r w:rsidDel="00000000" w:rsidR="00000000" w:rsidRPr="00000000">
        <w:rPr>
          <w:rFonts w:ascii="Google Sans" w:cs="Google Sans" w:eastAsia="Google Sans" w:hAnsi="Google Sans"/>
          <w:b w:val="1"/>
          <w:bCs w:val="1"/>
          <w:color w:val="1f1f1f"/>
          <w:rtl w:val="0"/>
        </w:rPr>
        <w:t xml:space="preserve">Revista da Associação Brasileira de Nutrição</w:t>
      </w:r>
      <w:r w:rsidDel="00000000" w:rsidR="00000000" w:rsidRPr="00000000">
        <w:rPr>
          <w:rFonts w:ascii="Google Sans" w:cs="Google Sans" w:eastAsia="Google Sans" w:hAnsi="Google Sans"/>
          <w:color w:val="1f1f1f"/>
          <w:rtl w:val="0"/>
        </w:rPr>
        <w:t xml:space="preserve">, v. 4, n. 2, p. 28-35, 2012.</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CORRÊA, E. F. et al. Avaliação de campanha contra o desperdício de alimentos em restaurante universitário. </w:t>
      </w:r>
      <w:r w:rsidDel="00000000" w:rsidR="00000000" w:rsidRPr="00000000">
        <w:rPr>
          <w:rFonts w:ascii="Google Sans" w:cs="Google Sans" w:eastAsia="Google Sans" w:hAnsi="Google Sans"/>
          <w:b w:val="1"/>
          <w:bCs w:val="1"/>
          <w:color w:val="1f1f1f"/>
          <w:rtl w:val="0"/>
        </w:rPr>
        <w:t xml:space="preserve">Revista Nutrição em Pauta</w:t>
      </w:r>
      <w:r w:rsidDel="00000000" w:rsidR="00000000" w:rsidRPr="00000000">
        <w:rPr>
          <w:rFonts w:ascii="Google Sans" w:cs="Google Sans" w:eastAsia="Google Sans" w:hAnsi="Google Sans"/>
          <w:color w:val="1f1f1f"/>
          <w:rtl w:val="0"/>
        </w:rPr>
        <w:t xml:space="preserve">, v. 14, n. 79, p. 55-58, 2006.</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FAO – Food and Agriculture Organization of the United Nations. </w:t>
      </w:r>
      <w:r w:rsidDel="00000000" w:rsidR="00000000" w:rsidRPr="00000000">
        <w:rPr>
          <w:rFonts w:ascii="Google Sans" w:cs="Google Sans" w:eastAsia="Google Sans" w:hAnsi="Google Sans"/>
          <w:b w:val="1"/>
          <w:bCs w:val="1"/>
          <w:color w:val="1f1f1f"/>
          <w:rtl w:val="0"/>
        </w:rPr>
        <w:t xml:space="preserve">Global food losses and food waste: Extent, causes and prevention</w:t>
      </w:r>
      <w:r w:rsidDel="00000000" w:rsidR="00000000" w:rsidRPr="00000000">
        <w:rPr>
          <w:rFonts w:ascii="Google Sans" w:cs="Google Sans" w:eastAsia="Google Sans" w:hAnsi="Google Sans"/>
          <w:color w:val="1f1f1f"/>
          <w:rtl w:val="0"/>
        </w:rPr>
        <w:t xml:space="preserve">. Roma: FAO, 2024.</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GARCIA, T. Doação de alimentos e ESG. </w:t>
      </w:r>
      <w:r w:rsidDel="00000000" w:rsidR="00000000" w:rsidRPr="00000000">
        <w:rPr>
          <w:rFonts w:ascii="Google Sans" w:cs="Google Sans" w:eastAsia="Google Sans" w:hAnsi="Google Sans"/>
          <w:b w:val="1"/>
          <w:bCs w:val="1"/>
          <w:color w:val="1f1f1f"/>
          <w:rtl w:val="0"/>
        </w:rPr>
        <w:t xml:space="preserve">Migalhas</w:t>
      </w:r>
      <w:r w:rsidDel="00000000" w:rsidR="00000000" w:rsidRPr="00000000">
        <w:rPr>
          <w:rFonts w:ascii="Google Sans" w:cs="Google Sans" w:eastAsia="Google Sans" w:hAnsi="Google Sans"/>
          <w:color w:val="1f1f1f"/>
          <w:rtl w:val="0"/>
        </w:rPr>
        <w:t xml:space="preserve">, São Paulo, 2021.</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GONZÁLEZ, P. et al. Diagnóstico de desperdício em um restaurante comercial na cidade de Salvador. </w:t>
      </w:r>
      <w:r w:rsidDel="00000000" w:rsidR="00000000" w:rsidRPr="00000000">
        <w:rPr>
          <w:rFonts w:ascii="Google Sans" w:cs="Google Sans" w:eastAsia="Google Sans" w:hAnsi="Google Sans"/>
          <w:b w:val="1"/>
          <w:bCs w:val="1"/>
          <w:color w:val="1f1f1f"/>
          <w:rtl w:val="0"/>
        </w:rPr>
        <w:t xml:space="preserve">Revista Demetra</w:t>
      </w:r>
      <w:r w:rsidDel="00000000" w:rsidR="00000000" w:rsidRPr="00000000">
        <w:rPr>
          <w:rFonts w:ascii="Google Sans" w:cs="Google Sans" w:eastAsia="Google Sans" w:hAnsi="Google Sans"/>
          <w:color w:val="1f1f1f"/>
          <w:rtl w:val="0"/>
        </w:rPr>
        <w:t xml:space="preserve">, v. 11, n. 3, p. 649-662, 2016.</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KINASZ, T. R. </w:t>
      </w:r>
      <w:r w:rsidDel="00000000" w:rsidR="00000000" w:rsidRPr="00000000">
        <w:rPr>
          <w:rFonts w:ascii="Google Sans" w:cs="Google Sans" w:eastAsia="Google Sans" w:hAnsi="Google Sans"/>
          <w:b w:val="1"/>
          <w:bCs w:val="1"/>
          <w:color w:val="1f1f1f"/>
          <w:rtl w:val="0"/>
        </w:rPr>
        <w:t xml:space="preserve">Qualidade e tecnologia dos alimentos</w:t>
      </w:r>
      <w:r w:rsidDel="00000000" w:rsidR="00000000" w:rsidRPr="00000000">
        <w:rPr>
          <w:rFonts w:ascii="Google Sans" w:cs="Google Sans" w:eastAsia="Google Sans" w:hAnsi="Google Sans"/>
          <w:color w:val="1f1f1f"/>
          <w:rtl w:val="0"/>
        </w:rPr>
        <w:t xml:space="preserve">. São Paulo: Atheneu, 2007.</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LANA, S.; PROENÇA, R. P. C. Resíduos orgânicos em unidades de alimentação e nutrição: destinação e impactos. </w:t>
      </w:r>
      <w:r w:rsidDel="00000000" w:rsidR="00000000" w:rsidRPr="00000000">
        <w:rPr>
          <w:rFonts w:ascii="Google Sans" w:cs="Google Sans" w:eastAsia="Google Sans" w:hAnsi="Google Sans"/>
          <w:b w:val="1"/>
          <w:bCs w:val="1"/>
          <w:color w:val="1f1f1f"/>
          <w:rtl w:val="0"/>
        </w:rPr>
        <w:t xml:space="preserve">Revista de Nutrição Sustentável</w:t>
      </w:r>
      <w:r w:rsidDel="00000000" w:rsidR="00000000" w:rsidRPr="00000000">
        <w:rPr>
          <w:rFonts w:ascii="Google Sans" w:cs="Google Sans" w:eastAsia="Google Sans" w:hAnsi="Google Sans"/>
          <w:color w:val="1f1f1f"/>
          <w:rtl w:val="0"/>
        </w:rPr>
        <w:t xml:space="preserve">, v. 12, n. 1, p. 45-56, 2021.</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MÜLLER. </w:t>
      </w:r>
      <w:r w:rsidDel="00000000" w:rsidR="00000000" w:rsidRPr="00000000">
        <w:rPr>
          <w:rFonts w:ascii="Google Sans" w:cs="Google Sans" w:eastAsia="Google Sans" w:hAnsi="Google Sans"/>
          <w:b w:val="1"/>
          <w:bCs w:val="1"/>
          <w:color w:val="1f1f1f"/>
          <w:rtl w:val="0"/>
        </w:rPr>
        <w:t xml:space="preserve">Controle de desperdício de alimentos em UANs</w:t>
      </w:r>
      <w:r w:rsidDel="00000000" w:rsidR="00000000" w:rsidRPr="00000000">
        <w:rPr>
          <w:rFonts w:ascii="Google Sans" w:cs="Google Sans" w:eastAsia="Google Sans" w:hAnsi="Google Sans"/>
          <w:color w:val="1f1f1f"/>
          <w:rtl w:val="0"/>
        </w:rPr>
        <w:t xml:space="preserve">. Curitiba: Editora UFPR, 2008.</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RIBEIRO, V. F. S. </w:t>
      </w:r>
      <w:r w:rsidDel="00000000" w:rsidR="00000000" w:rsidRPr="00000000">
        <w:rPr>
          <w:rFonts w:ascii="Google Sans" w:cs="Google Sans" w:eastAsia="Google Sans" w:hAnsi="Google Sans"/>
          <w:b w:val="1"/>
          <w:bCs w:val="1"/>
          <w:color w:val="1f1f1f"/>
          <w:rtl w:val="0"/>
        </w:rPr>
        <w:t xml:space="preserve">Avaliação do resto-ingesta e sobras sujas em unidade de alimentação e nutrição hospitalar terceirizada</w:t>
      </w:r>
      <w:r w:rsidDel="00000000" w:rsidR="00000000" w:rsidRPr="00000000">
        <w:rPr>
          <w:rFonts w:ascii="Google Sans" w:cs="Google Sans" w:eastAsia="Google Sans" w:hAnsi="Google Sans"/>
          <w:color w:val="1f1f1f"/>
          <w:rtl w:val="0"/>
        </w:rPr>
        <w:t xml:space="preserve">. Rio de Janeiro: UNIRIO, 2018.</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SCOTTON, S. M.; KINAZ, T. R.; COELHO, L. T. M. Avaliação do desperdício de alimentos em uma unidade de alimentação e nutrição comercial. </w:t>
      </w:r>
      <w:r w:rsidDel="00000000" w:rsidR="00000000" w:rsidRPr="00000000">
        <w:rPr>
          <w:rFonts w:ascii="Google Sans" w:cs="Google Sans" w:eastAsia="Google Sans" w:hAnsi="Google Sans"/>
          <w:b w:val="1"/>
          <w:bCs w:val="1"/>
          <w:color w:val="1f1f1f"/>
          <w:rtl w:val="0"/>
        </w:rPr>
        <w:t xml:space="preserve">Revista Higiene Alimentar</w:t>
      </w:r>
      <w:r w:rsidDel="00000000" w:rsidR="00000000" w:rsidRPr="00000000">
        <w:rPr>
          <w:rFonts w:ascii="Google Sans" w:cs="Google Sans" w:eastAsia="Google Sans" w:hAnsi="Google Sans"/>
          <w:color w:val="1f1f1f"/>
          <w:rtl w:val="0"/>
        </w:rPr>
        <w:t xml:space="preserve">, v. 24, n. 190/191, p. 45-50, 2010.</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SILVA, D. C. et al. Controle do desperdício de alimentos em unidades de alimentação e nutrição. </w:t>
      </w:r>
      <w:r w:rsidDel="00000000" w:rsidR="00000000" w:rsidRPr="00000000">
        <w:rPr>
          <w:rFonts w:ascii="Google Sans" w:cs="Google Sans" w:eastAsia="Google Sans" w:hAnsi="Google Sans"/>
          <w:b w:val="1"/>
          <w:bCs w:val="1"/>
          <w:color w:val="1f1f1f"/>
          <w:rtl w:val="0"/>
        </w:rPr>
        <w:t xml:space="preserve">Revista Ibero-Americana de Humanidades, Ciências e Educação (REASE)</w:t>
      </w:r>
      <w:r w:rsidDel="00000000" w:rsidR="00000000" w:rsidRPr="00000000">
        <w:rPr>
          <w:rFonts w:ascii="Google Sans" w:cs="Google Sans" w:eastAsia="Google Sans" w:hAnsi="Google Sans"/>
          <w:color w:val="1f1f1f"/>
          <w:rtl w:val="0"/>
        </w:rPr>
        <w:t xml:space="preserve">, São Paulo, v. 7, n. 10, 2021.</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SILVA, F. M. et al. Efetividade de uma campanha para redução de desperdício em uma unidade de alimentação e nutrição. </w:t>
      </w:r>
      <w:r w:rsidDel="00000000" w:rsidR="00000000" w:rsidRPr="00000000">
        <w:rPr>
          <w:rFonts w:ascii="Google Sans" w:cs="Google Sans" w:eastAsia="Google Sans" w:hAnsi="Google Sans"/>
          <w:b w:val="1"/>
          <w:bCs w:val="1"/>
          <w:color w:val="1f1f1f"/>
          <w:rtl w:val="0"/>
        </w:rPr>
        <w:t xml:space="preserve">Cadernos de Saúde Coletiva</w:t>
      </w:r>
      <w:r w:rsidDel="00000000" w:rsidR="00000000" w:rsidRPr="00000000">
        <w:rPr>
          <w:rFonts w:ascii="Google Sans" w:cs="Google Sans" w:eastAsia="Google Sans" w:hAnsi="Google Sans"/>
          <w:color w:val="1f1f1f"/>
          <w:rtl w:val="0"/>
        </w:rPr>
        <w:t xml:space="preserve">, Rio de Janeiro, v. 30, n. 3, 2022.</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SOUZA. O impacto de campanhas educativas em restaurantes industriais. </w:t>
      </w:r>
      <w:r w:rsidDel="00000000" w:rsidR="00000000" w:rsidRPr="00000000">
        <w:rPr>
          <w:rFonts w:ascii="Google Sans" w:cs="Google Sans" w:eastAsia="Google Sans" w:hAnsi="Google Sans"/>
          <w:b w:val="1"/>
          <w:bCs w:val="1"/>
          <w:color w:val="1f1f1f"/>
          <w:rtl w:val="0"/>
        </w:rPr>
        <w:t xml:space="preserve">Revista de Nutrição</w:t>
      </w:r>
      <w:r w:rsidDel="00000000" w:rsidR="00000000" w:rsidRPr="00000000">
        <w:rPr>
          <w:rFonts w:ascii="Google Sans" w:cs="Google Sans" w:eastAsia="Google Sans" w:hAnsi="Google Sans"/>
          <w:color w:val="1f1f1f"/>
          <w:rtl w:val="0"/>
        </w:rPr>
        <w:t xml:space="preserve">, Campinas, v. 8, n. 2, p. 140-155, 1995.</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VAZ, C. S. </w:t>
      </w:r>
      <w:r w:rsidDel="00000000" w:rsidR="00000000" w:rsidRPr="00000000">
        <w:rPr>
          <w:rFonts w:ascii="Google Sans" w:cs="Google Sans" w:eastAsia="Google Sans" w:hAnsi="Google Sans"/>
          <w:b w:val="1"/>
          <w:bCs w:val="1"/>
          <w:color w:val="1f1f1f"/>
          <w:rtl w:val="0"/>
        </w:rPr>
        <w:t xml:space="preserve">Restaurantes: controlando custos e aumentando lucros</w:t>
      </w:r>
      <w:r w:rsidDel="00000000" w:rsidR="00000000" w:rsidRPr="00000000">
        <w:rPr>
          <w:rFonts w:ascii="Google Sans" w:cs="Google Sans" w:eastAsia="Google Sans" w:hAnsi="Google Sans"/>
          <w:color w:val="1f1f1f"/>
          <w:rtl w:val="0"/>
        </w:rPr>
        <w:t xml:space="preserve">. Brasília: LGE, 2006.</w:t>
      </w:r>
    </w:p>
    <w:p w:rsidR="00000000" w:rsidDel="00000000" w:rsidP="00000000" w:rsidRDefault="00000000" w:rsidRPr="00000000" w14:paraId="0000007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Referências citadas</w:t>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Redalyc.DESPERDÍCIO DE ALIMENTOS EM UNIDADES DE ALIMENTAÇÃO E NUTRIÇÃO: UMA REVISÃO INTEGRATIVA DA LITERATURA, acessado em abril 17, 2026, </w:t>
      </w:r>
      <w:hyperlink r:id="rId12">
        <w:r w:rsidDel="00000000" w:rsidR="00000000" w:rsidRPr="00000000">
          <w:rPr>
            <w:rFonts w:ascii="Google Sans" w:cs="Google Sans" w:eastAsia="Google Sans" w:hAnsi="Google Sans"/>
            <w:color w:val="0000ee"/>
            <w:sz w:val="24"/>
            <w:szCs w:val="24"/>
            <w:u w:val="single"/>
            <w:rtl w:val="0"/>
          </w:rPr>
          <w:t xml:space="preserve">https://www.redalyc.org/pdf/4815/481582753008.pdf</w:t>
        </w:r>
      </w:hyperlink>
      <w:r w:rsidDel="00000000" w:rsidR="00000000" w:rsidRPr="00000000">
        <w:rPr>
          <w:rtl w:val="0"/>
        </w:rPr>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MELHORIA NO GERENCIAMENTO DE RESÍDUOS SÓLIDOS ORGÂNICOS NO RESTAURANTE DO INSTITUTO FEDERAL DO RIO GRANDE DO NORTE – IFRN/CNAT, acessado em abril 17, 2026, </w:t>
      </w:r>
      <w:hyperlink r:id="rId13">
        <w:r w:rsidDel="00000000" w:rsidR="00000000" w:rsidRPr="00000000">
          <w:rPr>
            <w:rFonts w:ascii="Google Sans" w:cs="Google Sans" w:eastAsia="Google Sans" w:hAnsi="Google Sans"/>
            <w:color w:val="0000ee"/>
            <w:sz w:val="24"/>
            <w:szCs w:val="24"/>
            <w:u w:val="single"/>
            <w:rtl w:val="0"/>
          </w:rPr>
          <w:t xml:space="preserve">https://portal.ifrn.edu.br/projetos-de-pesquisa/8951/</w:t>
        </w:r>
      </w:hyperlink>
      <w:r w:rsidDel="00000000" w:rsidR="00000000" w:rsidRPr="00000000">
        <w:rPr>
          <w:rtl w:val="0"/>
        </w:rPr>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INICIATIVAS PARA ELIMINAÇÃO DE DESPERDÍCIO EM COZINHAS INDUSTRIAIS INITIATIVES FOR ELIMINATING WASTE IN INDUSTRIAL KITCHENS, acessado em abril 17, 2026, </w:t>
      </w:r>
      <w:hyperlink r:id="rId14">
        <w:r w:rsidDel="00000000" w:rsidR="00000000" w:rsidRPr="00000000">
          <w:rPr>
            <w:rFonts w:ascii="Google Sans" w:cs="Google Sans" w:eastAsia="Google Sans" w:hAnsi="Google Sans"/>
            <w:color w:val="0000ee"/>
            <w:sz w:val="24"/>
            <w:szCs w:val="24"/>
            <w:u w:val="single"/>
            <w:rtl w:val="0"/>
          </w:rPr>
          <w:t xml:space="preserve">https://www.periodicojs.com.br/index.php/gei/article/download/2716/2766</w:t>
        </w:r>
      </w:hyperlink>
      <w:r w:rsidDel="00000000" w:rsidR="00000000" w:rsidRPr="00000000">
        <w:rPr>
          <w:rtl w:val="0"/>
        </w:rPr>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Efetividade de uma campanha para redução de desperdício em uma unidade de alimentação e nutrição - ResearchGate, acessado em abril 17, 2026, </w:t>
      </w:r>
      <w:hyperlink r:id="rId15">
        <w:r w:rsidDel="00000000" w:rsidR="00000000" w:rsidRPr="00000000">
          <w:rPr>
            <w:rFonts w:ascii="Google Sans" w:cs="Google Sans" w:eastAsia="Google Sans" w:hAnsi="Google Sans"/>
            <w:color w:val="0000ee"/>
            <w:sz w:val="24"/>
            <w:szCs w:val="24"/>
            <w:u w:val="single"/>
            <w:rtl w:val="0"/>
          </w:rPr>
          <w:t xml:space="preserve">https://www.researchgate.net/publication/365333145_Efetividade_de_uma_campanha_para_reducao_de_desperdicio_em_uma_unidade_de_alimentacao_e_nutricao</w:t>
        </w:r>
      </w:hyperlink>
      <w:r w:rsidDel="00000000" w:rsidR="00000000" w:rsidRPr="00000000">
        <w:rPr>
          <w:rtl w:val="0"/>
        </w:rPr>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DESPERDÍCIO DE ALIMENTOS EM UNIDADES DE ALIMENTAÇÃO E NUTRIÇÃO: UMA REVISÃO DA LITERATURA Lariss, acessado em abril 17, 2026, </w:t>
      </w:r>
      <w:hyperlink r:id="rId16">
        <w:r w:rsidDel="00000000" w:rsidR="00000000" w:rsidRPr="00000000">
          <w:rPr>
            <w:rFonts w:ascii="Google Sans" w:cs="Google Sans" w:eastAsia="Google Sans" w:hAnsi="Google Sans"/>
            <w:color w:val="0000ee"/>
            <w:sz w:val="24"/>
            <w:szCs w:val="24"/>
            <w:u w:val="single"/>
            <w:rtl w:val="0"/>
          </w:rPr>
          <w:t xml:space="preserve">https://repositorio.pucgoias.edu.br/jspui/bitstream/123456789/2897/1/LARISSA%20SAYURI%20AKITAYA%20_%20VERS%C3%83O%20FINAL.pdf</w:t>
        </w:r>
      </w:hyperlink>
      <w:r w:rsidDel="00000000" w:rsidR="00000000" w:rsidRPr="00000000">
        <w:rPr>
          <w:rtl w:val="0"/>
        </w:rPr>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Redalyc.AVALIAÇÃO DO ÍNDICE DE SOBRAS LIMPAS EM UMA UNIDADE DE ALIMENTAÇÃO E NUTRIÇÃO (UAN) INSTITUCIONAL NA CIDADE DE CA, acessado em abril 17, 2026, </w:t>
      </w:r>
      <w:hyperlink r:id="rId17">
        <w:r w:rsidDel="00000000" w:rsidR="00000000" w:rsidRPr="00000000">
          <w:rPr>
            <w:rFonts w:ascii="Google Sans" w:cs="Google Sans" w:eastAsia="Google Sans" w:hAnsi="Google Sans"/>
            <w:color w:val="0000ee"/>
            <w:sz w:val="24"/>
            <w:szCs w:val="24"/>
            <w:u w:val="single"/>
            <w:rtl w:val="0"/>
          </w:rPr>
          <w:t xml:space="preserve">https://www.redalyc.org/pdf/260/26024221001.pdf</w:t>
        </w:r>
      </w:hyperlink>
      <w:r w:rsidDel="00000000" w:rsidR="00000000" w:rsidRPr="00000000">
        <w:rPr>
          <w:rtl w:val="0"/>
        </w:rPr>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UNIVERSIDADE FEDERAL DO ESTADO DO RIO DE JANEIRO - UNIRIO CENTRO DE CIÊNCIAS BIOLÓGICAS DA SAÚDE - CCBS ESCOLA DE NUTRIÇÃO, acessado em abril 17, 2026, </w:t>
      </w:r>
      <w:hyperlink r:id="rId18">
        <w:r w:rsidDel="00000000" w:rsidR="00000000" w:rsidRPr="00000000">
          <w:rPr>
            <w:rFonts w:ascii="Google Sans" w:cs="Google Sans" w:eastAsia="Google Sans" w:hAnsi="Google Sans"/>
            <w:color w:val="0000ee"/>
            <w:sz w:val="24"/>
            <w:szCs w:val="24"/>
            <w:u w:val="single"/>
            <w:rtl w:val="0"/>
          </w:rPr>
          <w:t xml:space="preserve">http://www.repositorio-bc.unirio.br:8080/xmlui/bitstream/handle/unirio/13900/TCC%20-%20VICTORIA%20FAVORITO%20SCIAMMARELLA%20RIBEIRO.pdf?sequence=1&amp;isAllowed=y</w:t>
        </w:r>
      </w:hyperlink>
      <w:r w:rsidDel="00000000" w:rsidR="00000000" w:rsidRPr="00000000">
        <w:rPr>
          <w:rtl w:val="0"/>
        </w:rPr>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AVALIÇÃO DE SOBRAS DE UMA UNIDADE PRODUTORA DE REFEIÇÕES DE SÃO JOSÉ DO RIO PRETO/SP - Revistas Unilago, acessado em abril 17, 2026, </w:t>
      </w:r>
      <w:hyperlink r:id="rId19">
        <w:r w:rsidDel="00000000" w:rsidR="00000000" w:rsidRPr="00000000">
          <w:rPr>
            <w:rFonts w:ascii="Google Sans" w:cs="Google Sans" w:eastAsia="Google Sans" w:hAnsi="Google Sans"/>
            <w:color w:val="0000ee"/>
            <w:sz w:val="24"/>
            <w:szCs w:val="24"/>
            <w:u w:val="single"/>
            <w:rtl w:val="0"/>
          </w:rPr>
          <w:t xml:space="preserve">https://revistas.unilago.edu.br/index.php/revista-cientifica/article/view/306/497</w:t>
        </w:r>
      </w:hyperlink>
      <w:r w:rsidDel="00000000" w:rsidR="00000000" w:rsidRPr="00000000">
        <w:rPr>
          <w:rtl w:val="0"/>
        </w:rPr>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controle do desperdício de alimentos em unidades de alimentação e nutrição - Revista Ibero-Americana de Humanidades, Ciências e Educação, acessado em abril 17, 2026, </w:t>
      </w:r>
      <w:hyperlink r:id="rId20">
        <w:r w:rsidDel="00000000" w:rsidR="00000000" w:rsidRPr="00000000">
          <w:rPr>
            <w:rFonts w:ascii="Google Sans" w:cs="Google Sans" w:eastAsia="Google Sans" w:hAnsi="Google Sans"/>
            <w:color w:val="0000ee"/>
            <w:sz w:val="24"/>
            <w:szCs w:val="24"/>
            <w:u w:val="single"/>
            <w:rtl w:val="0"/>
          </w:rPr>
          <w:t xml:space="preserve">https://periodicorease.pro.br/rease/article/download/2711/1094/4422</w:t>
        </w:r>
      </w:hyperlink>
      <w:r w:rsidDel="00000000" w:rsidR="00000000" w:rsidRPr="00000000">
        <w:rPr>
          <w:rtl w:val="0"/>
        </w:rPr>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avaliação do índice de resto ingesta e sobras em unidade de alimentação e nutrição - MASTER EDITORA, acessado em abril 17, 2026, </w:t>
      </w:r>
      <w:hyperlink r:id="rId21">
        <w:r w:rsidDel="00000000" w:rsidR="00000000" w:rsidRPr="00000000">
          <w:rPr>
            <w:rFonts w:ascii="Google Sans" w:cs="Google Sans" w:eastAsia="Google Sans" w:hAnsi="Google Sans"/>
            <w:color w:val="0000ee"/>
            <w:sz w:val="24"/>
            <w:szCs w:val="24"/>
            <w:u w:val="single"/>
            <w:rtl w:val="0"/>
          </w:rPr>
          <w:t xml:space="preserve">https://www.mastereditora.com.br/download-1525</w:t>
        </w:r>
      </w:hyperlink>
      <w:r w:rsidDel="00000000" w:rsidR="00000000" w:rsidRPr="00000000">
        <w:rPr>
          <w:rtl w:val="0"/>
        </w:rPr>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- 36 - AVALIAÇÃO DE DESPERDÍCIO EM UMA UNIDADE DE ALIMENTAÇÃO E NUTRIÇÃO - Univates, acessado em abril 17, 2026, </w:t>
      </w:r>
      <w:hyperlink r:id="rId22">
        <w:r w:rsidDel="00000000" w:rsidR="00000000" w:rsidRPr="00000000">
          <w:rPr>
            <w:rFonts w:ascii="Google Sans" w:cs="Google Sans" w:eastAsia="Google Sans" w:hAnsi="Google Sans"/>
            <w:color w:val="0000ee"/>
            <w:sz w:val="24"/>
            <w:szCs w:val="24"/>
            <w:u w:val="single"/>
            <w:rtl w:val="0"/>
          </w:rPr>
          <w:t xml:space="preserve">https://www.univates.br/revistas/index.php/destaques/article/download/477/469/0</w:t>
        </w:r>
      </w:hyperlink>
      <w:r w:rsidDel="00000000" w:rsidR="00000000" w:rsidRPr="00000000">
        <w:rPr>
          <w:rtl w:val="0"/>
        </w:rPr>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Impacto de uma Campanha Educativa na Redução do Desperdício de Alimentos em uma Unidade de Alimentação e Nutrição (UAN) n - Research, Society and Development, acessado em abril 17, 2026, </w:t>
      </w:r>
      <w:hyperlink r:id="rId23">
        <w:r w:rsidDel="00000000" w:rsidR="00000000" w:rsidRPr="00000000">
          <w:rPr>
            <w:rFonts w:ascii="Google Sans" w:cs="Google Sans" w:eastAsia="Google Sans" w:hAnsi="Google Sans"/>
            <w:color w:val="0000ee"/>
            <w:sz w:val="24"/>
            <w:szCs w:val="24"/>
            <w:u w:val="single"/>
            <w:rtl w:val="0"/>
          </w:rPr>
          <w:t xml:space="preserve">https://rsdjournal.org/rsd/article/download/46965/37179</w:t>
        </w:r>
      </w:hyperlink>
      <w:r w:rsidDel="00000000" w:rsidR="00000000" w:rsidRPr="00000000">
        <w:rPr>
          <w:rtl w:val="0"/>
        </w:rPr>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AVALIAÇÃO DO DESPERDÍCIO DE ALIMENTOS EM UMA UNIDADE DE ALIMENTAÇÃO E NUTRIÇÃO NA CIDADE DE BOTUCATU, SP. - BVS, acessado em abril 17, 2026, </w:t>
      </w:r>
      <w:hyperlink r:id="rId24">
        <w:r w:rsidDel="00000000" w:rsidR="00000000" w:rsidRPr="00000000">
          <w:rPr>
            <w:rFonts w:ascii="Google Sans" w:cs="Google Sans" w:eastAsia="Google Sans" w:hAnsi="Google Sans"/>
            <w:color w:val="0000ee"/>
            <w:sz w:val="24"/>
            <w:szCs w:val="24"/>
            <w:u w:val="single"/>
            <w:rtl w:val="0"/>
          </w:rPr>
          <w:t xml:space="preserve">https://docs.bvsalud.org/biblioref/2018/04/882814/276-277-site-28-32.pdf</w:t>
        </w:r>
      </w:hyperlink>
      <w:r w:rsidDel="00000000" w:rsidR="00000000" w:rsidRPr="00000000">
        <w:rPr>
          <w:rtl w:val="0"/>
        </w:rPr>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ÍNDICE DE DESPERDÍCIO ALIMENTAR RELATÓRIO 2021 - Learning for Nature, acessado em abril 17, 2026, </w:t>
      </w:r>
      <w:hyperlink r:id="rId25">
        <w:r w:rsidDel="00000000" w:rsidR="00000000" w:rsidRPr="00000000">
          <w:rPr>
            <w:rFonts w:ascii="Google Sans" w:cs="Google Sans" w:eastAsia="Google Sans" w:hAnsi="Google Sans"/>
            <w:color w:val="0000ee"/>
            <w:sz w:val="24"/>
            <w:szCs w:val="24"/>
            <w:u w:val="single"/>
            <w:rtl w:val="0"/>
          </w:rPr>
          <w:t xml:space="preserve">https://www.learningfornature.org/wp-content/uploads/2023/07/FoodWaste_PT.pdf</w:t>
        </w:r>
      </w:hyperlink>
      <w:r w:rsidDel="00000000" w:rsidR="00000000" w:rsidRPr="00000000">
        <w:rPr>
          <w:rtl w:val="0"/>
        </w:rPr>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Padrão para Contabilizar e Relatar a Perda e o Desperdício de Alimentos - Food Loss and Waste Protocol, acessado em abril 17, 2026, </w:t>
      </w:r>
      <w:hyperlink r:id="rId26">
        <w:r w:rsidDel="00000000" w:rsidR="00000000" w:rsidRPr="00000000">
          <w:rPr>
            <w:rFonts w:ascii="Google Sans" w:cs="Google Sans" w:eastAsia="Google Sans" w:hAnsi="Google Sans"/>
            <w:color w:val="0000ee"/>
            <w:sz w:val="24"/>
            <w:szCs w:val="24"/>
            <w:u w:val="single"/>
            <w:rtl w:val="0"/>
          </w:rPr>
          <w:t xml:space="preserve">https://flwprotocol.org/wp-content/uploads/2016/05/FLW-Standard-executive-summary-PORTUGUESE.pdf</w:t>
        </w:r>
      </w:hyperlink>
      <w:r w:rsidDel="00000000" w:rsidR="00000000" w:rsidRPr="00000000">
        <w:rPr>
          <w:rtl w:val="0"/>
        </w:rPr>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índice de resto ingestão e sobras alimentares de um serviço de nutrição e dietética localizado no sudoeste do paraná - ResearchGate, acessado em abril 17, 2026, </w:t>
      </w:r>
      <w:hyperlink r:id="rId27">
        <w:r w:rsidDel="00000000" w:rsidR="00000000" w:rsidRPr="00000000">
          <w:rPr>
            <w:rFonts w:ascii="Google Sans" w:cs="Google Sans" w:eastAsia="Google Sans" w:hAnsi="Google Sans"/>
            <w:color w:val="0000ee"/>
            <w:sz w:val="24"/>
            <w:szCs w:val="24"/>
            <w:u w:val="single"/>
            <w:rtl w:val="0"/>
          </w:rPr>
          <w:t xml:space="preserve">https://www.researchgate.net/publication/331597825_INDICE_DE_RESTO_INGESTAO_E_SOBRAS_ALIMENTARES_DE_UM_SERVICO_DE_NUTRICAO_E_DIETETICA_LOCALIZADO_NO_SUDOESTE_DO_PARANA</w:t>
        </w:r>
      </w:hyperlink>
      <w:r w:rsidDel="00000000" w:rsidR="00000000" w:rsidRPr="00000000">
        <w:rPr>
          <w:rtl w:val="0"/>
        </w:rPr>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Desperdício em unidade de alimentação e nutrição hospitalar: Revisão bibliográfica - Research, Society and Development, acessado em abril 17, 2026, </w:t>
      </w:r>
      <w:hyperlink r:id="rId28">
        <w:r w:rsidDel="00000000" w:rsidR="00000000" w:rsidRPr="00000000">
          <w:rPr>
            <w:rFonts w:ascii="Google Sans" w:cs="Google Sans" w:eastAsia="Google Sans" w:hAnsi="Google Sans"/>
            <w:color w:val="0000ee"/>
            <w:sz w:val="24"/>
            <w:szCs w:val="24"/>
            <w:u w:val="single"/>
            <w:rtl w:val="0"/>
          </w:rPr>
          <w:t xml:space="preserve">https://rsdjournal.org/rsd/article/download/50032/39174/509693</w:t>
        </w:r>
      </w:hyperlink>
      <w:r w:rsidDel="00000000" w:rsidR="00000000" w:rsidRPr="00000000">
        <w:rPr>
          <w:rtl w:val="0"/>
        </w:rPr>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AVALIAÇÃO DO ÍNDICE DE RESTO- INGESTA E SOBRAS EM UMA UNIDADE DE ALIMENTAÇÃO E NUTRIÇÃO (UAN) EM UMA REDE HOTELEIRA DE ARACAJU / SE - Revistas Estácio, acessado em abril 17, 2026, </w:t>
      </w:r>
      <w:hyperlink r:id="rId29">
        <w:r w:rsidDel="00000000" w:rsidR="00000000" w:rsidRPr="00000000">
          <w:rPr>
            <w:rFonts w:ascii="Google Sans" w:cs="Google Sans" w:eastAsia="Google Sans" w:hAnsi="Google Sans"/>
            <w:color w:val="0000ee"/>
            <w:sz w:val="24"/>
            <w:szCs w:val="24"/>
            <w:u w:val="single"/>
            <w:rtl w:val="0"/>
          </w:rPr>
          <w:t xml:space="preserve">https://estacio.periodicoscientificos.com.br/index.php/revistahorus/article/view/1109/967</w:t>
        </w:r>
      </w:hyperlink>
      <w:r w:rsidDel="00000000" w:rsidR="00000000" w:rsidRPr="00000000">
        <w:rPr>
          <w:rtl w:val="0"/>
        </w:rPr>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Análises sobre desperdício de alimentos em Serviços de Alimentação: estratégias adotadas para redução de sobras e restos, acessado em abril 17, 2026, </w:t>
      </w:r>
      <w:hyperlink r:id="rId30">
        <w:r w:rsidDel="00000000" w:rsidR="00000000" w:rsidRPr="00000000">
          <w:rPr>
            <w:rFonts w:ascii="Google Sans" w:cs="Google Sans" w:eastAsia="Google Sans" w:hAnsi="Google Sans"/>
            <w:color w:val="0000ee"/>
            <w:sz w:val="24"/>
            <w:szCs w:val="24"/>
            <w:u w:val="single"/>
            <w:rtl w:val="0"/>
          </w:rPr>
          <w:t xml:space="preserve">https://repositorio.animaeducacao.com.br/bitstreams/6c5fd48d-75a8-4271-aff3-5a6892e5810c/download</w:t>
        </w:r>
      </w:hyperlink>
      <w:r w:rsidDel="00000000" w:rsidR="00000000" w:rsidRPr="00000000">
        <w:rPr>
          <w:rtl w:val="0"/>
        </w:rPr>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avaliação do indice do resto ingesta e sobras em uma unidade produtora de refeições - MASTER EDITORA, acessado em abril 17, 2026, </w:t>
      </w:r>
      <w:hyperlink r:id="rId31">
        <w:r w:rsidDel="00000000" w:rsidR="00000000" w:rsidRPr="00000000">
          <w:rPr>
            <w:rFonts w:ascii="Google Sans" w:cs="Google Sans" w:eastAsia="Google Sans" w:hAnsi="Google Sans"/>
            <w:color w:val="0000ee"/>
            <w:sz w:val="24"/>
            <w:szCs w:val="24"/>
            <w:u w:val="single"/>
            <w:rtl w:val="0"/>
          </w:rPr>
          <w:t xml:space="preserve">https://www.mastereditora.com.br/download-1524</w:t>
        </w:r>
      </w:hyperlink>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Resto ingesta: como calcular e otimizar seus resultados - Teknisa, acessado em abril 17, 2026, </w:t>
      </w:r>
      <w:hyperlink r:id="rId32">
        <w:r w:rsidDel="00000000" w:rsidR="00000000" w:rsidRPr="00000000">
          <w:rPr>
            <w:rFonts w:ascii="Google Sans" w:cs="Google Sans" w:eastAsia="Google Sans" w:hAnsi="Google Sans"/>
            <w:color w:val="0000ee"/>
            <w:sz w:val="24"/>
            <w:szCs w:val="24"/>
            <w:u w:val="single"/>
            <w:rtl w:val="0"/>
          </w:rPr>
          <w:t xml:space="preserve">https://www.teknisa.com/gestao-de-custos/resto-ingesta/</w:t>
        </w:r>
      </w:hyperlink>
      <w:r w:rsidDel="00000000" w:rsidR="00000000" w:rsidRPr="00000000">
        <w:rPr>
          <w:rtl w:val="0"/>
        </w:rPr>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43 AVALIAÇÃO DO ÍNDICE DE RESTO INGESTA APÓS CAMPANHA DE CONSCIENTIZAÇÃO DOS CLIENTES CONTRA O DESPERDÍCIO DE ALIMENTOS E, acessado em abril 17, 2026, </w:t>
      </w:r>
      <w:hyperlink r:id="rId33">
        <w:r w:rsidDel="00000000" w:rsidR="00000000" w:rsidRPr="00000000">
          <w:rPr>
            <w:rFonts w:ascii="Google Sans" w:cs="Google Sans" w:eastAsia="Google Sans" w:hAnsi="Google Sans"/>
            <w:color w:val="0000ee"/>
            <w:sz w:val="24"/>
            <w:szCs w:val="24"/>
            <w:u w:val="single"/>
            <w:rtl w:val="0"/>
          </w:rPr>
          <w:t xml:space="preserve">https://www1.ibb.unesp.br/Home/Departamentos/Educacao/Simbio-Logias/Avaliacao_indice_de_resto_ingesta_apos_campanha_conscienti.pdf</w:t>
        </w:r>
      </w:hyperlink>
      <w:r w:rsidDel="00000000" w:rsidR="00000000" w:rsidRPr="00000000">
        <w:rPr>
          <w:rtl w:val="0"/>
        </w:rPr>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Doação de alimentos e ESG - Migalhas, acessado em abril 17, 2026, </w:t>
      </w:r>
      <w:hyperlink r:id="rId34">
        <w:r w:rsidDel="00000000" w:rsidR="00000000" w:rsidRPr="00000000">
          <w:rPr>
            <w:rFonts w:ascii="Google Sans" w:cs="Google Sans" w:eastAsia="Google Sans" w:hAnsi="Google Sans"/>
            <w:color w:val="0000ee"/>
            <w:sz w:val="24"/>
            <w:szCs w:val="24"/>
            <w:u w:val="single"/>
            <w:rtl w:val="0"/>
          </w:rPr>
          <w:t xml:space="preserve">https://www.migalhas.com.br/depeso/399875/doacao-de-alimentos-e-esg</w:t>
        </w:r>
      </w:hyperlink>
      <w:r w:rsidDel="00000000" w:rsidR="00000000" w:rsidRPr="00000000">
        <w:rPr>
          <w:rtl w:val="0"/>
        </w:rPr>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Lei 14.016/2020: como a doação de excedentes alimentares ajuda a combater o desperdício e a fome no Brasil - Pacto Contra a Fome, acessado em abril 17, 2026, </w:t>
      </w:r>
      <w:hyperlink r:id="rId35">
        <w:r w:rsidDel="00000000" w:rsidR="00000000" w:rsidRPr="00000000">
          <w:rPr>
            <w:rFonts w:ascii="Google Sans" w:cs="Google Sans" w:eastAsia="Google Sans" w:hAnsi="Google Sans"/>
            <w:color w:val="0000ee"/>
            <w:sz w:val="24"/>
            <w:szCs w:val="24"/>
            <w:u w:val="single"/>
            <w:rtl w:val="0"/>
          </w:rPr>
          <w:t xml:space="preserve">https://pactocontrafome.org/lei-14-016-2020-como-a-doacao-de-excedentes-alimentares-ajuda-a-combater-o-desperdicio-e-a-fome-no-brasil/</w:t>
        </w:r>
      </w:hyperlink>
      <w:r w:rsidDel="00000000" w:rsidR="00000000" w:rsidRPr="00000000">
        <w:rPr>
          <w:rtl w:val="0"/>
        </w:rPr>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L14016 - Planalto, acessado em abril 17, 2026, </w:t>
      </w:r>
      <w:hyperlink r:id="rId36">
        <w:r w:rsidDel="00000000" w:rsidR="00000000" w:rsidRPr="00000000">
          <w:rPr>
            <w:rFonts w:ascii="Google Sans" w:cs="Google Sans" w:eastAsia="Google Sans" w:hAnsi="Google Sans"/>
            <w:color w:val="0000ee"/>
            <w:sz w:val="24"/>
            <w:szCs w:val="24"/>
            <w:u w:val="single"/>
            <w:rtl w:val="0"/>
          </w:rPr>
          <w:t xml:space="preserve">http://www.planalto.gov.br/ccivil_03/_ato2019-2022/2020/lei/L14016.htm</w:t>
        </w:r>
      </w:hyperlink>
      <w:r w:rsidDel="00000000" w:rsidR="00000000" w:rsidRPr="00000000">
        <w:rPr>
          <w:rtl w:val="0"/>
        </w:rPr>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Lei 14.016 de 2020 e a doação de alimentos por parte dos restaurantes e afins - Migalhas, acessado em abril 17, 2026, </w:t>
      </w:r>
      <w:hyperlink r:id="rId37">
        <w:r w:rsidDel="00000000" w:rsidR="00000000" w:rsidRPr="00000000">
          <w:rPr>
            <w:rFonts w:ascii="Google Sans" w:cs="Google Sans" w:eastAsia="Google Sans" w:hAnsi="Google Sans"/>
            <w:color w:val="0000ee"/>
            <w:sz w:val="24"/>
            <w:szCs w:val="24"/>
            <w:u w:val="single"/>
            <w:rtl w:val="0"/>
          </w:rPr>
          <w:t xml:space="preserve">https://www.migalhas.com.br/depeso/333165/lei-14-016-de-2020-e-a-doacao-de-alimentos-por-parte-dos-restaurantes-e-afins</w:t>
        </w:r>
      </w:hyperlink>
      <w:r w:rsidDel="00000000" w:rsidR="00000000" w:rsidRPr="00000000">
        <w:rPr>
          <w:rtl w:val="0"/>
        </w:rPr>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Gestão Ambiental em Unidades de Alimentação | PDF | Desperdício | Composto - Scribd, acessado em abril 17, 2026, </w:t>
      </w:r>
      <w:hyperlink r:id="rId38">
        <w:r w:rsidDel="00000000" w:rsidR="00000000" w:rsidRPr="00000000">
          <w:rPr>
            <w:rFonts w:ascii="Google Sans" w:cs="Google Sans" w:eastAsia="Google Sans" w:hAnsi="Google Sans"/>
            <w:color w:val="0000ee"/>
            <w:sz w:val="24"/>
            <w:szCs w:val="24"/>
            <w:u w:val="single"/>
            <w:rtl w:val="0"/>
          </w:rPr>
          <w:t xml:space="preserve">https://pt.scribd.com/document/865585484/Gestao-ambiental-em-UAN</w:t>
        </w:r>
      </w:hyperlink>
      <w:r w:rsidDel="00000000" w:rsidR="00000000" w:rsidRPr="00000000">
        <w:rPr>
          <w:rtl w:val="0"/>
        </w:rPr>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avaliação do resto-ingesta da alimentação oferecida por uma - Sustentare-WIPIS, acessado em abril 17, 2026, </w:t>
      </w:r>
      <w:hyperlink r:id="rId39">
        <w:r w:rsidDel="00000000" w:rsidR="00000000" w:rsidRPr="00000000">
          <w:rPr>
            <w:rFonts w:ascii="Google Sans" w:cs="Google Sans" w:eastAsia="Google Sans" w:hAnsi="Google Sans"/>
            <w:color w:val="0000ee"/>
            <w:sz w:val="24"/>
            <w:szCs w:val="24"/>
            <w:u w:val="single"/>
            <w:rtl w:val="0"/>
          </w:rPr>
          <w:t xml:space="preserve">https://www.sustentarewipis.com.br/wp-content/uploads/artigos/2023/760923.pdf</w:t>
        </w:r>
      </w:hyperlink>
      <w:r w:rsidDel="00000000" w:rsidR="00000000" w:rsidRPr="00000000">
        <w:rPr>
          <w:rtl w:val="0"/>
        </w:rPr>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resíduos orgânicos: conceitos, normas e levantamento de dados sobre sua gestão em instituições públicas de ensino no brasil - Portal de Revistas e Periódicos do IFPR, acessado em abril 17, 2026, </w:t>
      </w:r>
      <w:hyperlink r:id="rId40">
        <w:r w:rsidDel="00000000" w:rsidR="00000000" w:rsidRPr="00000000">
          <w:rPr>
            <w:rFonts w:ascii="Google Sans" w:cs="Google Sans" w:eastAsia="Google Sans" w:hAnsi="Google Sans"/>
            <w:color w:val="0000ee"/>
            <w:sz w:val="24"/>
            <w:szCs w:val="24"/>
            <w:u w:val="single"/>
            <w:rtl w:val="0"/>
          </w:rPr>
          <w:t xml:space="preserve">https://revistas.ifpr.edu.br/mundietg/article/download/937/805</w:t>
        </w:r>
      </w:hyperlink>
      <w:r w:rsidDel="00000000" w:rsidR="00000000" w:rsidRPr="00000000">
        <w:rPr>
          <w:rtl w:val="0"/>
        </w:rPr>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23 º GV - Vereadora Janaína Lima, acessado em abril 17, 2026, </w:t>
      </w:r>
      <w:hyperlink r:id="rId41">
        <w:r w:rsidDel="00000000" w:rsidR="00000000" w:rsidRPr="00000000">
          <w:rPr>
            <w:rFonts w:ascii="Google Sans" w:cs="Google Sans" w:eastAsia="Google Sans" w:hAnsi="Google Sans"/>
            <w:color w:val="0000ee"/>
            <w:sz w:val="24"/>
            <w:szCs w:val="24"/>
            <w:u w:val="single"/>
            <w:rtl w:val="0"/>
          </w:rPr>
          <w:t xml:space="preserve">https://redebrasilsustentavel.org.br/wp-content/uploads/2024/03/546-Compostagem-de-residuos-organicos.pdf</w:t>
        </w:r>
      </w:hyperlink>
      <w:r w:rsidDel="00000000" w:rsidR="00000000" w:rsidRPr="00000000">
        <w:rPr>
          <w:rtl w:val="0"/>
        </w:rPr>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Compostagem doméstica, comunitária e institucional de resíduos orgânicos: manual de orientação - Portal Gov.br, acessado em abril 17, 2026, </w:t>
      </w:r>
      <w:hyperlink r:id="rId42">
        <w:r w:rsidDel="00000000" w:rsidR="00000000" w:rsidRPr="00000000">
          <w:rPr>
            <w:rFonts w:ascii="Google Sans" w:cs="Google Sans" w:eastAsia="Google Sans" w:hAnsi="Google Sans"/>
            <w:color w:val="0000ee"/>
            <w:sz w:val="24"/>
            <w:szCs w:val="24"/>
            <w:u w:val="single"/>
            <w:rtl w:val="0"/>
          </w:rPr>
          <w:t xml:space="preserve">https://www.gov.br/cidades/pt-br/acesso-a-informacao/acoes-e-programas/saneamento/protegeer/biblioteca/CompostagemDomsticaComunitriaeInstitucionaldeResduosOrgnicosMMA.pdf</w:t>
        </w:r>
      </w:hyperlink>
      <w:r w:rsidDel="00000000" w:rsidR="00000000" w:rsidRPr="00000000">
        <w:rPr>
          <w:rtl w:val="0"/>
        </w:rPr>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Compostagem: a importância da reutilização dos resíduos orgânicos para a sustentabilidade de uma instituição de ensino superior - ResearchGate, acessado em abril 17, 2026, </w:t>
      </w:r>
      <w:hyperlink r:id="rId43">
        <w:r w:rsidDel="00000000" w:rsidR="00000000" w:rsidRPr="00000000">
          <w:rPr>
            <w:rFonts w:ascii="Google Sans" w:cs="Google Sans" w:eastAsia="Google Sans" w:hAnsi="Google Sans"/>
            <w:color w:val="0000ee"/>
            <w:sz w:val="24"/>
            <w:szCs w:val="24"/>
            <w:u w:val="single"/>
            <w:rtl w:val="0"/>
          </w:rPr>
          <w:t xml:space="preserve">https://www.researchgate.net/publication/341448807_Compostagem_a_importancia_da_reutilizacao_dos_residuos_organicos_para_a_sustentabilidade_de_uma_instituicao_de_ensino_superior</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Práticas de sustentabilidade no gerenciamento de resíduos em serviços de alimentação - Periódicos IF Farroupilha, acessado em abril 17, 2026, </w:t>
      </w:r>
      <w:hyperlink r:id="rId44">
        <w:r w:rsidDel="00000000" w:rsidR="00000000" w:rsidRPr="00000000">
          <w:rPr>
            <w:rFonts w:ascii="Google Sans" w:cs="Google Sans" w:eastAsia="Google Sans" w:hAnsi="Google Sans"/>
            <w:color w:val="0000ee"/>
            <w:sz w:val="24"/>
            <w:szCs w:val="24"/>
            <w:u w:val="single"/>
            <w:rtl w:val="0"/>
          </w:rPr>
          <w:t xml:space="preserve">https://periodicos.iffarroupilha.edu.br/index.php/boletim-tecnico-cientifico/article/download/563/321/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revistas.ifpr.edu.br/mundietg/article/download/937/805" TargetMode="External"/><Relationship Id="rId20" Type="http://schemas.openxmlformats.org/officeDocument/2006/relationships/hyperlink" Target="https://periodicorease.pro.br/rease/article/download/2711/1094/4422" TargetMode="External"/><Relationship Id="rId42" Type="http://schemas.openxmlformats.org/officeDocument/2006/relationships/hyperlink" Target="https://www.gov.br/cidades/pt-br/acesso-a-informacao/acoes-e-programas/saneamento/protegeer/biblioteca/CompostagemDomsticaComunitriaeInstitucionaldeResduosOrgnicosMMA.pdf" TargetMode="External"/><Relationship Id="rId41" Type="http://schemas.openxmlformats.org/officeDocument/2006/relationships/hyperlink" Target="https://redebrasilsustentavel.org.br/wp-content/uploads/2024/03/546-Compostagem-de-residuos-organicos.pdf" TargetMode="External"/><Relationship Id="rId22" Type="http://schemas.openxmlformats.org/officeDocument/2006/relationships/hyperlink" Target="https://www.univates.br/revistas/index.php/destaques/article/download/477/469/0" TargetMode="External"/><Relationship Id="rId44" Type="http://schemas.openxmlformats.org/officeDocument/2006/relationships/hyperlink" Target="https://periodicos.iffarroupilha.edu.br/index.php/boletim-tecnico-cientifico/article/download/563/321/" TargetMode="External"/><Relationship Id="rId21" Type="http://schemas.openxmlformats.org/officeDocument/2006/relationships/hyperlink" Target="https://www.mastereditora.com.br/download-1525" TargetMode="External"/><Relationship Id="rId43" Type="http://schemas.openxmlformats.org/officeDocument/2006/relationships/hyperlink" Target="https://www.researchgate.net/publication/341448807_Compostagem_a_importancia_da_reutilizacao_dos_residuos_organicos_para_a_sustentabilidade_de_uma_instituicao_de_ensino_superior" TargetMode="External"/><Relationship Id="rId24" Type="http://schemas.openxmlformats.org/officeDocument/2006/relationships/hyperlink" Target="https://docs.bvsalud.org/biblioref/2018/04/882814/276-277-site-28-32.pdf" TargetMode="External"/><Relationship Id="rId23" Type="http://schemas.openxmlformats.org/officeDocument/2006/relationships/hyperlink" Target="https://rsdjournal.org/rsd/article/download/46965/3717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flwprotocol.org/wp-content/uploads/2016/05/FLW-Standard-executive-summary-PORTUGUESE.pdf" TargetMode="External"/><Relationship Id="rId25" Type="http://schemas.openxmlformats.org/officeDocument/2006/relationships/hyperlink" Target="https://www.learningfornature.org/wp-content/uploads/2023/07/FoodWaste_PT.pdf" TargetMode="External"/><Relationship Id="rId28" Type="http://schemas.openxmlformats.org/officeDocument/2006/relationships/hyperlink" Target="https://rsdjournal.org/rsd/article/download/50032/39174/509693" TargetMode="External"/><Relationship Id="rId27" Type="http://schemas.openxmlformats.org/officeDocument/2006/relationships/hyperlink" Target="https://www.researchgate.net/publication/331597825_INDICE_DE_RESTO_INGESTAO_E_SOBRAS_ALIMENTARES_DE_UM_SERVICO_DE_NUTRICAO_E_DIETETICA_LOCALIZADO_NO_SUDOESTE_DO_PARANA" TargetMode="External"/><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hyperlink" Target="https://estacio.periodicoscientificos.com.br/index.php/revistahorus/article/view/1109/967" TargetMode="External"/><Relationship Id="rId7" Type="http://schemas.openxmlformats.org/officeDocument/2006/relationships/image" Target="media/image4.png"/><Relationship Id="rId8" Type="http://schemas.openxmlformats.org/officeDocument/2006/relationships/image" Target="media/image2.png"/><Relationship Id="rId31" Type="http://schemas.openxmlformats.org/officeDocument/2006/relationships/hyperlink" Target="https://www.mastereditora.com.br/download-1524" TargetMode="External"/><Relationship Id="rId30" Type="http://schemas.openxmlformats.org/officeDocument/2006/relationships/hyperlink" Target="https://repositorio.animaeducacao.com.br/bitstreams/6c5fd48d-75a8-4271-aff3-5a6892e5810c/download" TargetMode="External"/><Relationship Id="rId11" Type="http://schemas.openxmlformats.org/officeDocument/2006/relationships/image" Target="media/image1.png"/><Relationship Id="rId33" Type="http://schemas.openxmlformats.org/officeDocument/2006/relationships/hyperlink" Target="https://www1.ibb.unesp.br/Home/Departamentos/Educacao/Simbio-Logias/Avaliacao_indice_de_resto_ingesta_apos_campanha_conscienti.pdf" TargetMode="External"/><Relationship Id="rId10" Type="http://schemas.openxmlformats.org/officeDocument/2006/relationships/image" Target="media/image3.png"/><Relationship Id="rId32" Type="http://schemas.openxmlformats.org/officeDocument/2006/relationships/hyperlink" Target="https://www.teknisa.com/gestao-de-custos/resto-ingesta/" TargetMode="External"/><Relationship Id="rId13" Type="http://schemas.openxmlformats.org/officeDocument/2006/relationships/hyperlink" Target="https://portal.ifrn.edu.br/projetos-de-pesquisa/8951/" TargetMode="External"/><Relationship Id="rId35" Type="http://schemas.openxmlformats.org/officeDocument/2006/relationships/hyperlink" Target="https://pactocontrafome.org/lei-14-016-2020-como-a-doacao-de-excedentes-alimentares-ajuda-a-combater-o-desperdicio-e-a-fome-no-brasil/" TargetMode="External"/><Relationship Id="rId12" Type="http://schemas.openxmlformats.org/officeDocument/2006/relationships/hyperlink" Target="https://www.redalyc.org/pdf/4815/481582753008.pdf" TargetMode="External"/><Relationship Id="rId34" Type="http://schemas.openxmlformats.org/officeDocument/2006/relationships/hyperlink" Target="https://www.migalhas.com.br/depeso/399875/doacao-de-alimentos-e-esg" TargetMode="External"/><Relationship Id="rId15" Type="http://schemas.openxmlformats.org/officeDocument/2006/relationships/hyperlink" Target="https://www.researchgate.net/publication/365333145_Efetividade_de_uma_campanha_para_reducao_de_desperdicio_em_uma_unidade_de_alimentacao_e_nutricao" TargetMode="External"/><Relationship Id="rId37" Type="http://schemas.openxmlformats.org/officeDocument/2006/relationships/hyperlink" Target="https://www.migalhas.com.br/depeso/333165/lei-14-016-de-2020-e-a-doacao-de-alimentos-por-parte-dos-restaurantes-e-afins" TargetMode="External"/><Relationship Id="rId14" Type="http://schemas.openxmlformats.org/officeDocument/2006/relationships/hyperlink" Target="https://www.periodicojs.com.br/index.php/gei/article/download/2716/2766" TargetMode="External"/><Relationship Id="rId36" Type="http://schemas.openxmlformats.org/officeDocument/2006/relationships/hyperlink" Target="http://www.planalto.gov.br/ccivil_03/_ato2019-2022/2020/lei/L14016.htm" TargetMode="External"/><Relationship Id="rId17" Type="http://schemas.openxmlformats.org/officeDocument/2006/relationships/hyperlink" Target="https://www.redalyc.org/pdf/260/26024221001.pdf" TargetMode="External"/><Relationship Id="rId39" Type="http://schemas.openxmlformats.org/officeDocument/2006/relationships/hyperlink" Target="https://www.sustentarewipis.com.br/wp-content/uploads/artigos/2023/760923.pdf" TargetMode="External"/><Relationship Id="rId16" Type="http://schemas.openxmlformats.org/officeDocument/2006/relationships/hyperlink" Target="https://repositorio.pucgoias.edu.br/jspui/bitstream/123456789/2897/1/LARISSA%20SAYURI%20AKITAYA%20_%20VERS%C3%83O%20FINAL.pdf" TargetMode="External"/><Relationship Id="rId38" Type="http://schemas.openxmlformats.org/officeDocument/2006/relationships/hyperlink" Target="https://pt.scribd.com/document/865585484/Gestao-ambiental-em-UAN" TargetMode="External"/><Relationship Id="rId19" Type="http://schemas.openxmlformats.org/officeDocument/2006/relationships/hyperlink" Target="https://revistas.unilago.edu.br/index.php/revista-cientifica/article/view/306/497" TargetMode="External"/><Relationship Id="rId18" Type="http://schemas.openxmlformats.org/officeDocument/2006/relationships/hyperlink" Target="http://www.repositorio-bc.unirio.br:8080/xmlui/bitstream/handle/unirio/13900/TCC%20-%20VICTORIA%20FAVORITO%20SCIAMMARELLA%20RIBEIRO.pdf?sequence=1&amp;isAllowed=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