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Otimização Matemática em Políticas Públicas de Alimentação: Tradução de Diretrizes Nutricionais em Restrições de Programação Algorítmica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intersecção entre a ciência da nutrição, as políticas públicas regulatórias e a pesquisa operacional representa um dos campos mais intrincados e fascinantes da ciência de dados contemporânea. A formulação de cardápios, historicamente tratada como uma prática empírica e fundamentalmente humana, fundamentada na intuição e na experiência do nutricionista, transmutou-se em um rigoroso problema de otimização matemática. A gênese dessa transformação remonta à década de 1930 e culminou na clássica formulação do "Problema da Dieta" (The Diet Problem) pelo economista George Stigler em 1945. O objetivo original era determinar a combinação exata de alimentos que satisfizesse as necessidades nutricionais básicas de um soldado ao menor custo financeiro possível. Naquela época, a resolução do modelo de Stigler, que continha 77 variáveis (alimentos) e nove restrições nutricionais, exigiu cento e vinte dias de trabalho manual utilizando calculadoras de mesa antes da aplicação pioneira do método Simplex por Jack Laderman em 1947 (STIGLER, 1945; GASS, 1970).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cenário atual, o escopo da otimização dietética transcende exponencialmente a premissa de sobrevivência a baixo custo. A consolidação de aparatos regulatórios estatais, o avanço na compreensão das vias metabólicas das doenças crônicas não transmissíveis (DCNTs) e a complexificação das cadeias de suprimentos exigem que os algoritmos de planejamento de cardápios processem milhares de variáveis simultâneas. Tais algoritmos devem traduzir legislações rigorosas, como as diretrizes do Programa de Alimentação do Trabalhador (PAT) e do Programa Nacional de Alimentação Escolar (PNAE) no Brasil, além de incorporar os pilares globais estabelecidos pelas Dietary Reference Intakes (DRIs) e pelas recomendações da Organização Mundial da Saúde (OMS) (BRASIL, 2006; FNDE, 2020; IOM, 2000).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presente documento oferece uma análise exaustiva e pormenorizada de como os parâmetros biológicos e jurídicos são convertidos em inequações, equações de balanço e vetores direcionais dentro de modelos de Programação Linear (PL), Programação Linear Inteira Mista (MILP - Mixed Integer Linear Programming) e Programação por Metas (Goal Programming). A análise estende-se, ainda, à modelagem matemática de dietas terapêuticas de alta complexidade para populações específicas, com ênfase nas restrições algorítmicas necessárias para o manejo do Diabetes Mellitus Tipo 2 e da Hipertensão Arterial Sistêmica.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Matemática da Otimização Dietética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as normativas legais e os parâmetros bioquímicos sejam compreendidos por um motor de inferência algorítmica (Solver), eles devem ser invariavelmente traduzidos para a linguagem da álgebra linear. O alicerce de qualquer sistema automatizado de planejamento de cardápios é um modelo de otimização que busca minimizar ou maximizar uma função objetivo, sujeita a um poliedro de restrições delineado pelas necessidades nutricionais.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sua estrutura primária, um modelo de Programação Linear aplicado à nutrição define-se pelos seguintes componentes: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Variáveis de Decisão (</w:t>
      </w:r>
      <w:r w:rsidDel="00000000" w:rsidR="00000000" w:rsidRPr="00000000">
        <w:rPr>
          <w:rFonts w:ascii="Google Sans" w:cs="Google Sans" w:eastAsia="Google Sans" w:hAnsi="Google Sans"/>
          <w:b w:val="1"/>
          <w:bCs w:val="1"/>
          <w:color w:val="1f1f1f"/>
        </w:rPr>
        <w:drawing>
          <wp:inline distB="19050" distT="19050" distL="19050" distR="19050">
            <wp:extent cx="175220" cy="240116"/>
            <wp:effectExtent b="0" l="0" r="0" t="0"/>
            <wp:docPr id="5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20" cy="24011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Representam a quantidade exata a ser prescrita de cada alimento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5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contido no banco de dados do sistema (a Tabela de Composição de Alimentos).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Parâmetros Constantes (</w:t>
      </w:r>
      <w:r w:rsidDel="00000000" w:rsidR="00000000" w:rsidRPr="00000000">
        <w:rPr>
          <w:rFonts w:ascii="Google Sans" w:cs="Google Sans" w:eastAsia="Google Sans" w:hAnsi="Google Sans"/>
          <w:b w:val="1"/>
          <w:bCs w:val="1"/>
          <w:color w:val="1f1f1f"/>
        </w:rPr>
        <w:drawing>
          <wp:inline distB="19050" distT="19050" distL="19050" distR="19050">
            <wp:extent cx="149522" cy="230514"/>
            <wp:effectExtent b="0" l="0" r="0" t="0"/>
            <wp:docPr id="55"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49522" cy="23051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 </w:t>
      </w:r>
      <w:r w:rsidDel="00000000" w:rsidR="00000000" w:rsidRPr="00000000">
        <w:rPr>
          <w:rFonts w:ascii="Google Sans" w:cs="Google Sans" w:eastAsia="Google Sans" w:hAnsi="Google Sans"/>
          <w:b w:val="1"/>
          <w:bCs w:val="1"/>
          <w:color w:val="1f1f1f"/>
        </w:rPr>
        <w:drawing>
          <wp:inline distB="19050" distT="19050" distL="19050" distR="19050">
            <wp:extent cx="211832" cy="237509"/>
            <wp:effectExtent b="0" l="0" r="0" t="0"/>
            <wp:docPr id="58"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211832" cy="2375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O parâmetro </w:t>
      </w:r>
      <w:r w:rsidDel="00000000" w:rsidR="00000000" w:rsidRPr="00000000">
        <w:rPr>
          <w:rFonts w:ascii="Google Sans" w:cs="Google Sans" w:eastAsia="Google Sans" w:hAnsi="Google Sans"/>
          <w:color w:val="1f1f1f"/>
        </w:rPr>
        <w:drawing>
          <wp:inline distB="19050" distT="19050" distL="19050" distR="19050">
            <wp:extent cx="149522" cy="230514"/>
            <wp:effectExtent b="0" l="0" r="0" t="0"/>
            <wp:docPr id="5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49522" cy="230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atua como o coeficiente de custo (seja ele financeiro, de pegada de carbono, ou de desvio do padrão cultural) associado a uma unidade do alimento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6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parâmetro </w:t>
      </w:r>
      <w:r w:rsidDel="00000000" w:rsidR="00000000" w:rsidRPr="00000000">
        <w:rPr>
          <w:rFonts w:ascii="Google Sans" w:cs="Google Sans" w:eastAsia="Google Sans" w:hAnsi="Google Sans"/>
          <w:color w:val="1f1f1f"/>
        </w:rPr>
        <w:drawing>
          <wp:inline distB="19050" distT="19050" distL="19050" distR="19050">
            <wp:extent cx="211832" cy="237509"/>
            <wp:effectExtent b="0" l="0" r="0" t="0"/>
            <wp:docPr id="61"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211832" cy="237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a concentração intrínseca do nutriente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67"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presente em uma unidade do alimento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6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Função Objetivo (</w:t>
      </w:r>
      <w:r w:rsidDel="00000000" w:rsidR="00000000" w:rsidRPr="00000000">
        <w:rPr>
          <w:rFonts w:ascii="Google Sans" w:cs="Google Sans" w:eastAsia="Google Sans" w:hAnsi="Google Sans"/>
          <w:b w:val="1"/>
          <w:bCs w:val="1"/>
          <w:color w:val="1f1f1f"/>
        </w:rPr>
        <w:drawing>
          <wp:inline distB="19050" distT="19050" distL="19050" distR="19050">
            <wp:extent cx="139105" cy="233949"/>
            <wp:effectExtent b="0" l="0" r="0" t="0"/>
            <wp:docPr id="72"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139105" cy="23394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diretriz direcional do algoritmo. Na formulação clássica, busca-se minimizar o custo total da dieta: </w:t>
      </w:r>
      <w:r w:rsidDel="00000000" w:rsidR="00000000" w:rsidRPr="00000000">
        <w:rPr>
          <w:rFonts w:ascii="Google Sans" w:cs="Google Sans" w:eastAsia="Google Sans" w:hAnsi="Google Sans"/>
          <w:color w:val="1f1f1f"/>
        </w:rPr>
        <w:drawing>
          <wp:inline distB="19050" distT="19050" distL="19050" distR="19050">
            <wp:extent cx="1507922" cy="248139"/>
            <wp:effectExtent b="0" l="0" r="0" t="0"/>
            <wp:docPr id="68"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1507922" cy="248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Contudo, em modelagens modernas para saúde pública, a função objetivo frequentemente busca minimizar o desvio quadrático ou absoluto em relação ao hábito alimentar padrão da população, maximizando a aceitabilidade e a palatabilidade (BENVENUTI; DE SANTIS, 2020).</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Restrições Nutricionais (Constraints):</w:t>
      </w:r>
      <w:r w:rsidDel="00000000" w:rsidR="00000000" w:rsidRPr="00000000">
        <w:rPr>
          <w:rFonts w:ascii="Google Sans" w:cs="Google Sans" w:eastAsia="Google Sans" w:hAnsi="Google Sans"/>
          <w:color w:val="1f1f1f"/>
          <w:rtl w:val="0"/>
        </w:rPr>
        <w:t xml:space="preserve"> O conjunto de inequações que garante a sobrevivência biológica e a conformidade legal. Estruturam-se como limites inferiores (Lower Bounds), denotados por </w:t>
      </w:r>
      <w:r w:rsidDel="00000000" w:rsidR="00000000" w:rsidRPr="00000000">
        <w:rPr>
          <w:rFonts w:ascii="Google Sans" w:cs="Google Sans" w:eastAsia="Google Sans" w:hAnsi="Google Sans"/>
          <w:color w:val="1f1f1f"/>
        </w:rPr>
        <w:drawing>
          <wp:inline distB="19050" distT="19050" distL="19050" distR="19050">
            <wp:extent cx="1272283" cy="246861"/>
            <wp:effectExtent b="0" l="0" r="0" t="0"/>
            <wp:docPr id="70"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1272283" cy="246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limites superiores (Upper Bounds), denotados por </w:t>
      </w:r>
      <w:r w:rsidDel="00000000" w:rsidR="00000000" w:rsidRPr="00000000">
        <w:rPr>
          <w:rFonts w:ascii="Google Sans" w:cs="Google Sans" w:eastAsia="Google Sans" w:hAnsi="Google Sans"/>
          <w:color w:val="1f1f1f"/>
        </w:rPr>
        <w:drawing>
          <wp:inline distB="19050" distT="19050" distL="19050" distR="19050">
            <wp:extent cx="1272683" cy="246938"/>
            <wp:effectExtent b="0" l="0" r="0" t="0"/>
            <wp:docPr id="7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1272683" cy="246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onde </w:t>
      </w:r>
      <w:r w:rsidDel="00000000" w:rsidR="00000000" w:rsidRPr="00000000">
        <w:rPr>
          <w:rFonts w:ascii="Google Sans" w:cs="Google Sans" w:eastAsia="Google Sans" w:hAnsi="Google Sans"/>
          <w:color w:val="1f1f1f"/>
        </w:rPr>
        <w:drawing>
          <wp:inline distB="19050" distT="19050" distL="19050" distR="19050">
            <wp:extent cx="179288" cy="236916"/>
            <wp:effectExtent b="0" l="0" r="0" t="0"/>
            <wp:docPr id="75"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179288" cy="236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color w:val="1f1f1f"/>
        </w:rPr>
        <w:drawing>
          <wp:inline distB="19050" distT="19050" distL="19050" distR="19050">
            <wp:extent cx="179685" cy="237441"/>
            <wp:effectExtent b="0" l="0" r="0" t="0"/>
            <wp:docPr id="77"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179685" cy="2374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são os limiares mínimos e máximos da recomendação para o nutriente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79"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da teoria para a prática em cozinhas institucionais revela que a Programação Linear contínua é insuficiente. O modelo contínuo pressupõe que qualquer alimento pode ser fracionado infinitamente, o que geraria prescrições inexequíveis, como a oferta de 0,42 unidades de maçã ou 1,73 fatias de pão. Consequentemente, o estado da arte emprega a Programação Linear Inteira Mista (MILP), na qual certos alimentos são designados como variáveis inteiras (</w:t>
      </w:r>
      <w:r w:rsidDel="00000000" w:rsidR="00000000" w:rsidRPr="00000000">
        <w:rPr>
          <w:rFonts w:ascii="Google Sans" w:cs="Google Sans" w:eastAsia="Google Sans" w:hAnsi="Google Sans"/>
          <w:color w:val="1f1f1f"/>
        </w:rPr>
        <w:drawing>
          <wp:inline distB="19050" distT="19050" distL="19050" distR="19050">
            <wp:extent cx="697805" cy="236870"/>
            <wp:effectExtent b="0" l="0" r="0" t="0"/>
            <wp:docPr id="81"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697805" cy="236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enquanto itens servidos a granel, como arroz, feijão ou líquidos, permanecem no domínio contínuo (</w:t>
      </w:r>
      <w:r w:rsidDel="00000000" w:rsidR="00000000" w:rsidRPr="00000000">
        <w:rPr>
          <w:rFonts w:ascii="Google Sans" w:cs="Google Sans" w:eastAsia="Google Sans" w:hAnsi="Google Sans"/>
          <w:color w:val="1f1f1f"/>
        </w:rPr>
        <w:drawing>
          <wp:inline distB="19050" distT="19050" distL="19050" distR="19050">
            <wp:extent cx="707926" cy="235975"/>
            <wp:effectExtent b="0" l="0" r="0" t="0"/>
            <wp:docPr id="82"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707926" cy="235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(SPAK; COLMENERO, 2021). A introdução da restrição de integralidade transforma o espaço de soluções de um poliedro convexo para um reticulado discreto, elevando exponencialmente a complexidade computacional (tornando o problema NP-difícil), mas garantindo que o cardápio resultante seja diretamente aplicável na prática do serviço de alimentação (SCHAYNOVÁ, 2017).</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Modelagem de Restrições Regulatórias: O Programa de Alimentação do Trabalhador (PAT)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Programa de Alimentação do Trabalhador (PAT), criado pela Lei nº 6.321/1976 e regulamentado contemporaneamente pelo Decreto nº 10.854/2021 e pelas disposições técnicas da Portaria Interministerial nº 66/2006 (e atualizações como a Portaria nº 6.637/2023), tem como escopo a melhoria do estado nutricional dos trabalhadores brasileiros, visando a promoção da saúde, a prevenção de doenças ocupacionais e a mitigação de DCNTs (BRASIL, 2006; BRASIL, 2021).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Estudos que analisam empiricamente Unidades de Alimentação e Nutrição (UANs) demonstram que o planejamento manual frequentemente falha em atender às complexas exigências do PAT. Uma avaliação quantitativa conduzida por Silveira e Uchida (2024) revelou que, na ausência de planejamento otimizado por software, cardápios institucionais chegam a ultrapassar em 147,5% o limite máximo recomendado de proteínas, caracterizando um grave desequilíbrio metabólico, financeiro e ambiental. A automação matemática dessas regras exige a codificação de três blocos primários de restrições: limites calóricos absolutos, distribuição percentual de macronutrientes e a complexa qualificação proteica através do índice NDpCal (SILVEIRA; UCHIDA, 2024).</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Parametrização Calórica e Balanceamento Percentual de Macronutrientes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arcabouço normativo do PAT estipula que as refeições principais (almoço, jantar ou ceia) devem fornecer um Valor Energético Total (VET) situado na janela restrita de 600 a 800 quilocalorias (kcal). Esta janela de 200 kcal atua como um Lower Bound e um Upper Bound diretos sobre a somatória de energia do cardápio. É facultado ao profissional um acréscimo de até 20% (alcançando 960 kcal) para populações com atividades laborais que demandem gasto energético intenso (BRASIL, 2006).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a seguir sistematiza as restrições algorítmicas de macronutrientes e calorias requeridas pela legislação do PAT para uma refeição principal padrão: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Parâmetro Nutricional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Limite Inferior (Lower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Limite Superior (Upper Bound)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Coeficiente Calórico Atribuído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Energético (VET)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kcal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kcal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Carboidratos (CHO)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do 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do 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kcal/g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Proteínas (PTN)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do 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do 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kcal/g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Lipídios (LIP)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do 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do 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kcal/g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Gordura Saturada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do 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 do 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kcal/g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Fibras Alimentares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Sódio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transposição das restrições percentuais para a formulação matemática não pode ser realizada de forma estática (hard-coding), pois o VET da refeição otimizada é uma variável desconhecida antes da resolução do modelo — podendo o algoritmo encontrar uma solução ótima em 650 kcal ou em 780 kcal. Consequentemente, a modelagem de programação linear deve atrelar a restrição de macronutrientes dinamicamente à variável endógena de energia total.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Seja </w:t>
      </w:r>
      <w:r w:rsidDel="00000000" w:rsidR="00000000" w:rsidRPr="00000000">
        <w:rPr>
          <w:rFonts w:ascii="Google Sans" w:cs="Google Sans" w:eastAsia="Google Sans" w:hAnsi="Google Sans"/>
          <w:color w:val="1f1f1f"/>
        </w:rPr>
        <w:drawing>
          <wp:inline distB="19050" distT="19050" distL="19050" distR="19050">
            <wp:extent cx="205780" cy="230723"/>
            <wp:effectExtent b="0" l="0" r="0" t="0"/>
            <wp:docPr id="83"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205780" cy="2307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valor calórico por porção do alimento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8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restrição percentual de carboidratos (CHO), que fornecem metabolicamente 4 kcal por grama, é desdobrada em duas inequações simultâneas:</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Restrição Inferior Dinâmica (Mínimo de 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53050" cy="863600"/>
            <wp:effectExtent b="0" l="0" r="0" t="0"/>
            <wp:docPr id="38"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35305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Restrição Superior Dinâmica (Máximo de 75%):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53050" cy="863600"/>
            <wp:effectExtent b="0" l="0" r="0" t="0"/>
            <wp:docPr id="40"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35305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reordenar os termos para manter as variáveis de decisão no lado esquerdo da inequação (prática padrão em linguagens de modelagem algébrica como AMPL ou GAMS), a restrição de limite inferior, por exemplo, assume a forma linear final: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63600"/>
            <wp:effectExtent b="0" l="0" r="0" t="0"/>
            <wp:docPr id="42" name="image55.png"/>
            <a:graphic>
              <a:graphicData uri="http://schemas.openxmlformats.org/drawingml/2006/picture">
                <pic:pic>
                  <pic:nvPicPr>
                    <pic:cNvPr id="0" name="image55.png"/>
                    <pic:cNvPicPr preferRelativeResize="0"/>
                  </pic:nvPicPr>
                  <pic:blipFill>
                    <a:blip r:embed="rId22"/>
                    <a:srcRect b="0" l="0" r="0" t="0"/>
                    <a:stretch>
                      <a:fillRect/>
                    </a:stretch>
                  </pic:blipFill>
                  <pic:spPr>
                    <a:xfrm>
                      <a:off x="0" y="0"/>
                      <a:ext cx="5715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formato garante que o algoritmo ajuste continuamente a gramatura dos itens (</w:t>
      </w:r>
      <w:r w:rsidDel="00000000" w:rsidR="00000000" w:rsidRPr="00000000">
        <w:rPr>
          <w:rFonts w:ascii="Google Sans" w:cs="Google Sans" w:eastAsia="Google Sans" w:hAnsi="Google Sans"/>
          <w:color w:val="1f1f1f"/>
        </w:rPr>
        <w:drawing>
          <wp:inline distB="19050" distT="19050" distL="19050" distR="19050">
            <wp:extent cx="175220" cy="240116"/>
            <wp:effectExtent b="0" l="0" r="0" t="0"/>
            <wp:docPr id="4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20" cy="240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forma que a matriz resultante nunca viole a proporção exigida, assegurando a obediência cega à legislação federal (XAVIER et al., 2023).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Desafio Matemático e Bioquímico do NDpCal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diretriz mais complexa do PAT sob a ótica da ciência de dados e da engenharia de software é a exigência do NDpCal (Net Dietary Protein Calories), que deve figurar compulsoriamente entre 6% e 10% do Valor Energético Total da refeição (BRASIL, 2006). O NDpCal não é uma simples contagem de gramas; é um índice de qualidade nutricional que avalia a retenção efetiva de nitrogênio no organismo, ponderando a digestibilidade e o perfil de aminoácidos essenciais das fontes proteicas selecionadas pelo algoritmo.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fundamentação bioquímica do NDpCal baseia-se na constatação de que proteínas de diferentes fontes não possuem o mesmo valor biológico. A proteína da carne bovina contém um espectro completo de aminoácidos essenciais com alta biodisponibilidade, enquanto a proteína vegetal do feijão apresenta fatores antinutricionais e aminoácidos limitantes (como a metionina). Para refletir essa discrepância, utiliza-se um coeficiente multiplicador denominado Fator de Utilização da Proteína (NPU - Net Protein Utilization). Na construção do banco de dados relacional para o software de otimização, cada alimento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4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deve possuir seu respectivo fator </w:t>
      </w:r>
      <w:r w:rsidDel="00000000" w:rsidR="00000000" w:rsidRPr="00000000">
        <w:rPr>
          <w:rFonts w:ascii="Google Sans" w:cs="Google Sans" w:eastAsia="Google Sans" w:hAnsi="Google Sans"/>
          <w:color w:val="1f1f1f"/>
        </w:rPr>
        <w:drawing>
          <wp:inline distB="19050" distT="19050" distL="19050" distR="19050">
            <wp:extent cx="487759" cy="237462"/>
            <wp:effectExtent b="0" l="0" r="0" t="0"/>
            <wp:docPr id="48"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87759" cy="237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alimentos de origem animal recebem fatores elevados (</w:t>
      </w:r>
      <w:r w:rsidDel="00000000" w:rsidR="00000000" w:rsidRPr="00000000">
        <w:rPr>
          <w:rFonts w:ascii="Google Sans" w:cs="Google Sans" w:eastAsia="Google Sans" w:hAnsi="Google Sans"/>
          <w:color w:val="1f1f1f"/>
        </w:rPr>
        <w:drawing>
          <wp:inline distB="19050" distT="19050" distL="19050" distR="19050">
            <wp:extent cx="522585" cy="216682"/>
            <wp:effectExtent b="0" l="0" r="0" t="0"/>
            <wp:docPr id="50"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522585" cy="216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27918" cy="218612"/>
            <wp:effectExtent b="0" l="0" r="0" t="0"/>
            <wp:docPr id="51"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327918" cy="218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enquanto leguminosas e cereais recebem fatores menores (</w:t>
      </w:r>
      <w:r w:rsidDel="00000000" w:rsidR="00000000" w:rsidRPr="00000000">
        <w:rPr>
          <w:rFonts w:ascii="Google Sans" w:cs="Google Sans" w:eastAsia="Google Sans" w:hAnsi="Google Sans"/>
          <w:color w:val="1f1f1f"/>
        </w:rPr>
        <w:drawing>
          <wp:inline distB="19050" distT="19050" distL="19050" distR="19050">
            <wp:extent cx="522585" cy="216682"/>
            <wp:effectExtent b="0" l="0" r="0" t="0"/>
            <wp:docPr id="52" name="image62.png"/>
            <a:graphic>
              <a:graphicData uri="http://schemas.openxmlformats.org/drawingml/2006/picture">
                <pic:pic>
                  <pic:nvPicPr>
                    <pic:cNvPr id="0" name="image62.png"/>
                    <pic:cNvPicPr preferRelativeResize="0"/>
                  </pic:nvPicPr>
                  <pic:blipFill>
                    <a:blip r:embed="rId26"/>
                    <a:srcRect b="0" l="0" r="0" t="0"/>
                    <a:stretch>
                      <a:fillRect/>
                    </a:stretch>
                  </pic:blipFill>
                  <pic:spPr>
                    <a:xfrm>
                      <a:off x="0" y="0"/>
                      <a:ext cx="522585" cy="216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27918" cy="218612"/>
            <wp:effectExtent b="0" l="0" r="0" t="0"/>
            <wp:docPr id="53"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327918" cy="218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fórmula conceitual para calcular a porcentagem do NDpCal de uma dieta é uma razão fracionária: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85800"/>
            <wp:effectExtent b="0" l="0" r="0" t="0"/>
            <wp:docPr id="1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15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 se traduz algebricamente como: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06450"/>
            <wp:effectExtent b="0" l="0" r="0" t="0"/>
            <wp:docPr id="1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15000" cy="8064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ponto de vista da pesquisa operacional, esta equação representa um obstáculo formidável: ela é uma restrição não-linear, consistindo na divisão de duas variáveis endógenas dependentes de </w:t>
      </w:r>
      <w:r w:rsidDel="00000000" w:rsidR="00000000" w:rsidRPr="00000000">
        <w:rPr>
          <w:rFonts w:ascii="Google Sans" w:cs="Google Sans" w:eastAsia="Google Sans" w:hAnsi="Google Sans"/>
          <w:color w:val="1f1f1f"/>
        </w:rPr>
        <w:drawing>
          <wp:inline distB="19050" distT="19050" distL="19050" distR="19050">
            <wp:extent cx="175220" cy="240116"/>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20" cy="240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Algoritmos baseados no Método Simplex, utilizados em Programação Linear Inteira Mista (MILP), são estruturalmente incapazes de processar curvaturas não-lineares. Se esta equação for inserida diretamente no Solver, o modelo será classificado como um problema de Programação Não-Linear Fracionária (MINLP), resultando em tempos de processamento computacional proibitivos (podendo levar horas para gerar um único cardápio) ou na convergência para ótimos locais inadequados (MOREIRA et al., 2017).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solução elegante encontrada pelos cientistas de dados consiste em aplicar uma técnica de </w:t>
      </w:r>
      <w:r w:rsidDel="00000000" w:rsidR="00000000" w:rsidRPr="00000000">
        <w:rPr>
          <w:rFonts w:ascii="Google Sans" w:cs="Google Sans" w:eastAsia="Google Sans" w:hAnsi="Google Sans"/>
          <w:b w:val="1"/>
          <w:bCs w:val="1"/>
          <w:color w:val="1f1f1f"/>
          <w:rtl w:val="0"/>
        </w:rPr>
        <w:t xml:space="preserve">linearização algébrica</w:t>
      </w:r>
      <w:r w:rsidDel="00000000" w:rsidR="00000000" w:rsidRPr="00000000">
        <w:rPr>
          <w:rFonts w:ascii="Google Sans" w:cs="Google Sans" w:eastAsia="Google Sans" w:hAnsi="Google Sans"/>
          <w:color w:val="1f1f1f"/>
          <w:rtl w:val="0"/>
        </w:rPr>
        <w:t xml:space="preserve">. Transforma-se a restrição fracionária em uma inequação linear simples através da multiplicação cruzada e isolamento dos termos. Para impor o limite regulatório inferior de que o NDpCal deve ser maior ou igual a 6% (</w:t>
      </w:r>
      <w:r w:rsidDel="00000000" w:rsidR="00000000" w:rsidRPr="00000000">
        <w:rPr>
          <w:rFonts w:ascii="Google Sans" w:cs="Google Sans" w:eastAsia="Google Sans" w:hAnsi="Google Sans"/>
          <w:color w:val="1f1f1f"/>
        </w:rPr>
        <w:drawing>
          <wp:inline distB="19050" distT="19050" distL="19050" distR="19050">
            <wp:extent cx="327918" cy="218612"/>
            <wp:effectExtent b="0" l="0" r="0" t="0"/>
            <wp:docPr id="2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27918" cy="218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inequação: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06450"/>
            <wp:effectExtent b="0" l="0" r="0" t="0"/>
            <wp:docPr id="2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15000" cy="8064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 reescrita subtraindo o denominador ponderado, gerando a seguinte restrição algorítmica linearizada para o código fonte: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63600"/>
            <wp:effectExtent b="0" l="0" r="0" t="0"/>
            <wp:docPr id="27"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715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Analogamente, para o teto regulatório de 10% (</w:t>
      </w:r>
      <w:r w:rsidDel="00000000" w:rsidR="00000000" w:rsidRPr="00000000">
        <w:rPr>
          <w:rFonts w:ascii="Google Sans" w:cs="Google Sans" w:eastAsia="Google Sans" w:hAnsi="Google Sans"/>
          <w:color w:val="1f1f1f"/>
        </w:rPr>
        <w:drawing>
          <wp:inline distB="19050" distT="19050" distL="19050" distR="19050">
            <wp:extent cx="327918" cy="218612"/>
            <wp:effectExtent b="0" l="0" r="0" t="0"/>
            <wp:docPr id="29"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327918" cy="218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limite superior é codificado como: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63600"/>
            <wp:effectExtent b="0" l="0" r="0" t="0"/>
            <wp:docPr id="30"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15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inserção destas duas equações lineares no motor de otimização garante que o software avalie milhões de permutações de alimentos por segundo, descartando instantaneamente qualquer matriz de refeição que não respeite o rigoroso balanço de nitrogênio exigido pelo Ministério do Trabalho, permitindo a geração de cardápios conformes em frações de segundo (GOMES et al., 2012; SUFAHANI; ISMAIL, 2014).</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Engenharia de Restrições no Programa Nacional de Alimentação Escolar (PNAE)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Programa Nacional de Alimentação Escolar (PNAE) é reconhecido mundialmente como uma política pública de vanguarda não apenas por sua magnitude — atendendo dezenas de milhões de escolares diariamente —, mas pela sua intrincada sofisticação nutricional. A partir da Resolução CD/FNDE nº 6, de 8 de maio de 2020, e de suas sucessivas atualizações (como a Resolução FNDE nº 3/2025), o PNAE realizou uma mudança de paradigma: abandonou-se a visão reducionista que focava puramente em balanços de nutrientes isolados, adotando-se um escopo sistêmico baseado na Classificação NOVA, que categoriza os alimentos pelo seu grau de processamento industrial (FNDE, 2020; FNDE, 2025).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programação matemática para o PNAE requer a modelagem de estruturas tridimensionais, onde a matriz de decisão varia não apenas em função do alimento, mas cruza dados com a variável da faixa etária atendida (creche, pré-escola, ensino fundamental, médio) e com o regime de tempo (parcial ou integral).</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Limites Absolutos de Macronutrientes e Sódio (Upper Bounds Dinâmicos e Estáticos)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legislação atualizada impõe limites superiores (Upper Bounds) draconianos visando a contenção da epidemia de obesidade infantil e do desenvolvimento precoce de síndrome metabólica. Para escolares com mais de três anos de idade, o Artigo 19 da Resolução nº 6/2020 fixa restrições proporcionais rigorosas para a energia advinda de compostos inflamatórios e de rápida absorção (FNDE, 2020).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algoritmos devem ser parametrizados com as seguintes inequações limitantes: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Gorduras Totais:</w:t>
      </w:r>
      <w:r w:rsidDel="00000000" w:rsidR="00000000" w:rsidRPr="00000000">
        <w:rPr>
          <w:rFonts w:ascii="Google Sans" w:cs="Google Sans" w:eastAsia="Google Sans" w:hAnsi="Google Sans"/>
          <w:color w:val="1f1f1f"/>
          <w:rtl w:val="0"/>
        </w:rPr>
        <w:t xml:space="preserve"> Restrição de janela percentual exigindo que a matriz de cardápio componha entre 15% e 30% da energia total através de lipídios.</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Gorduras Saturadas:</w:t>
      </w:r>
      <w:r w:rsidDel="00000000" w:rsidR="00000000" w:rsidRPr="00000000">
        <w:rPr>
          <w:rFonts w:ascii="Google Sans" w:cs="Google Sans" w:eastAsia="Google Sans" w:hAnsi="Google Sans"/>
          <w:color w:val="1f1f1f"/>
          <w:rtl w:val="0"/>
        </w:rPr>
        <w:t xml:space="preserve"> Limite rígido determinando que a somatória não ultrapasse 10% da energia total (ou 7% em interpretações mais restritivas de parâmetros locais).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Açúcares Simples Adicionados:</w:t>
      </w:r>
      <w:r w:rsidDel="00000000" w:rsidR="00000000" w:rsidRPr="00000000">
        <w:rPr>
          <w:rFonts w:ascii="Google Sans" w:cs="Google Sans" w:eastAsia="Google Sans" w:hAnsi="Google Sans"/>
          <w:color w:val="1f1f1f"/>
          <w:rtl w:val="0"/>
        </w:rPr>
        <w:t xml:space="preserve"> Restrição fundamental estipulando um teto máximo de 7% da energia total proveniente de açúcares adicionados, o que força o solver a penalizar fortemente a inclusão de bebidas adoçadas ou preparações de confeitaria.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restrição de Sódio (</w:t>
      </w:r>
      <w:r w:rsidDel="00000000" w:rsidR="00000000" w:rsidRPr="00000000">
        <w:rPr>
          <w:rFonts w:ascii="Google Sans" w:cs="Google Sans" w:eastAsia="Google Sans" w:hAnsi="Google Sans"/>
          <w:color w:val="1f1f1f"/>
        </w:rPr>
        <w:drawing>
          <wp:inline distB="19050" distT="19050" distL="19050" distR="19050">
            <wp:extent cx="265807" cy="234163"/>
            <wp:effectExtent b="0" l="0" r="0" t="0"/>
            <wp:docPr id="31"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265807" cy="2341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contudo, distancia-se das modelagens percentuais e opera como um teto absoluto em massa (miligramas), escalonado exaustivamente conforme a periodicidade da oferta alimentar da instituição (FNDE, 2020):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Regime de Atendimento Escolar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Período de Permanência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Limite Máximo de Sódio per capita / 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Correspondência em Sal de Cozinha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Parcial (1 refeição diária)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Meio período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gramas de sal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Parcial (2 refeições diárias)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Meio período estendido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gramas de sal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Integral (3 ou mais refeições)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 Integral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gramas de sal</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codificação dessa norma em um script de otimização implica que o lado direito da inequação limitante (</w:t>
      </w:r>
      <w:r w:rsidDel="00000000" w:rsidR="00000000" w:rsidRPr="00000000">
        <w:rPr>
          <w:rFonts w:ascii="Google Sans" w:cs="Google Sans" w:eastAsia="Google Sans" w:hAnsi="Google Sans"/>
          <w:color w:val="1f1f1f"/>
        </w:rPr>
        <w:drawing>
          <wp:inline distB="19050" distT="19050" distL="19050" distR="19050">
            <wp:extent cx="1585713" cy="235628"/>
            <wp:effectExtent b="0" l="0" r="0" t="0"/>
            <wp:docPr id="32"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1585713" cy="235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RHS) atue como uma constante fixa que altera o panorama inteiro do solver dependendo da configuração da escola selecionada no painel de usuário do sistema.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 caso das creches (crianças menores de três anos), as restrições deixam de ser contínuas e tornam-se de natureza booleana estrita. O Artigo 18 proíbe peremptoriamente a oferta de qualquer alimento ultraprocessado, bem como a adição de açúcar, mel ou adoçantes nas preparações (FNDE, 2020). Em termos de modelagem matricial, todos os alimentos pertencentes à categoria "Ultraprocessados" ou "Açúcares" têm suas variáveis restritas a zero absoluto (</w:t>
      </w:r>
      <w:r w:rsidDel="00000000" w:rsidR="00000000" w:rsidRPr="00000000">
        <w:rPr>
          <w:rFonts w:ascii="Google Sans" w:cs="Google Sans" w:eastAsia="Google Sans" w:hAnsi="Google Sans"/>
          <w:color w:val="1f1f1f"/>
        </w:rPr>
        <w:drawing>
          <wp:inline distB="19050" distT="19050" distL="19050" distR="19050">
            <wp:extent cx="513358" cy="234497"/>
            <wp:effectExtent b="0" l="0" r="0" t="0"/>
            <wp:docPr id="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13358" cy="234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Isso cria um </w:t>
      </w:r>
      <w:r w:rsidDel="00000000" w:rsidR="00000000" w:rsidRPr="00000000">
        <w:rPr>
          <w:rFonts w:ascii="Google Sans" w:cs="Google Sans" w:eastAsia="Google Sans" w:hAnsi="Google Sans"/>
          <w:i w:val="1"/>
          <w:iCs w:val="1"/>
          <w:color w:val="1f1f1f"/>
          <w:rtl w:val="0"/>
        </w:rPr>
        <w:t xml:space="preserve">Hard Constraint</w:t>
      </w:r>
      <w:r w:rsidDel="00000000" w:rsidR="00000000" w:rsidRPr="00000000">
        <w:rPr>
          <w:rFonts w:ascii="Google Sans" w:cs="Google Sans" w:eastAsia="Google Sans" w:hAnsi="Google Sans"/>
          <w:color w:val="1f1f1f"/>
          <w:rtl w:val="0"/>
        </w:rPr>
        <w:t xml:space="preserve"> que elimina completamente setores inteiros do banco de dados antes mesmo do processamento do solver iniciar, assegurando o cumprimento integral do veto legislativo.</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Modelagem Financeira da Classificação NOVA e Algoritmos "Big-M" para Diversidade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cerne da inovação matemática no planejamento do PNAE reside nas restrições de aquisição baseadas no grau de processamento e fomento à agricultura familiar. As Resoluções de 2020 e 2025 estabelecem limites percentuais orçamentários inflexíveis para a formulação do cardápio e compra de insumos (FNDE, 2020; FNDE, 2025).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modelagem da função de custo (</w:t>
      </w:r>
      <w:r w:rsidDel="00000000" w:rsidR="00000000" w:rsidRPr="00000000">
        <w:rPr>
          <w:rFonts w:ascii="Google Sans" w:cs="Google Sans" w:eastAsia="Google Sans" w:hAnsi="Google Sans"/>
          <w:color w:val="1f1f1f"/>
        </w:rPr>
        <w:drawing>
          <wp:inline distB="19050" distT="19050" distL="19050" distR="19050">
            <wp:extent cx="201513" cy="240515"/>
            <wp:effectExtent b="0" l="0" r="0" t="0"/>
            <wp:docPr id="3"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201513" cy="240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 dieta passa a sofrer intersecções categóricas. Definindo </w:t>
      </w:r>
      <w:r w:rsidDel="00000000" w:rsidR="00000000" w:rsidRPr="00000000">
        <w:rPr>
          <w:rFonts w:ascii="Google Sans" w:cs="Google Sans" w:eastAsia="Google Sans" w:hAnsi="Google Sans"/>
          <w:color w:val="1f1f1f"/>
        </w:rPr>
        <w:drawing>
          <wp:inline distB="19050" distT="19050" distL="19050" distR="19050">
            <wp:extent cx="406102" cy="234778"/>
            <wp:effectExtent b="0" l="0" r="0" t="0"/>
            <wp:docPr id="4"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406102" cy="234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como o somatório do custo da dieta gerada pelo algoritmo (</w:t>
      </w:r>
      <w:r w:rsidDel="00000000" w:rsidR="00000000" w:rsidRPr="00000000">
        <w:rPr>
          <w:rFonts w:ascii="Google Sans" w:cs="Google Sans" w:eastAsia="Google Sans" w:hAnsi="Google Sans"/>
          <w:color w:val="1f1f1f"/>
        </w:rPr>
        <w:drawing>
          <wp:inline distB="19050" distT="19050" distL="19050" distR="19050">
            <wp:extent cx="735211" cy="236546"/>
            <wp:effectExtent b="0" l="0" r="0" t="0"/>
            <wp:docPr id="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735211" cy="236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programação exige as seguintes inequações limitantes orçamentárias:</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Fomento ao alimento </w:t>
      </w:r>
      <w:r w:rsidDel="00000000" w:rsidR="00000000" w:rsidRPr="00000000">
        <w:rPr>
          <w:rFonts w:ascii="Google Sans" w:cs="Google Sans" w:eastAsia="Google Sans" w:hAnsi="Google Sans"/>
          <w:b w:val="1"/>
          <w:bCs w:val="1"/>
          <w:i w:val="1"/>
          <w:iCs w:val="1"/>
          <w:color w:val="1f1f1f"/>
          <w:rtl w:val="0"/>
        </w:rPr>
        <w:t xml:space="preserve">in natura</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53050" cy="762000"/>
            <wp:effectExtent b="0" l="0" r="0" t="0"/>
            <wp:docPr id="6"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353050" cy="762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Esta equação assegura matematicamente que, independentemente do cardápio gerado, no mínimo 75% dos recursos financeiros consumidos pela solução matemática sejam obrigatoriamente alocados em alimentos frescos ou minimamente processados.</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Penalização do Alimento Ultraprocessado: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53050" cy="781050"/>
            <wp:effectExtent b="0" l="0" r="0" t="0"/>
            <wp:docPr id="7"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353050" cy="781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Atendendo à meta governamental de redução progressiva (diminuição de 20% para 15% conforme a atualização de 2025, visando alcançar 10% em 2026), esta restrição funciona como um limitador econômico severo (FNDE, 2025). O solver é forçado a procurar rotas alternativas de composição calórica que não dependam da facilidade barata dos ultraprocessados.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Restrição de Ingredientes Culinários Processados: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53050" cy="762000"/>
            <wp:effectExtent b="0" l="0" r="0" t="0"/>
            <wp:docPr id="8"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3530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Além das diretrizes financeiras, a Resolução nº 6/2020 determina que a alimentação escolar deva prezar por extrema diversidade agrícola. O texto da lei exige que um cardápio de período integral oferte, no mínimo, 23 tipos diferentes de alimentos </w:t>
      </w:r>
      <w:r w:rsidDel="00000000" w:rsidR="00000000" w:rsidRPr="00000000">
        <w:rPr>
          <w:rFonts w:ascii="Google Sans" w:cs="Google Sans" w:eastAsia="Google Sans" w:hAnsi="Google Sans"/>
          <w:i w:val="1"/>
          <w:iCs w:val="1"/>
          <w:color w:val="1f1f1f"/>
          <w:rtl w:val="0"/>
        </w:rPr>
        <w:t xml:space="preserve">in natura</w:t>
      </w:r>
      <w:r w:rsidDel="00000000" w:rsidR="00000000" w:rsidRPr="00000000">
        <w:rPr>
          <w:rFonts w:ascii="Google Sans" w:cs="Google Sans" w:eastAsia="Google Sans" w:hAnsi="Google Sans"/>
          <w:color w:val="1f1f1f"/>
          <w:rtl w:val="0"/>
        </w:rPr>
        <w:t xml:space="preserve"> ao longo de uma semana (FNDE, 2020).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uma Inteligência Artificial compreenda o conceito de "variedade", a modelagem precisa ir além da contagem de gramas; ela precisa contar </w:t>
      </w:r>
      <w:r w:rsidDel="00000000" w:rsidR="00000000" w:rsidRPr="00000000">
        <w:rPr>
          <w:rFonts w:ascii="Google Sans" w:cs="Google Sans" w:eastAsia="Google Sans" w:hAnsi="Google Sans"/>
          <w:i w:val="1"/>
          <w:iCs w:val="1"/>
          <w:color w:val="1f1f1f"/>
          <w:rtl w:val="0"/>
        </w:rPr>
        <w:t xml:space="preserve">se o alimento foi utilizado</w:t>
      </w:r>
      <w:r w:rsidDel="00000000" w:rsidR="00000000" w:rsidRPr="00000000">
        <w:rPr>
          <w:rFonts w:ascii="Google Sans" w:cs="Google Sans" w:eastAsia="Google Sans" w:hAnsi="Google Sans"/>
          <w:color w:val="1f1f1f"/>
          <w:rtl w:val="0"/>
        </w:rPr>
        <w:t xml:space="preserve">. Isso é resolvido na Programação Inteira através de uma formulação clássica conhecida como restrição </w:t>
      </w:r>
      <w:r w:rsidDel="00000000" w:rsidR="00000000" w:rsidRPr="00000000">
        <w:rPr>
          <w:rFonts w:ascii="Google Sans" w:cs="Google Sans" w:eastAsia="Google Sans" w:hAnsi="Google Sans"/>
          <w:b w:val="1"/>
          <w:bCs w:val="1"/>
          <w:color w:val="1f1f1f"/>
          <w:rtl w:val="0"/>
        </w:rPr>
        <w:t xml:space="preserve">"Big-M"</w:t>
      </w:r>
      <w:r w:rsidDel="00000000" w:rsidR="00000000" w:rsidRPr="00000000">
        <w:rPr>
          <w:rFonts w:ascii="Google Sans" w:cs="Google Sans" w:eastAsia="Google Sans" w:hAnsi="Google Sans"/>
          <w:color w:val="1f1f1f"/>
          <w:rtl w:val="0"/>
        </w:rPr>
        <w:t xml:space="preserve"> (M grande).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cada alimento </w:t>
      </w:r>
      <w:r w:rsidDel="00000000" w:rsidR="00000000" w:rsidRPr="00000000">
        <w:rPr>
          <w:rFonts w:ascii="Google Sans" w:cs="Google Sans" w:eastAsia="Google Sans" w:hAnsi="Google Sans"/>
          <w:i w:val="1"/>
          <w:iCs w:val="1"/>
          <w:color w:val="1f1f1f"/>
          <w:rtl w:val="0"/>
        </w:rPr>
        <w:t xml:space="preserve">in natura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introduz-se uma variável indicadora binária </w:t>
      </w:r>
      <w:r w:rsidDel="00000000" w:rsidR="00000000" w:rsidRPr="00000000">
        <w:rPr>
          <w:rFonts w:ascii="Google Sans" w:cs="Google Sans" w:eastAsia="Google Sans" w:hAnsi="Google Sans"/>
          <w:color w:val="1f1f1f"/>
        </w:rPr>
        <w:drawing>
          <wp:inline distB="19050" distT="19050" distL="19050" distR="19050">
            <wp:extent cx="836513" cy="234477"/>
            <wp:effectExtent b="0" l="0" r="0" t="0"/>
            <wp:docPr id="10"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836513" cy="234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relação entre a quantidade do alimento servida (</w:t>
      </w:r>
      <w:r w:rsidDel="00000000" w:rsidR="00000000" w:rsidRPr="00000000">
        <w:rPr>
          <w:rFonts w:ascii="Google Sans" w:cs="Google Sans" w:eastAsia="Google Sans" w:hAnsi="Google Sans"/>
          <w:color w:val="1f1f1f"/>
        </w:rPr>
        <w:drawing>
          <wp:inline distB="19050" distT="19050" distL="19050" distR="19050">
            <wp:extent cx="175220" cy="240116"/>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20" cy="240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a variável binária é regida pela inequação: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60"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w:t>
      </w:r>
      <w:r w:rsidDel="00000000" w:rsidR="00000000" w:rsidRPr="00000000">
        <w:rPr>
          <w:rFonts w:ascii="Google Sans" w:cs="Google Sans" w:eastAsia="Google Sans" w:hAnsi="Google Sans"/>
          <w:color w:val="1f1f1f"/>
        </w:rPr>
        <w:drawing>
          <wp:inline distB="19050" distT="19050" distL="19050" distR="19050">
            <wp:extent cx="198933" cy="237437"/>
            <wp:effectExtent b="0" l="0" r="0" t="0"/>
            <wp:docPr id="63"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198933" cy="237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um número deliberadamente e suficientemente grande. O funcionamento lógico dessa estrutura matemática é engenhoso: se a quantidade do alimento </w:t>
      </w:r>
      <w:r w:rsidDel="00000000" w:rsidR="00000000" w:rsidRPr="00000000">
        <w:rPr>
          <w:rFonts w:ascii="Google Sans" w:cs="Google Sans" w:eastAsia="Google Sans" w:hAnsi="Google Sans"/>
          <w:color w:val="1f1f1f"/>
        </w:rPr>
        <w:drawing>
          <wp:inline distB="19050" distT="19050" distL="19050" distR="19050">
            <wp:extent cx="175220" cy="240116"/>
            <wp:effectExtent b="0" l="0" r="0" t="0"/>
            <wp:docPr id="6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20" cy="240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superior a zero gramas (ou seja, se o algoritmo decidiu incluir, por exemplo, o "mamão" no cardápio), o valor de </w:t>
      </w:r>
      <w:r w:rsidDel="00000000" w:rsidR="00000000" w:rsidRPr="00000000">
        <w:rPr>
          <w:rFonts w:ascii="Google Sans" w:cs="Google Sans" w:eastAsia="Google Sans" w:hAnsi="Google Sans"/>
          <w:color w:val="1f1f1f"/>
        </w:rPr>
        <w:drawing>
          <wp:inline distB="19050" distT="19050" distL="19050" distR="19050">
            <wp:extent cx="160040" cy="236859"/>
            <wp:effectExtent b="0" l="0" r="0" t="0"/>
            <wp:docPr id="66"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160040" cy="236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forçosamente elevado para </w:t>
      </w:r>
      <w:r w:rsidDel="00000000" w:rsidR="00000000" w:rsidRPr="00000000">
        <w:rPr>
          <w:rFonts w:ascii="Google Sans" w:cs="Google Sans" w:eastAsia="Google Sans" w:hAnsi="Google Sans"/>
          <w:color w:val="1f1f1f"/>
        </w:rPr>
        <w:drawing>
          <wp:inline distB="19050" distT="19050" distL="19050" distR="19050">
            <wp:extent cx="92273" cy="209153"/>
            <wp:effectExtent b="0" l="0" r="0" t="0"/>
            <wp:docPr id="69"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92273" cy="209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que a inequação seja satisfeita. Se </w:t>
      </w:r>
      <w:r w:rsidDel="00000000" w:rsidR="00000000" w:rsidRPr="00000000">
        <w:rPr>
          <w:rFonts w:ascii="Google Sans" w:cs="Google Sans" w:eastAsia="Google Sans" w:hAnsi="Google Sans"/>
          <w:color w:val="1f1f1f"/>
        </w:rPr>
        <w:drawing>
          <wp:inline distB="19050" distT="19050" distL="19050" distR="19050">
            <wp:extent cx="175220" cy="240116"/>
            <wp:effectExtent b="0" l="0" r="0" t="0"/>
            <wp:docPr id="7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20" cy="240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igual a zero, </w:t>
      </w:r>
      <w:r w:rsidDel="00000000" w:rsidR="00000000" w:rsidRPr="00000000">
        <w:rPr>
          <w:rFonts w:ascii="Google Sans" w:cs="Google Sans" w:eastAsia="Google Sans" w:hAnsi="Google Sans"/>
          <w:color w:val="1f1f1f"/>
        </w:rPr>
        <w:drawing>
          <wp:inline distB="19050" distT="19050" distL="19050" distR="19050">
            <wp:extent cx="160040" cy="236859"/>
            <wp:effectExtent b="0" l="0" r="0" t="0"/>
            <wp:docPr id="74"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160040" cy="236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pode assumir o valor </w:t>
      </w:r>
      <w:r w:rsidDel="00000000" w:rsidR="00000000" w:rsidRPr="00000000">
        <w:rPr>
          <w:rFonts w:ascii="Google Sans" w:cs="Google Sans" w:eastAsia="Google Sans" w:hAnsi="Google Sans"/>
          <w:color w:val="1f1f1f"/>
        </w:rPr>
        <w:drawing>
          <wp:inline distB="19050" distT="19050" distL="19050" distR="19050">
            <wp:extent cx="92273" cy="209153"/>
            <wp:effectExtent b="0" l="0" r="0" t="0"/>
            <wp:docPr id="76"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92273" cy="209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para garantir a cota legal de 23 alimentos distintos impostas pela legislação escolar, aplica-se a restrição de contagem absoluta: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62000"/>
            <wp:effectExtent b="0" l="0" r="0" t="0"/>
            <wp:docPr id="78" name="image61.png"/>
            <a:graphic>
              <a:graphicData uri="http://schemas.openxmlformats.org/drawingml/2006/picture">
                <pic:pic>
                  <pic:nvPicPr>
                    <pic:cNvPr id="0" name="image61.png"/>
                    <pic:cNvPicPr preferRelativeResize="0"/>
                  </pic:nvPicPr>
                  <pic:blipFill>
                    <a:blip r:embed="rId50"/>
                    <a:srcRect b="0" l="0" r="0" t="0"/>
                    <a:stretch>
                      <a:fillRect/>
                    </a:stretch>
                  </pic:blipFill>
                  <pic:spPr>
                    <a:xfrm>
                      <a:off x="0" y="0"/>
                      <a:ext cx="5715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convergência dessas variáveis binárias em conjunção com os limites financeiros da Classificação NOVA transforma o planejamento do PNAE em um dos modelos de Programação Linear Inteira Mista (MILP) mais refinados da literatura de nutrição regulatória.</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Dietary Reference Intakes (DRIs) e Recomendações da OMS como Limitantes Algorítmicos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desenvolvimento científico e a precisão dos sistemas automatizados não se sustentam apenas nas diretrizes sociopolíticas federais, mas na base da literatura da bioquímica nutricional global. O pilar fundamental que define os contornos do poliedro de soluções viáveis nos sistemas de planejamento de dietas é o conjunto de valores denominado Dietary Reference Intakes (DRIs), publicadas pelo Food and Nutrition Board do Institute of Medicine (IoM) dos Estados Unidos, e adotadas universalmente pela Organização Mundial da Saúde (OMS) (IOM, 2000).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framework das DRIs divide-se em quatro categorias fundamentais de métricas de ingestão diária, cada uma possuindo um papel distinto na transposição para o ambiente computacional da Programação Linear:</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EAR (Estimated Average Requirement - Necessidade Média Estimada):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Consiste no limiar que supre adequadamente as exigências fisiológicas de 50% dos indivíduos saudáveis de uma determinada faixa etária e gênero (IOM, 2000). No escopo da ciência de dados e otimização prescritiva, a EAR raramente é parametrizada como uma restrição dura (Hard Constraint) na formulação de cardápios individuais, dado o risco matemático de subnutrir a outra metade da população. Ao contrário, a EAR é empregada como vetor de meta preditiva e avaliativa em modelos estatísticos de saúde pública para mapear tendências de insuficiência de grupos demográficos.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RDA (Recommended Dietary Allowance - Ingestão Dietética Recomendada) e AI (Adequate Intake - Ingestão Adequada):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RDA representa o acréscimo de dois desvios-padrão sobre a EAR, estabelecendo o nível suficiente para cobrir as demandas metabólicas de 97% a 98% da população saudável (IOM, 2000). A AI é aplicada em circunstâncias onde a robustez científica é insuficiente para calcular o desvio-padrão da RDA. Na codificação algébrica, tanto a RDA quanto a AI assumem a função estrutural de limite inferior absoluto. Em um algoritmo simplex, qualquer matriz de variáveis que resulte na entrega de nutrientes abaixo do limiar da RDA será fatalmente descartada pela restrição fundamental: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53050" cy="863600"/>
            <wp:effectExtent b="0" l="0" r="0" t="0"/>
            <wp:docPr id="80" name="image57.png"/>
            <a:graphic>
              <a:graphicData uri="http://schemas.openxmlformats.org/drawingml/2006/picture">
                <pic:pic>
                  <pic:nvPicPr>
                    <pic:cNvPr id="0" name="image57.png"/>
                    <pic:cNvPicPr preferRelativeResize="0"/>
                  </pic:nvPicPr>
                  <pic:blipFill>
                    <a:blip r:embed="rId51"/>
                    <a:srcRect b="0" l="0" r="0" t="0"/>
                    <a:stretch>
                      <a:fillRect/>
                    </a:stretch>
                  </pic:blipFill>
                  <pic:spPr>
                    <a:xfrm>
                      <a:off x="0" y="0"/>
                      <a:ext cx="5353050" cy="863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Assim, a RDA ancora o piso nutricional inferior do algoritmo para ferro, cálcio, zinco, tiamina, ácido fólico, entre outros (SPAK; COLMENERO, 2021).</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UL (Tolerable Upper Intake Level - Limite Superior Tolerável):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Define a dose de ingestão crônica mais alta de um micronutriente que presumivelmente não induzirá respostas toxicológicas e reações adversas à saúde (IOM, 2000). O reflexo matemático imediato da UL em códigos otimizadores é atuar como limite de teto. A UL impede que o motor algorítmico, na busca desenfreada por atender às RDA de vitaminas e minerais pelo menor custo possível, selecione hiper-concentrações perigosas provenientes de um único alimento. O limitante superior configura-se como: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53050" cy="863600"/>
            <wp:effectExtent b="0" l="0" r="0" t="0"/>
            <wp:docPr id="59" name="image65.png"/>
            <a:graphic>
              <a:graphicData uri="http://schemas.openxmlformats.org/drawingml/2006/picture">
                <pic:pic>
                  <pic:nvPicPr>
                    <pic:cNvPr id="0" name="image65.png"/>
                    <pic:cNvPicPr preferRelativeResize="0"/>
                  </pic:nvPicPr>
                  <pic:blipFill>
                    <a:blip r:embed="rId52"/>
                    <a:srcRect b="0" l="0" r="0" t="0"/>
                    <a:stretch>
                      <a:fillRect/>
                    </a:stretch>
                  </pic:blipFill>
                  <pic:spPr>
                    <a:xfrm>
                      <a:off x="0" y="0"/>
                      <a:ext cx="535305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abaixo sintetiza a tradução da biologia teórica em arquitetura de dados e otimização algorítmica: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Parâmetro de Referência DRI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Função Biológica / Epidemiológica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Função Estrutural no Algoritmo Matemático (Otimização)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EAR</w:t>
            </w:r>
            <w:r w:rsidDel="00000000" w:rsidR="00000000" w:rsidRPr="00000000">
              <w:rPr>
                <w:rFonts w:ascii="Google Sans" w:cs="Google Sans" w:eastAsia="Google Sans" w:hAnsi="Google Sans"/>
                <w:color w:val="1f1f1f"/>
                <w:rtl w:val="0"/>
              </w:rPr>
              <w:t xml:space="preserve"> (Estimated Average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Cobre 50% das necessidades biológicas da população alvo.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estatística. Usado na Programação por Metas (Goal Programming) como alvo ponderado, mas evitado como limite absoluto individual.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RDA</w:t>
            </w:r>
            <w:r w:rsidDel="00000000" w:rsidR="00000000" w:rsidRPr="00000000">
              <w:rPr>
                <w:rFonts w:ascii="Google Sans" w:cs="Google Sans" w:eastAsia="Google Sans" w:hAnsi="Google Sans"/>
                <w:color w:val="1f1f1f"/>
                <w:rtl w:val="0"/>
              </w:rPr>
              <w:t xml:space="preserve"> (Recommended Dietary Allowance)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Assegura suficiência metabólica para 97,5% da população.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Limite Inferior (Lower Bound) </w:t>
            </w:r>
            <w:r w:rsidDel="00000000" w:rsidR="00000000" w:rsidRPr="00000000">
              <w:rPr>
                <w:rFonts w:ascii="Google Sans" w:cs="Google Sans" w:eastAsia="Google Sans" w:hAnsi="Google Sans"/>
                <w:b w:val="1"/>
                <w:bCs w:val="1"/>
                <w:color w:val="1f1f1f"/>
              </w:rPr>
              <w:drawing>
                <wp:inline distB="19050" distT="19050" distL="19050" distR="19050">
                  <wp:extent cx="143470" cy="221727"/>
                  <wp:effectExtent b="0" l="0" r="0" t="0"/>
                  <wp:docPr id="35"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Impede a geração de dietas deficientes. O desrespeito gera o descarte da solução.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AI</w:t>
            </w:r>
            <w:r w:rsidDel="00000000" w:rsidR="00000000" w:rsidRPr="00000000">
              <w:rPr>
                <w:rFonts w:ascii="Google Sans" w:cs="Google Sans" w:eastAsia="Google Sans" w:hAnsi="Google Sans"/>
                <w:color w:val="1f1f1f"/>
                <w:rtl w:val="0"/>
              </w:rPr>
              <w:t xml:space="preserve"> (Adequate Intake)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Substitui a RDA ante a escassez de dados robustos.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Limite Inferior (Lower Bound) </w:t>
            </w:r>
            <w:r w:rsidDel="00000000" w:rsidR="00000000" w:rsidRPr="00000000">
              <w:rPr>
                <w:rFonts w:ascii="Google Sans" w:cs="Google Sans" w:eastAsia="Google Sans" w:hAnsi="Google Sans"/>
                <w:b w:val="1"/>
                <w:bCs w:val="1"/>
                <w:color w:val="1f1f1f"/>
              </w:rPr>
              <w:drawing>
                <wp:inline distB="19050" distT="19050" distL="19050" distR="19050">
                  <wp:extent cx="143470" cy="221727"/>
                  <wp:effectExtent b="0" l="0" r="0" t="0"/>
                  <wp:docPr id="36"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Exerce mecanicamente a mesma função estrutural da RDA no solver.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UL</w:t>
            </w:r>
            <w:r w:rsidDel="00000000" w:rsidR="00000000" w:rsidRPr="00000000">
              <w:rPr>
                <w:rFonts w:ascii="Google Sans" w:cs="Google Sans" w:eastAsia="Google Sans" w:hAnsi="Google Sans"/>
                <w:color w:val="1f1f1f"/>
                <w:rtl w:val="0"/>
              </w:rPr>
              <w:t xml:space="preserve"> (Tolerable Upper Intake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Prevê o limiar máximo de toxicidade crônica do nutriente.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Limite Superior (Upper Bound) </w:t>
            </w:r>
            <w:r w:rsidDel="00000000" w:rsidR="00000000" w:rsidRPr="00000000">
              <w:rPr>
                <w:rFonts w:ascii="Google Sans" w:cs="Google Sans" w:eastAsia="Google Sans" w:hAnsi="Google Sans"/>
                <w:b w:val="1"/>
                <w:bCs w:val="1"/>
                <w:color w:val="1f1f1f"/>
              </w:rPr>
              <w:drawing>
                <wp:inline distB="19050" distT="19050" distL="19050" distR="19050">
                  <wp:extent cx="143470" cy="221727"/>
                  <wp:effectExtent b="0" l="0" r="0" t="0"/>
                  <wp:docPr id="37"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Impede a saturação sistêmica ou o uso de dosagens supraterapêuticas perigosas.</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Paradoxo da Inviabilidade Ante as Recomendações Críticas da OMS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resposta à ascensão alarmante da obesidade e de patologias do sistema circulatório em todo o planeta, a OMS cunhou diretrizes contundentes de redução extrema para açúcares e sódio, que operam sob o mesmo comportamento de limite superior da UL, porém com </w:t>
      </w:r>
      <w:r w:rsidDel="00000000" w:rsidR="00000000" w:rsidRPr="00000000">
        <w:rPr>
          <w:rFonts w:ascii="Google Sans" w:cs="Google Sans" w:eastAsia="Google Sans" w:hAnsi="Google Sans"/>
          <w:i w:val="1"/>
          <w:iCs w:val="1"/>
          <w:color w:val="1f1f1f"/>
          <w:rtl w:val="0"/>
        </w:rPr>
        <w:t xml:space="preserve">thresholds</w:t>
      </w:r>
      <w:r w:rsidDel="00000000" w:rsidR="00000000" w:rsidRPr="00000000">
        <w:rPr>
          <w:rFonts w:ascii="Google Sans" w:cs="Google Sans" w:eastAsia="Google Sans" w:hAnsi="Google Sans"/>
          <w:color w:val="1f1f1f"/>
          <w:rtl w:val="0"/>
        </w:rPr>
        <w:t xml:space="preserve"> sensivelmente restritivos.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recomendações imperativas da OMS determinam que os açúcares livres representem, idealmente, menos de 5% da ingestão energética, podendo aceitar-se um máximo provisório de 10% (WHO, 2015). Mais criticamente, a diretriz para o sódio dita uma restrição incondicional a menos de 2.000 mg por dia.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implementação simultânea de todas as RDAs (limites inferiores elevados para minerais e vitaminas), em conjunto com o limite superior restritivo de 2.000 mg de sódio da OMS, ao menor custo monetário, produz frequentemente um fenômeno conhecido na pesquisa operacional como </w:t>
      </w:r>
      <w:r w:rsidDel="00000000" w:rsidR="00000000" w:rsidRPr="00000000">
        <w:rPr>
          <w:rFonts w:ascii="Google Sans" w:cs="Google Sans" w:eastAsia="Google Sans" w:hAnsi="Google Sans"/>
          <w:b w:val="1"/>
          <w:bCs w:val="1"/>
          <w:color w:val="1f1f1f"/>
          <w:rtl w:val="0"/>
        </w:rPr>
        <w:t xml:space="preserve">Inviabilidade Matemática (Infeasibility)</w:t>
      </w:r>
      <w:r w:rsidDel="00000000" w:rsidR="00000000" w:rsidRPr="00000000">
        <w:rPr>
          <w:rFonts w:ascii="Google Sans" w:cs="Google Sans" w:eastAsia="Google Sans" w:hAnsi="Google Sans"/>
          <w:color w:val="1f1f1f"/>
          <w:rtl w:val="0"/>
        </w:rPr>
        <w:t xml:space="preserve"> (DARMON et al., 2006). A Inviabilidade ocorre quando o motor algébrico descobre que não há interseção no espaço amostral do poliedro de soluções. Em outras palavras, não existe na natureza nenhuma combinação viável de alimentos de baixo custo que, ao mesmo tempo, forneça as altíssimas cotas de micronutrientes impostas pelas DRIs sem exceder a quota de sódio de 2.000 mg ou extrapolar o teto orçamentário. O algoritmo entra em falha ao constatar o alto custo da alimentação verdadeiramente saudável, espelhando na tela do computador o cruel abismo socioeconômico da saúde pública global.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superação desta barreira computacional requer a migração de Programação Linear clássica para abordagens multiobjetivo, nas quais a adequação estrita do sódio não atua como parede limitante imutável, mas como uma variável de meta que o algoritmo deve buscar aproximar o máximo possível sem corromper as demais funções fisiológicas.</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Modelagem Matemática para Públicos Específicos: O Ambiente Terapêutico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o planejamento regulatório para populações homogêneas (PAT e PNAE) foca em manutenção de saúde coletiva, a transição do sistema algorítmico para o cenário de dietoterapia clínica — particularmente em hospitais e ambulatórios — demanda modelos que atuem na modulação ativa de patologias diagnosticadas. Nesse contexto, as variáveis de otimização assumem características não estáticas, direcionando o controle endócrino e hemodinâmico de pacientes com Diabetes Mellitus Tipo 2 (T2DM) e Hipertensão Arterial Sistêmica.</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Otimização Heurística para Hipertensão (A Arquitetura da Dieta DASH)</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manejo dietético padrão-ouro para o controle de pressão arterial baseia-se na intervenção Dietary Approaches to Stop Hypertension (DASH) (SACKS et al., 2001). Ao contrário de pressupostos leigos que limitam a terapêutica cardiovascular a uma restrição binária de sal de cozinha, a matriz da dieta DASH impõe ao algoritmo um vetor multidimensional de equilíbrios eletrolíticos complexos.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um sistema computacional crie um cardápio genuinamente enquadrado na arquitetura DASH, a programação deve inserir uma conjunção maciça de limites antagônicos e sobrepostos (IWUJI; AGWU, 2017).</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matriz matemática demanda que o solver atenda a pesadas restrições limitantes superiores ("Less than" </w:t>
      </w:r>
      <w:r w:rsidDel="00000000" w:rsidR="00000000" w:rsidRPr="00000000">
        <w:rPr>
          <w:rFonts w:ascii="Google Sans" w:cs="Google Sans" w:eastAsia="Google Sans" w:hAnsi="Google Sans"/>
          <w:color w:val="1f1f1f"/>
        </w:rPr>
        <w:drawing>
          <wp:inline distB="19050" distT="19050" distL="19050" distR="19050">
            <wp:extent cx="143470" cy="221727"/>
            <wp:effectExtent b="0" l="0" r="0" t="0"/>
            <wp:docPr id="39"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Carga de Sódio estritamente contingenciada entre </w:t>
      </w:r>
      <w:r w:rsidDel="00000000" w:rsidR="00000000" w:rsidRPr="00000000">
        <w:rPr>
          <w:rFonts w:ascii="Google Sans" w:cs="Google Sans" w:eastAsia="Google Sans" w:hAnsi="Google Sans"/>
          <w:color w:val="1f1f1f"/>
        </w:rPr>
        <w:drawing>
          <wp:inline distB="19050" distT="19050" distL="19050" distR="19050">
            <wp:extent cx="614760" cy="215483"/>
            <wp:effectExtent b="0" l="0" r="0" t="0"/>
            <wp:docPr id="41"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614760" cy="215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mg e </w:t>
      </w:r>
      <w:r w:rsidDel="00000000" w:rsidR="00000000" w:rsidRPr="00000000">
        <w:rPr>
          <w:rFonts w:ascii="Google Sans" w:cs="Google Sans" w:eastAsia="Google Sans" w:hAnsi="Google Sans"/>
          <w:color w:val="1f1f1f"/>
        </w:rPr>
        <w:drawing>
          <wp:inline distB="19050" distT="19050" distL="19050" distR="19050">
            <wp:extent cx="420092" cy="216411"/>
            <wp:effectExtent b="0" l="0" r="0" t="0"/>
            <wp:docPr id="43"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420092" cy="216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mg diários.</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Gorduras Totais limitadas a </w:t>
      </w:r>
      <w:r w:rsidDel="00000000" w:rsidR="00000000" w:rsidRPr="00000000">
        <w:rPr>
          <w:rFonts w:ascii="Google Sans" w:cs="Google Sans" w:eastAsia="Google Sans" w:hAnsi="Google Sans"/>
          <w:color w:val="1f1f1f"/>
        </w:rPr>
        <w:drawing>
          <wp:inline distB="19050" distT="19050" distL="19050" distR="19050">
            <wp:extent cx="532706" cy="215619"/>
            <wp:effectExtent b="0" l="0" r="0" t="0"/>
            <wp:docPr id="45"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532706" cy="215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 ingestão energética.</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Gordura Saturada comprimida em um teto exíguo de </w:t>
      </w:r>
      <w:r w:rsidDel="00000000" w:rsidR="00000000" w:rsidRPr="00000000">
        <w:rPr>
          <w:rFonts w:ascii="Google Sans" w:cs="Google Sans" w:eastAsia="Google Sans" w:hAnsi="Google Sans"/>
          <w:color w:val="1f1f1f"/>
        </w:rPr>
        <w:drawing>
          <wp:inline distB="19050" distT="19050" distL="19050" distR="19050">
            <wp:extent cx="440531" cy="217073"/>
            <wp:effectExtent b="0" l="0" r="0" t="0"/>
            <wp:docPr id="47" name="image44.png"/>
            <a:graphic>
              <a:graphicData uri="http://schemas.openxmlformats.org/drawingml/2006/picture">
                <pic:pic>
                  <pic:nvPicPr>
                    <pic:cNvPr id="0" name="image44.png"/>
                    <pic:cNvPicPr preferRelativeResize="0"/>
                  </pic:nvPicPr>
                  <pic:blipFill>
                    <a:blip r:embed="rId58"/>
                    <a:srcRect b="0" l="0" r="0" t="0"/>
                    <a:stretch>
                      <a:fillRect/>
                    </a:stretch>
                  </pic:blipFill>
                  <pic:spPr>
                    <a:xfrm>
                      <a:off x="0" y="0"/>
                      <a:ext cx="440531" cy="2170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 caloria diária.</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Colesterol sistêmico estancado em </w:t>
      </w:r>
      <w:r w:rsidDel="00000000" w:rsidR="00000000" w:rsidRPr="00000000">
        <w:rPr>
          <w:rFonts w:ascii="Google Sans" w:cs="Google Sans" w:eastAsia="Google Sans" w:hAnsi="Google Sans"/>
          <w:color w:val="1f1f1f"/>
        </w:rPr>
        <w:drawing>
          <wp:inline distB="19050" distT="19050" distL="19050" distR="19050">
            <wp:extent cx="471289" cy="219505"/>
            <wp:effectExtent b="0" l="0" r="0" t="0"/>
            <wp:docPr id="49"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471289" cy="219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mg por dia.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Simultaneamente, para engendrar o efeito vasoativo, hipotensor e diurético pretendido pelas evidências clínicas do protocolo DASH, o algoritmo é forçado a empurrar as variáveis contínuas em direção a elevados limites inferiores obrigatórios ("Greater than" </w:t>
      </w:r>
      <w:r w:rsidDel="00000000" w:rsidR="00000000" w:rsidRPr="00000000">
        <w:rPr>
          <w:rFonts w:ascii="Google Sans" w:cs="Google Sans" w:eastAsia="Google Sans" w:hAnsi="Google Sans"/>
          <w:color w:val="1f1f1f"/>
        </w:rPr>
        <w:drawing>
          <wp:inline distB="19050" distT="19050" distL="19050" distR="19050">
            <wp:extent cx="143470" cy="221727"/>
            <wp:effectExtent b="0" l="0" r="0" t="0"/>
            <wp:docPr id="33"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Magnésio: </w:t>
      </w:r>
      <w:r w:rsidDel="00000000" w:rsidR="00000000" w:rsidRPr="00000000">
        <w:rPr>
          <w:rFonts w:ascii="Google Sans" w:cs="Google Sans" w:eastAsia="Google Sans" w:hAnsi="Google Sans"/>
          <w:color w:val="1f1f1f"/>
        </w:rPr>
        <w:drawing>
          <wp:inline distB="19050" distT="19050" distL="19050" distR="19050">
            <wp:extent cx="471289" cy="219505"/>
            <wp:effectExtent b="0" l="0" r="0" t="0"/>
            <wp:docPr id="34" name="image25.png"/>
            <a:graphic>
              <a:graphicData uri="http://schemas.openxmlformats.org/drawingml/2006/picture">
                <pic:pic>
                  <pic:nvPicPr>
                    <pic:cNvPr id="0" name="image25.png"/>
                    <pic:cNvPicPr preferRelativeResize="0"/>
                  </pic:nvPicPr>
                  <pic:blipFill>
                    <a:blip r:embed="rId60"/>
                    <a:srcRect b="0" l="0" r="0" t="0"/>
                    <a:stretch>
                      <a:fillRect/>
                    </a:stretch>
                  </pic:blipFill>
                  <pic:spPr>
                    <a:xfrm>
                      <a:off x="0" y="0"/>
                      <a:ext cx="471289" cy="219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mg por dia.</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Potássio sérico promovido a níveis massivos: </w:t>
      </w:r>
      <w:r w:rsidDel="00000000" w:rsidR="00000000" w:rsidRPr="00000000">
        <w:rPr>
          <w:rFonts w:ascii="Google Sans" w:cs="Google Sans" w:eastAsia="Google Sans" w:hAnsi="Google Sans"/>
          <w:color w:val="1f1f1f"/>
        </w:rPr>
        <w:drawing>
          <wp:inline distB="19050" distT="19050" distL="19050" distR="19050">
            <wp:extent cx="614760" cy="215483"/>
            <wp:effectExtent b="0" l="0" r="0" t="0"/>
            <wp:docPr id="15"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614760" cy="215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mg por dia.</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Cálcio profilático: </w:t>
      </w:r>
      <w:r w:rsidDel="00000000" w:rsidR="00000000" w:rsidRPr="00000000">
        <w:rPr>
          <w:rFonts w:ascii="Google Sans" w:cs="Google Sans" w:eastAsia="Google Sans" w:hAnsi="Google Sans"/>
          <w:color w:val="1f1f1f"/>
        </w:rPr>
        <w:drawing>
          <wp:inline distB="19050" distT="19050" distL="19050" distR="19050">
            <wp:extent cx="614760" cy="215483"/>
            <wp:effectExtent b="0" l="0" r="0" t="0"/>
            <wp:docPr id="16"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614760" cy="215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mg diários.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Fibras dietéticas: </w:t>
      </w:r>
      <w:r w:rsidDel="00000000" w:rsidR="00000000" w:rsidRPr="00000000">
        <w:rPr>
          <w:rFonts w:ascii="Google Sans" w:cs="Google Sans" w:eastAsia="Google Sans" w:hAnsi="Google Sans"/>
          <w:color w:val="1f1f1f"/>
        </w:rPr>
        <w:drawing>
          <wp:inline distB="19050" distT="19050" distL="19050" distR="19050">
            <wp:extent cx="379115" cy="214832"/>
            <wp:effectExtent b="0" l="0" r="0" t="0"/>
            <wp:docPr id="18" name="image12.png"/>
            <a:graphic>
              <a:graphicData uri="http://schemas.openxmlformats.org/drawingml/2006/picture">
                <pic:pic>
                  <pic:nvPicPr>
                    <pic:cNvPr id="0" name="image12.png"/>
                    <pic:cNvPicPr preferRelativeResize="0"/>
                  </pic:nvPicPr>
                  <pic:blipFill>
                    <a:blip r:embed="rId63"/>
                    <a:srcRect b="0" l="0" r="0" t="0"/>
                    <a:stretch>
                      <a:fillRect/>
                    </a:stretch>
                  </pic:blipFill>
                  <pic:spPr>
                    <a:xfrm>
                      <a:off x="0" y="0"/>
                      <a:ext cx="379115" cy="214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desafio computacional é formidável: a exigência de forçar o algoritmo a localizar </w:t>
      </w:r>
      <w:r w:rsidDel="00000000" w:rsidR="00000000" w:rsidRPr="00000000">
        <w:rPr>
          <w:rFonts w:ascii="Google Sans" w:cs="Google Sans" w:eastAsia="Google Sans" w:hAnsi="Google Sans"/>
          <w:color w:val="1f1f1f"/>
        </w:rPr>
        <w:drawing>
          <wp:inline distB="19050" distT="19050" distL="19050" distR="19050">
            <wp:extent cx="420092" cy="216411"/>
            <wp:effectExtent b="0" l="0" r="0" t="0"/>
            <wp:docPr id="20"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420092" cy="216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mg de potássio esbarra frequentemente em alimentos que possuem alta densidade calórica ou elevado custo intrínseco. As equações concorrentes puxam o espaço de viabilidade matemática para direções diametralmente opostas (por exemplo, forçar o consumo de oleaginosas para atingir a meta de magnésio pode violar instantaneamente o restrito teto de 27% de gorduras totais imposto pela dieta).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solucionar os conflitos gerados por essa oposição, a modelagem de cardápios de pacientes hipertensos emprega, com frequência, métodos de </w:t>
      </w:r>
      <w:r w:rsidDel="00000000" w:rsidR="00000000" w:rsidRPr="00000000">
        <w:rPr>
          <w:rFonts w:ascii="Google Sans" w:cs="Google Sans" w:eastAsia="Google Sans" w:hAnsi="Google Sans"/>
          <w:b w:val="1"/>
          <w:bCs w:val="1"/>
          <w:color w:val="1f1f1f"/>
          <w:rtl w:val="0"/>
        </w:rPr>
        <w:t xml:space="preserve">Weighted Goal Programming (WGP)</w:t>
      </w:r>
      <w:r w:rsidDel="00000000" w:rsidR="00000000" w:rsidRPr="00000000">
        <w:rPr>
          <w:rFonts w:ascii="Google Sans" w:cs="Google Sans" w:eastAsia="Google Sans" w:hAnsi="Google Sans"/>
          <w:color w:val="1f1f1f"/>
          <w:rtl w:val="0"/>
        </w:rPr>
        <w:t xml:space="preserve"> (Programação por Metas Ponderada) (IWUJI; AGWU, 2017; MOLLAH; BISWAS, 2023). Neste modelo, o cumprimento estrito das barreiras não é compulsório sob pena de encerramento do algoritmo; em vez disso, são alocadas variáveis de desvio (</w:t>
      </w:r>
      <w:r w:rsidDel="00000000" w:rsidR="00000000" w:rsidRPr="00000000">
        <w:rPr>
          <w:rFonts w:ascii="Google Sans" w:cs="Google Sans" w:eastAsia="Google Sans" w:hAnsi="Google Sans"/>
          <w:color w:val="1f1f1f"/>
        </w:rPr>
        <w:drawing>
          <wp:inline distB="19050" distT="19050" distL="19050" distR="19050">
            <wp:extent cx="205482" cy="230389"/>
            <wp:effectExtent b="0" l="0" r="0" t="0"/>
            <wp:docPr id="22"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205482" cy="230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excessos e </w:t>
      </w:r>
      <w:r w:rsidDel="00000000" w:rsidR="00000000" w:rsidRPr="00000000">
        <w:rPr>
          <w:rFonts w:ascii="Google Sans" w:cs="Google Sans" w:eastAsia="Google Sans" w:hAnsi="Google Sans"/>
          <w:color w:val="1f1f1f"/>
        </w:rPr>
        <w:drawing>
          <wp:inline distB="19050" distT="19050" distL="19050" distR="19050">
            <wp:extent cx="205482" cy="230389"/>
            <wp:effectExtent b="0" l="0" r="0" t="0"/>
            <wp:docPr id="24"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205482" cy="230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déficits). O objetivo do motor algébrico passa a ser a minimização do somatório dos desvios, multiplicados por pesos punitivos atribuídos pelo nutricionista clínico (ex: o peso punitivo por exceder a gordura saturada receberia a pontuação máxima 10, enquanto o desvio do balanço estrito do custo receberia pontuação 2). A equação de minimização apresenta-se da seguinte maneira: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76300"/>
            <wp:effectExtent b="0" l="0" r="0" t="0"/>
            <wp:docPr id="26"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5715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estrutura assegura que o sistema entregará a dieta mais potente possível contra a hipertensão, balanceando sacrifícios marginais onde a matemática demonstra não haver outra saída exequível à realidade clínica da instituição hospitalar.</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Complexidade Fracional no Diabetes Mellitus Tipo 2 (T2DM)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codificação de prescrições automatizadas destinadas à população com Diabetes Mellitus Tipo 2 transcende as limitações macro e microminerais estáticas e exige a incorporação de modelagens relativas ao tempo, à cinética de digestão e à curva de secreção de insulina do corpo humano (HOSEINPOUR; JAHROMI, 2019).</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Além de ancorar a proporção estrita de carboidratos totais entre 45% e 55% do Valor Energético Total, como forma de prezar pela limitação quantitativa, a inteligência do sistema deve parametrizar atributos qualitativos baseados no Índice Glicêmico (GI) e na Carga Glicêmica (GL). A Carga Glicêmica (GL) consolida, de forma ponderada, tanto a velocidade fisiológica de absorção do carboidrato (o GI) quanto a massa líquida em gramas do carboidrato oferecido na refeição (HOSEINPOUR; JAHROMI, 2019).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Diferente de respostas endócrinas voláteis, a Carga Glicêmica comporta-se no corpo humano como uma métrica aditiva. Logo, pode ser parametrizada através de uma equação perfeitamente linear dentro de um ambiente de </w:t>
      </w:r>
      <w:r w:rsidDel="00000000" w:rsidR="00000000" w:rsidRPr="00000000">
        <w:rPr>
          <w:rFonts w:ascii="Google Sans" w:cs="Google Sans" w:eastAsia="Google Sans" w:hAnsi="Google Sans"/>
          <w:i w:val="1"/>
          <w:iCs w:val="1"/>
          <w:color w:val="1f1f1f"/>
          <w:rtl w:val="0"/>
        </w:rPr>
        <w:t xml:space="preserve">menu planning</w:t>
      </w:r>
      <w:r w:rsidDel="00000000" w:rsidR="00000000" w:rsidRPr="00000000">
        <w:rPr>
          <w:rFonts w:ascii="Google Sans" w:cs="Google Sans" w:eastAsia="Google Sans" w:hAnsi="Google Sans"/>
          <w:color w:val="1f1f1f"/>
          <w:rtl w:val="0"/>
        </w:rPr>
        <w:t xml:space="preserve"> institucional: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63600"/>
            <wp:effectExtent b="0" l="0" r="0" t="0"/>
            <wp:docPr id="28" name="image29.png"/>
            <a:graphic>
              <a:graphicData uri="http://schemas.openxmlformats.org/drawingml/2006/picture">
                <pic:pic>
                  <pic:nvPicPr>
                    <pic:cNvPr id="0" name="image29.png"/>
                    <pic:cNvPicPr preferRelativeResize="0"/>
                  </pic:nvPicPr>
                  <pic:blipFill>
                    <a:blip r:embed="rId68"/>
                    <a:srcRect b="0" l="0" r="0" t="0"/>
                    <a:stretch>
                      <a:fillRect/>
                    </a:stretch>
                  </pic:blipFill>
                  <pic:spPr>
                    <a:xfrm>
                      <a:off x="0" y="0"/>
                      <a:ext cx="5715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modelos otimizadores desenhados para estabilidade insulínica e prevenção de hiperglicemia contínua parametrizam o </w:t>
      </w:r>
      <w:r w:rsidDel="00000000" w:rsidR="00000000" w:rsidRPr="00000000">
        <w:rPr>
          <w:rFonts w:ascii="Google Sans" w:cs="Google Sans" w:eastAsia="Google Sans" w:hAnsi="Google Sans"/>
          <w:color w:val="1f1f1f"/>
        </w:rPr>
        <w:drawing>
          <wp:inline distB="19050" distT="19050" distL="19050" distR="19050">
            <wp:extent cx="535087" cy="235693"/>
            <wp:effectExtent b="0" l="0" r="0" t="0"/>
            <wp:docPr id="12"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535087" cy="235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 um teto limítrofe inegociável, configurando a Carga Glicêmica abaixo de 70 para manter uma configuração dietética de baixo impacto sistêmico diário. O processo de seleção algorítmica passa, então, a rejeitar massivamente alimentos que desregulem esse balanço, como o arroz branco desprovido de acompanhamento fibroso, favorecendo combinações que intermedeiam as curvas de absorção.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Outro pilar imperativo inserido no código fonte destas aplicações direcionadas à diabetes é a parametrização de </w:t>
      </w:r>
      <w:r w:rsidDel="00000000" w:rsidR="00000000" w:rsidRPr="00000000">
        <w:rPr>
          <w:rFonts w:ascii="Google Sans" w:cs="Google Sans" w:eastAsia="Google Sans" w:hAnsi="Google Sans"/>
          <w:b w:val="1"/>
          <w:bCs w:val="1"/>
          <w:color w:val="1f1f1f"/>
          <w:rtl w:val="0"/>
        </w:rPr>
        <w:t xml:space="preserve">restrições baseadas no tempo (time-based or fractional constraints)</w:t>
      </w:r>
      <w:r w:rsidDel="00000000" w:rsidR="00000000" w:rsidRPr="00000000">
        <w:rPr>
          <w:rFonts w:ascii="Google Sans" w:cs="Google Sans" w:eastAsia="Google Sans" w:hAnsi="Google Sans"/>
          <w:color w:val="1f1f1f"/>
          <w:rtl w:val="0"/>
        </w:rPr>
        <w:t xml:space="preserve">. A fim de otimizar a tolerância de glicose do tecido periférico do paciente e evitar acúmulos abruptos pós-prandiais, a alocação calórica prescrita não pode ser despachada livremente na rotina do paciente de forma desordenada (MOLLAH; BISWAS, 2023). A lógica determina que as equações limitem estritamente a porcentagem das caloria diárias fornecidas a cada etapa. Em linguagem algébrica, equaciona-se o comportamento:</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Limite de desjejum: </w:t>
      </w:r>
      <w:r w:rsidDel="00000000" w:rsidR="00000000" w:rsidRPr="00000000">
        <w:rPr>
          <w:rFonts w:ascii="Google Sans" w:cs="Google Sans" w:eastAsia="Google Sans" w:hAnsi="Google Sans"/>
          <w:color w:val="1f1f1f"/>
        </w:rPr>
        <w:drawing>
          <wp:inline distB="19050" distT="19050" distL="19050" distR="19050">
            <wp:extent cx="2693689" cy="235062"/>
            <wp:effectExtent b="0" l="0" r="0" t="0"/>
            <wp:docPr id="13" name="image10.png"/>
            <a:graphic>
              <a:graphicData uri="http://schemas.openxmlformats.org/drawingml/2006/picture">
                <pic:pic>
                  <pic:nvPicPr>
                    <pic:cNvPr id="0" name="image10.png"/>
                    <pic:cNvPicPr preferRelativeResize="0"/>
                  </pic:nvPicPr>
                  <pic:blipFill>
                    <a:blip r:embed="rId70"/>
                    <a:srcRect b="0" l="0" r="0" t="0"/>
                    <a:stretch>
                      <a:fillRect/>
                    </a:stretch>
                  </pic:blipFill>
                  <pic:spPr>
                    <a:xfrm>
                      <a:off x="0" y="0"/>
                      <a:ext cx="2693689" cy="23506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Limite de almoço: </w:t>
      </w:r>
      <w:r w:rsidDel="00000000" w:rsidR="00000000" w:rsidRPr="00000000">
        <w:rPr>
          <w:rFonts w:ascii="Google Sans" w:cs="Google Sans" w:eastAsia="Google Sans" w:hAnsi="Google Sans"/>
          <w:color w:val="1f1f1f"/>
        </w:rPr>
        <w:drawing>
          <wp:inline distB="19050" distT="19050" distL="19050" distR="19050">
            <wp:extent cx="2541089" cy="235051"/>
            <wp:effectExtent b="0" l="0" r="0" t="0"/>
            <wp:docPr id="14"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2541089" cy="235051"/>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Limite de jantar: </w:t>
      </w:r>
      <w:r w:rsidDel="00000000" w:rsidR="00000000" w:rsidRPr="00000000">
        <w:rPr>
          <w:rFonts w:ascii="Google Sans" w:cs="Google Sans" w:eastAsia="Google Sans" w:hAnsi="Google Sans"/>
          <w:color w:val="1f1f1f"/>
        </w:rPr>
        <w:drawing>
          <wp:inline distB="19050" distT="19050" distL="19050" distR="19050">
            <wp:extent cx="2513114" cy="234811"/>
            <wp:effectExtent b="0" l="0" r="0" t="0"/>
            <wp:docPr id="1"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2513114" cy="23481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a imposição de regras fracionais temporais, as soluções otimizadas via matemática pura tornam-se ferramentas formidáveis na prática nutricional hospitalar, desdobrando o controle diabético para um ritmo previsível e milimetricamente ajustado à meia-vida de ação das terapêuticas medicamentosas associadas.</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Conclusão</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fusão transdisciplinar da Nutrição Regulatória com a Ciência de Dados, consubstanciada na pesquisa operacional matemática, desvenda um progresso formidável tanto em nível de gestão em saúde pública, quanto no refinamento do ambiente clínico-hospitalar. A transição de diretrizes qualitativas expressas em legislações complexas — como o cômputo da densidade e qualidade proteica líquida (NDpCal) requerido pelo Programa de Alimentação do Trabalhador, ou a redução sistêmica de ultraprocessados delineada na Classificação NOVA pelo PNAE — para equações exatas e vetorizadas de limites inferiores, superiores e restrições booleanas, atesta a escalabilidade do modelo matemático no combate à má nutrição coletiva.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adotarmos as premissas estabelecidas pela ciência basal global das Dietary Reference Intakes (DRIs) e da Organização Mundial de Saúde (OMS) como vetores limítrofes absolutos do poliedro de soluções, o planejamento de dietas institucionais adentra a era da extrema precisão. Em face do paradoxo da "Inviabilidade" ou </w:t>
      </w:r>
      <w:r w:rsidDel="00000000" w:rsidR="00000000" w:rsidRPr="00000000">
        <w:rPr>
          <w:rFonts w:ascii="Google Sans" w:cs="Google Sans" w:eastAsia="Google Sans" w:hAnsi="Google Sans"/>
          <w:i w:val="1"/>
          <w:iCs w:val="1"/>
          <w:color w:val="1f1f1f"/>
          <w:rtl w:val="0"/>
        </w:rPr>
        <w:t xml:space="preserve">infeasibility</w:t>
      </w:r>
      <w:r w:rsidDel="00000000" w:rsidR="00000000" w:rsidRPr="00000000">
        <w:rPr>
          <w:rFonts w:ascii="Google Sans" w:cs="Google Sans" w:eastAsia="Google Sans" w:hAnsi="Google Sans"/>
          <w:color w:val="1f1f1f"/>
          <w:rtl w:val="0"/>
        </w:rPr>
        <w:t xml:space="preserve"> ocasionado pela oposição entre exigências máximas orçamentárias e limites protetores contra toxidez de macronutrientes, a exploração de modelagens robustas, notavelmente a </w:t>
      </w:r>
      <w:r w:rsidDel="00000000" w:rsidR="00000000" w:rsidRPr="00000000">
        <w:rPr>
          <w:rFonts w:ascii="Google Sans" w:cs="Google Sans" w:eastAsia="Google Sans" w:hAnsi="Google Sans"/>
          <w:i w:val="1"/>
          <w:iCs w:val="1"/>
          <w:color w:val="1f1f1f"/>
          <w:rtl w:val="0"/>
        </w:rPr>
        <w:t xml:space="preserve">Goal Programming</w:t>
      </w:r>
      <w:r w:rsidDel="00000000" w:rsidR="00000000" w:rsidRPr="00000000">
        <w:rPr>
          <w:rFonts w:ascii="Google Sans" w:cs="Google Sans" w:eastAsia="Google Sans" w:hAnsi="Google Sans"/>
          <w:color w:val="1f1f1f"/>
          <w:rtl w:val="0"/>
        </w:rPr>
        <w:t xml:space="preserve">, provê a mediação computacional e a maleabilidade para priorização da saúde.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 a dimensão clínica específica da diabetologia e do controle da hipertensão, a tradução do controle hemodinâmico em equações para o equilíbrio de eletrólitos na dieta DASH, bem como o uso tático do fracionamento calórico restrito sobre a fórmula aditiva de Carga Glicêmica (GL), transforma o algoritmo matemático no coadjuvante vital e definitivo do prescritor humano. O conhecimento empírico do profissional cede ao apoio algorítmico o ônus computacional bilionário de verificar permutações de nutrientes em milissegundos.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intersecção destes saberes revela que o Nutricionista e Cientista de Dados do presente não se constitui mais como um mero observador de portarias jurídicas, mas converte-se no hábil decodificador responsável por transformar o arcabouço jurídico estatal e os contornos homeostáticos da biologia molecular no código basilar dos algoritmos que, inevitavelmente, irão governar e automatizar o suporte e as políticas públicas da alimentação do futuro.</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Referência Bibliográfica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BENVENUTI, L.; DE SANTIS, A. A New Programming Methodology for Menu Planning. </w:t>
      </w:r>
      <w:r w:rsidDel="00000000" w:rsidR="00000000" w:rsidRPr="00000000">
        <w:rPr>
          <w:rFonts w:ascii="Google Sans" w:cs="Google Sans" w:eastAsia="Google Sans" w:hAnsi="Google Sans"/>
          <w:b w:val="1"/>
          <w:bCs w:val="1"/>
          <w:color w:val="1f1f1f"/>
          <w:rtl w:val="0"/>
        </w:rPr>
        <w:t xml:space="preserve">International Journal of Environmental Research and Public Health</w:t>
      </w:r>
      <w:r w:rsidDel="00000000" w:rsidR="00000000" w:rsidRPr="00000000">
        <w:rPr>
          <w:rFonts w:ascii="Google Sans" w:cs="Google Sans" w:eastAsia="Google Sans" w:hAnsi="Google Sans"/>
          <w:color w:val="1f1f1f"/>
          <w:rtl w:val="0"/>
        </w:rPr>
        <w:t xml:space="preserve">, v. 17, n. 15, p. 5440, 2020.</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Ministério do Trabalho e Emprego; Ministério da Saúde; Ministério da Fazenda; Ministério da Previdência Social; Ministério do Desenvolvimento Social e Combate à Fome. </w:t>
      </w:r>
      <w:r w:rsidDel="00000000" w:rsidR="00000000" w:rsidRPr="00000000">
        <w:rPr>
          <w:rFonts w:ascii="Google Sans" w:cs="Google Sans" w:eastAsia="Google Sans" w:hAnsi="Google Sans"/>
          <w:b w:val="1"/>
          <w:bCs w:val="1"/>
          <w:color w:val="1f1f1f"/>
          <w:rtl w:val="0"/>
        </w:rPr>
        <w:t xml:space="preserve">Portaria Interministerial nº 66, de 25 de agosto de 2006</w:t>
      </w:r>
      <w:r w:rsidDel="00000000" w:rsidR="00000000" w:rsidRPr="00000000">
        <w:rPr>
          <w:rFonts w:ascii="Google Sans" w:cs="Google Sans" w:eastAsia="Google Sans" w:hAnsi="Google Sans"/>
          <w:color w:val="1f1f1f"/>
          <w:rtl w:val="0"/>
        </w:rPr>
        <w:t xml:space="preserve">. Altera os parâmetros nutricionais do Programa de Alimentação do Trabalhador - PAT. Diário Oficial da União, Brasília, DF, 28 ago. 2006.</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Presidência da República. </w:t>
      </w:r>
      <w:r w:rsidDel="00000000" w:rsidR="00000000" w:rsidRPr="00000000">
        <w:rPr>
          <w:rFonts w:ascii="Google Sans" w:cs="Google Sans" w:eastAsia="Google Sans" w:hAnsi="Google Sans"/>
          <w:b w:val="1"/>
          <w:bCs w:val="1"/>
          <w:color w:val="1f1f1f"/>
          <w:rtl w:val="0"/>
        </w:rPr>
        <w:t xml:space="preserve">Decreto nº 10.854, de 10 de novembro de 2021</w:t>
      </w:r>
      <w:r w:rsidDel="00000000" w:rsidR="00000000" w:rsidRPr="00000000">
        <w:rPr>
          <w:rFonts w:ascii="Google Sans" w:cs="Google Sans" w:eastAsia="Google Sans" w:hAnsi="Google Sans"/>
          <w:color w:val="1f1f1f"/>
          <w:rtl w:val="0"/>
        </w:rPr>
        <w:t xml:space="preserve">. Regulamenta disposições relativas à legislação trabalhista, e institui o Programa Permanente de Consolidação, Simplificação e Desburocratização de Normas Trabalhistas Infralegais e o Prêmio Nacional Trabalhista. Diário Oficial da União, Brasília, DF, 11 nov. 2021.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DARMON, N.; FERGUSON, E. L.; BRIEND, A. Do economic constraints encourage the selection of energy dense diets? </w:t>
      </w:r>
      <w:r w:rsidDel="00000000" w:rsidR="00000000" w:rsidRPr="00000000">
        <w:rPr>
          <w:rFonts w:ascii="Google Sans" w:cs="Google Sans" w:eastAsia="Google Sans" w:hAnsi="Google Sans"/>
          <w:b w:val="1"/>
          <w:bCs w:val="1"/>
          <w:color w:val="1f1f1f"/>
          <w:rtl w:val="0"/>
        </w:rPr>
        <w:t xml:space="preserve">Appetite</w:t>
      </w:r>
      <w:r w:rsidDel="00000000" w:rsidR="00000000" w:rsidRPr="00000000">
        <w:rPr>
          <w:rFonts w:ascii="Google Sans" w:cs="Google Sans" w:eastAsia="Google Sans" w:hAnsi="Google Sans"/>
          <w:color w:val="1f1f1f"/>
          <w:rtl w:val="0"/>
        </w:rPr>
        <w:t xml:space="preserve">, v. 41, n. 3, p. 315-322, 2006.</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FNDE - FUNDO NACIONAL DE DESENVOLVIMENTO DA EDUCAÇÃO. </w:t>
      </w:r>
      <w:r w:rsidDel="00000000" w:rsidR="00000000" w:rsidRPr="00000000">
        <w:rPr>
          <w:rFonts w:ascii="Google Sans" w:cs="Google Sans" w:eastAsia="Google Sans" w:hAnsi="Google Sans"/>
          <w:b w:val="1"/>
          <w:bCs w:val="1"/>
          <w:color w:val="1f1f1f"/>
          <w:rtl w:val="0"/>
        </w:rPr>
        <w:t xml:space="preserve">Resolução CD/FNDE nº 6, de 08 de maio de 2020</w:t>
      </w:r>
      <w:r w:rsidDel="00000000" w:rsidR="00000000" w:rsidRPr="00000000">
        <w:rPr>
          <w:rFonts w:ascii="Google Sans" w:cs="Google Sans" w:eastAsia="Google Sans" w:hAnsi="Google Sans"/>
          <w:color w:val="1f1f1f"/>
          <w:rtl w:val="0"/>
        </w:rPr>
        <w:t xml:space="preserve">. Dispõe sobre o atendimento da alimentação escolar aos alunos da educação básica no âmbito do Programa Nacional de Alimentação Escolar – PNAE. Diário Oficial da União, Brasília, DF, 12 mai. 2020.</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FNDE - FUNDO NACIONAL DE DESENVOLVIMENTO DA EDUCAÇÃO. </w:t>
      </w:r>
      <w:r w:rsidDel="00000000" w:rsidR="00000000" w:rsidRPr="00000000">
        <w:rPr>
          <w:rFonts w:ascii="Google Sans" w:cs="Google Sans" w:eastAsia="Google Sans" w:hAnsi="Google Sans"/>
          <w:b w:val="1"/>
          <w:bCs w:val="1"/>
          <w:color w:val="1f1f1f"/>
          <w:rtl w:val="0"/>
        </w:rPr>
        <w:t xml:space="preserve">Resolução nº 3, de 4 de fevereiro de 2025</w:t>
      </w:r>
      <w:r w:rsidDel="00000000" w:rsidR="00000000" w:rsidRPr="00000000">
        <w:rPr>
          <w:rFonts w:ascii="Google Sans" w:cs="Google Sans" w:eastAsia="Google Sans" w:hAnsi="Google Sans"/>
          <w:color w:val="1f1f1f"/>
          <w:rtl w:val="0"/>
        </w:rPr>
        <w:t xml:space="preserve">. Altera a Resolução CD/FNDE nº 6, de 8 de maio de 2020, e atualiza os limites de aquisição de alimentos processados e ultraprocessados. Diário Oficial da União, Brasília, DF, 2025.</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GASS, S. I. </w:t>
      </w:r>
      <w:r w:rsidDel="00000000" w:rsidR="00000000" w:rsidRPr="00000000">
        <w:rPr>
          <w:rFonts w:ascii="Google Sans" w:cs="Google Sans" w:eastAsia="Google Sans" w:hAnsi="Google Sans"/>
          <w:b w:val="1"/>
          <w:bCs w:val="1"/>
          <w:color w:val="1f1f1f"/>
          <w:rtl w:val="0"/>
        </w:rPr>
        <w:t xml:space="preserve">An Illustrated Guide to Linear Programming</w:t>
      </w:r>
      <w:r w:rsidDel="00000000" w:rsidR="00000000" w:rsidRPr="00000000">
        <w:rPr>
          <w:rFonts w:ascii="Google Sans" w:cs="Google Sans" w:eastAsia="Google Sans" w:hAnsi="Google Sans"/>
          <w:color w:val="1f1f1f"/>
          <w:rtl w:val="0"/>
        </w:rPr>
        <w:t xml:space="preserve">. New York: McGraw-Hill, 1970.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GOMES, L. A.; FONTES, C. H.; SILVA, A. C. Aplicação de algoritmo genético na elaboração de cardápios. </w:t>
      </w:r>
      <w:r w:rsidDel="00000000" w:rsidR="00000000" w:rsidRPr="00000000">
        <w:rPr>
          <w:rFonts w:ascii="Google Sans" w:cs="Google Sans" w:eastAsia="Google Sans" w:hAnsi="Google Sans"/>
          <w:b w:val="1"/>
          <w:bCs w:val="1"/>
          <w:color w:val="1f1f1f"/>
          <w:rtl w:val="0"/>
        </w:rPr>
        <w:t xml:space="preserve">Revista Brasileira de Engenharia Biomédica</w:t>
      </w:r>
      <w:r w:rsidDel="00000000" w:rsidR="00000000" w:rsidRPr="00000000">
        <w:rPr>
          <w:rFonts w:ascii="Google Sans" w:cs="Google Sans" w:eastAsia="Google Sans" w:hAnsi="Google Sans"/>
          <w:color w:val="1f1f1f"/>
          <w:rtl w:val="0"/>
        </w:rPr>
        <w:t xml:space="preserve">, v. 28, n. 4, 2012.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HOSEINPOUR, M.; JAHROMI, A. F. The robust optimization model for providing Iranian diet for adjusting optimal glycemic load. </w:t>
      </w:r>
      <w:r w:rsidDel="00000000" w:rsidR="00000000" w:rsidRPr="00000000">
        <w:rPr>
          <w:rFonts w:ascii="Google Sans" w:cs="Google Sans" w:eastAsia="Google Sans" w:hAnsi="Google Sans"/>
          <w:b w:val="1"/>
          <w:bCs w:val="1"/>
          <w:color w:val="1f1f1f"/>
          <w:rtl w:val="1"/>
        </w:rPr>
        <w:t xml:space="preserve">تصمیم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گیری</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تحقیق</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در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عملیات</w:t>
      </w:r>
      <w:r w:rsidDel="00000000" w:rsidR="00000000" w:rsidRPr="00000000">
        <w:rPr>
          <w:rFonts w:ascii="Google Sans" w:cs="Google Sans" w:eastAsia="Google Sans" w:hAnsi="Google Sans"/>
          <w:color w:val="1f1f1f"/>
          <w:rtl w:val="0"/>
        </w:rPr>
        <w:t xml:space="preserve">, 2019.</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IOM - INSTITUTE OF MEDICINE. </w:t>
      </w:r>
      <w:r w:rsidDel="00000000" w:rsidR="00000000" w:rsidRPr="00000000">
        <w:rPr>
          <w:rFonts w:ascii="Google Sans" w:cs="Google Sans" w:eastAsia="Google Sans" w:hAnsi="Google Sans"/>
          <w:b w:val="1"/>
          <w:bCs w:val="1"/>
          <w:color w:val="1f1f1f"/>
          <w:rtl w:val="0"/>
        </w:rPr>
        <w:t xml:space="preserve">Dietary Reference Intakes for Vitamin C, Vitamin E, Selenium, and Carotenoids</w:t>
      </w:r>
      <w:r w:rsidDel="00000000" w:rsidR="00000000" w:rsidRPr="00000000">
        <w:rPr>
          <w:rFonts w:ascii="Google Sans" w:cs="Google Sans" w:eastAsia="Google Sans" w:hAnsi="Google Sans"/>
          <w:color w:val="1f1f1f"/>
          <w:rtl w:val="0"/>
        </w:rPr>
        <w:t xml:space="preserve">. Washington, DC: The National Academies Press, 2000.</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IWUJI, A. C.; AGWU, E. U. A weighted goal programming model for the DASH diet problem: comparison with the linear programming DASH diet model. </w:t>
      </w:r>
      <w:r w:rsidDel="00000000" w:rsidR="00000000" w:rsidRPr="00000000">
        <w:rPr>
          <w:rFonts w:ascii="Google Sans" w:cs="Google Sans" w:eastAsia="Google Sans" w:hAnsi="Google Sans"/>
          <w:b w:val="1"/>
          <w:bCs w:val="1"/>
          <w:color w:val="1f1f1f"/>
          <w:rtl w:val="0"/>
        </w:rPr>
        <w:t xml:space="preserve">American Journal of Operations Research</w:t>
      </w:r>
      <w:r w:rsidDel="00000000" w:rsidR="00000000" w:rsidRPr="00000000">
        <w:rPr>
          <w:rFonts w:ascii="Google Sans" w:cs="Google Sans" w:eastAsia="Google Sans" w:hAnsi="Google Sans"/>
          <w:color w:val="1f1f1f"/>
          <w:rtl w:val="0"/>
        </w:rPr>
        <w:t xml:space="preserve">, v. 7, n. 5, p. 307-322, 2017.</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MOLLAH, S.; BISWAS, S. Pre-emptive and non-pre-emptive goal programming problems for optimal menu planning in diet management of Indian diabetes mellitus patients. </w:t>
      </w:r>
      <w:r w:rsidDel="00000000" w:rsidR="00000000" w:rsidRPr="00000000">
        <w:rPr>
          <w:rFonts w:ascii="Google Sans" w:cs="Google Sans" w:eastAsia="Google Sans" w:hAnsi="Google Sans"/>
          <w:b w:val="1"/>
          <w:bCs w:val="1"/>
          <w:color w:val="1f1f1f"/>
          <w:rtl w:val="0"/>
        </w:rPr>
        <w:t xml:space="preserve">International Journal of Environmental Research and Public Health</w:t>
      </w:r>
      <w:r w:rsidDel="00000000" w:rsidR="00000000" w:rsidRPr="00000000">
        <w:rPr>
          <w:rFonts w:ascii="Google Sans" w:cs="Google Sans" w:eastAsia="Google Sans" w:hAnsi="Google Sans"/>
          <w:color w:val="1f1f1f"/>
          <w:rtl w:val="0"/>
        </w:rPr>
        <w:t xml:space="preserve">, v. 18, n. 15, p. 7842, 2023.</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MOREIRA. T. C. M.; COSTA, P. H. V.; MARTINS, R. C. Transformação de uma formulação multiobjetivo em um problema mono-objetivo: escalarização linear. </w:t>
      </w:r>
      <w:r w:rsidDel="00000000" w:rsidR="00000000" w:rsidRPr="00000000">
        <w:rPr>
          <w:rFonts w:ascii="Google Sans" w:cs="Google Sans" w:eastAsia="Google Sans" w:hAnsi="Google Sans"/>
          <w:b w:val="1"/>
          <w:bCs w:val="1"/>
          <w:color w:val="1f1f1f"/>
          <w:rtl w:val="0"/>
        </w:rPr>
        <w:t xml:space="preserve">Pesquisa Operacional</w:t>
      </w:r>
      <w:r w:rsidDel="00000000" w:rsidR="00000000" w:rsidRPr="00000000">
        <w:rPr>
          <w:rFonts w:ascii="Google Sans" w:cs="Google Sans" w:eastAsia="Google Sans" w:hAnsi="Google Sans"/>
          <w:color w:val="1f1f1f"/>
          <w:rtl w:val="0"/>
        </w:rPr>
        <w:t xml:space="preserve">, v. 37, n. 2, 2017.</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ROTHMAN, R. L.; HOUSAM, R.; WEISS, H.; DAVIS, D.; GREGORY, R.; GEBHRETSADIK, T.; SHINTANI, A.; ELASY, T. A. Patient understanding of food labels: the role of literacy and numeracy. </w:t>
      </w:r>
      <w:r w:rsidDel="00000000" w:rsidR="00000000" w:rsidRPr="00000000">
        <w:rPr>
          <w:rFonts w:ascii="Google Sans" w:cs="Google Sans" w:eastAsia="Google Sans" w:hAnsi="Google Sans"/>
          <w:b w:val="1"/>
          <w:bCs w:val="1"/>
          <w:color w:val="1f1f1f"/>
          <w:rtl w:val="0"/>
        </w:rPr>
        <w:t xml:space="preserve">American Journal of Preventive Medicine</w:t>
      </w:r>
      <w:r w:rsidDel="00000000" w:rsidR="00000000" w:rsidRPr="00000000">
        <w:rPr>
          <w:rFonts w:ascii="Google Sans" w:cs="Google Sans" w:eastAsia="Google Sans" w:hAnsi="Google Sans"/>
          <w:color w:val="1f1f1f"/>
          <w:rtl w:val="0"/>
        </w:rPr>
        <w:t xml:space="preserve">, v. 31, n. 5, p. 391-398, 2006.</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SACKS, F. M.; SVETKEY, L. P.; VOLLMER, W. M.; APPEL, L. J.; BRAY, G. A.; HARSHA, D.; OBARZANEK, E.; CONLIN, P. R.; MILLER, E. R.; SIMONS-MORTON, D. G.; KARANJA, N.; LIN, P. H. Effects on blood pressure of reduced dietary sodium and the Dietary Approaches to Stop Hypertension (DASH) diet. </w:t>
      </w:r>
      <w:r w:rsidDel="00000000" w:rsidR="00000000" w:rsidRPr="00000000">
        <w:rPr>
          <w:rFonts w:ascii="Google Sans" w:cs="Google Sans" w:eastAsia="Google Sans" w:hAnsi="Google Sans"/>
          <w:b w:val="1"/>
          <w:bCs w:val="1"/>
          <w:color w:val="1f1f1f"/>
          <w:rtl w:val="0"/>
        </w:rPr>
        <w:t xml:space="preserve">New England Journal of Medicine</w:t>
      </w:r>
      <w:r w:rsidDel="00000000" w:rsidR="00000000" w:rsidRPr="00000000">
        <w:rPr>
          <w:rFonts w:ascii="Google Sans" w:cs="Google Sans" w:eastAsia="Google Sans" w:hAnsi="Google Sans"/>
          <w:color w:val="1f1f1f"/>
          <w:rtl w:val="0"/>
        </w:rPr>
        <w:t xml:space="preserve">, v. 344, n. 1, p. 3-10, 2001.</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SCHAYNOVÁ, L. A Nutrition Adviser's Menu Planning for a Client Using a Linear Optimization Model. </w:t>
      </w:r>
      <w:r w:rsidDel="00000000" w:rsidR="00000000" w:rsidRPr="00000000">
        <w:rPr>
          <w:rFonts w:ascii="Google Sans" w:cs="Google Sans" w:eastAsia="Google Sans" w:hAnsi="Google Sans"/>
          <w:b w:val="1"/>
          <w:bCs w:val="1"/>
          <w:color w:val="1f1f1f"/>
          <w:rtl w:val="0"/>
        </w:rPr>
        <w:t xml:space="preserve">Acta Polytechnica Hungarica</w:t>
      </w:r>
      <w:r w:rsidDel="00000000" w:rsidR="00000000" w:rsidRPr="00000000">
        <w:rPr>
          <w:rFonts w:ascii="Google Sans" w:cs="Google Sans" w:eastAsia="Google Sans" w:hAnsi="Google Sans"/>
          <w:color w:val="1f1f1f"/>
          <w:rtl w:val="0"/>
        </w:rPr>
        <w:t xml:space="preserve">, v. 14, n. 5, p. 121-137, 2017.</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SILVEIRA, A. M.; UCHIDA, N. S. Programa de alimentação do trabalhador: Composição nutricional e comparação com a ingestão diária recomendada em uma unidade de alimentação e nutrição. </w:t>
      </w:r>
      <w:r w:rsidDel="00000000" w:rsidR="00000000" w:rsidRPr="00000000">
        <w:rPr>
          <w:rFonts w:ascii="Google Sans" w:cs="Google Sans" w:eastAsia="Google Sans" w:hAnsi="Google Sans"/>
          <w:b w:val="1"/>
          <w:bCs w:val="1"/>
          <w:color w:val="1f1f1f"/>
          <w:rtl w:val="0"/>
        </w:rPr>
        <w:t xml:space="preserve">Revista Brasileira de Obesidade, Nutrição e Emagrecimento (RBONE)</w:t>
      </w:r>
      <w:r w:rsidDel="00000000" w:rsidR="00000000" w:rsidRPr="00000000">
        <w:rPr>
          <w:rFonts w:ascii="Google Sans" w:cs="Google Sans" w:eastAsia="Google Sans" w:hAnsi="Google Sans"/>
          <w:color w:val="1f1f1f"/>
          <w:rtl w:val="0"/>
        </w:rPr>
        <w:t xml:space="preserve">, v. 18, n. 113, p. 1-10, 2024.</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SPAK, M. D. S.; COLMENERO, J. C. University restaurants menu planning using mathematical modelling. </w:t>
      </w:r>
      <w:r w:rsidDel="00000000" w:rsidR="00000000" w:rsidRPr="00000000">
        <w:rPr>
          <w:rFonts w:ascii="Google Sans" w:cs="Google Sans" w:eastAsia="Google Sans" w:hAnsi="Google Sans"/>
          <w:b w:val="1"/>
          <w:bCs w:val="1"/>
          <w:color w:val="1f1f1f"/>
          <w:rtl w:val="0"/>
        </w:rPr>
        <w:t xml:space="preserve">Journal of Food and Nutrition Research</w:t>
      </w:r>
      <w:r w:rsidDel="00000000" w:rsidR="00000000" w:rsidRPr="00000000">
        <w:rPr>
          <w:rFonts w:ascii="Google Sans" w:cs="Google Sans" w:eastAsia="Google Sans" w:hAnsi="Google Sans"/>
          <w:color w:val="1f1f1f"/>
          <w:rtl w:val="0"/>
        </w:rPr>
        <w:t xml:space="preserve">, v. 60, p. 38-48, 2021.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STIGLER, G. J. The cost of subsistence. </w:t>
      </w:r>
      <w:r w:rsidDel="00000000" w:rsidR="00000000" w:rsidRPr="00000000">
        <w:rPr>
          <w:rFonts w:ascii="Google Sans" w:cs="Google Sans" w:eastAsia="Google Sans" w:hAnsi="Google Sans"/>
          <w:b w:val="1"/>
          <w:bCs w:val="1"/>
          <w:color w:val="1f1f1f"/>
          <w:rtl w:val="0"/>
        </w:rPr>
        <w:t xml:space="preserve">Journal of Farm Economics</w:t>
      </w:r>
      <w:r w:rsidDel="00000000" w:rsidR="00000000" w:rsidRPr="00000000">
        <w:rPr>
          <w:rFonts w:ascii="Google Sans" w:cs="Google Sans" w:eastAsia="Google Sans" w:hAnsi="Google Sans"/>
          <w:color w:val="1f1f1f"/>
          <w:rtl w:val="0"/>
        </w:rPr>
        <w:t xml:space="preserve">, v. 27, n. 2, p. 303-314, 1945.</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SUFAHANI, S.; ISMAIL, Z. A real diet problem using a mathematical model. </w:t>
      </w:r>
      <w:r w:rsidDel="00000000" w:rsidR="00000000" w:rsidRPr="00000000">
        <w:rPr>
          <w:rFonts w:ascii="Google Sans" w:cs="Google Sans" w:eastAsia="Google Sans" w:hAnsi="Google Sans"/>
          <w:b w:val="1"/>
          <w:bCs w:val="1"/>
          <w:color w:val="1f1f1f"/>
          <w:rtl w:val="0"/>
        </w:rPr>
        <w:t xml:space="preserve">Applied Mathematical Sciences</w:t>
      </w:r>
      <w:r w:rsidDel="00000000" w:rsidR="00000000" w:rsidRPr="00000000">
        <w:rPr>
          <w:rFonts w:ascii="Google Sans" w:cs="Google Sans" w:eastAsia="Google Sans" w:hAnsi="Google Sans"/>
          <w:color w:val="1f1f1f"/>
          <w:rtl w:val="0"/>
        </w:rPr>
        <w:t xml:space="preserve">, v. 8, n. 53, p. 2621-2627, 2014.</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WHO - WORLD HEALTH ORGANIZATION. </w:t>
      </w:r>
      <w:r w:rsidDel="00000000" w:rsidR="00000000" w:rsidRPr="00000000">
        <w:rPr>
          <w:rFonts w:ascii="Google Sans" w:cs="Google Sans" w:eastAsia="Google Sans" w:hAnsi="Google Sans"/>
          <w:b w:val="1"/>
          <w:bCs w:val="1"/>
          <w:color w:val="1f1f1f"/>
          <w:rtl w:val="0"/>
        </w:rPr>
        <w:t xml:space="preserve">Guideline: Sugars intake for adults and children</w:t>
      </w:r>
      <w:r w:rsidDel="00000000" w:rsidR="00000000" w:rsidRPr="00000000">
        <w:rPr>
          <w:rFonts w:ascii="Google Sans" w:cs="Google Sans" w:eastAsia="Google Sans" w:hAnsi="Google Sans"/>
          <w:color w:val="1f1f1f"/>
          <w:rtl w:val="0"/>
        </w:rPr>
        <w:t xml:space="preserve">. Geneva: World Health Organization, 2015.</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XAVIER, P. L.; SILVA, A. G.; SOUZA, R. P. Formulação multiobjetivo para planejamento de dietas com baixa caloria e balanço nutricional. </w:t>
      </w:r>
      <w:r w:rsidDel="00000000" w:rsidR="00000000" w:rsidRPr="00000000">
        <w:rPr>
          <w:rFonts w:ascii="Google Sans" w:cs="Google Sans" w:eastAsia="Google Sans" w:hAnsi="Google Sans"/>
          <w:b w:val="1"/>
          <w:bCs w:val="1"/>
          <w:color w:val="1f1f1f"/>
          <w:rtl w:val="0"/>
        </w:rPr>
        <w:t xml:space="preserve">Revista de Otimização e Nutrição</w:t>
      </w:r>
      <w:r w:rsidDel="00000000" w:rsidR="00000000" w:rsidRPr="00000000">
        <w:rPr>
          <w:rFonts w:ascii="Google Sans" w:cs="Google Sans" w:eastAsia="Google Sans" w:hAnsi="Google Sans"/>
          <w:color w:val="1f1f1f"/>
          <w:rtl w:val="0"/>
        </w:rPr>
        <w:t xml:space="preserve">, v. 4, n. 2, p. 89-105, 2023.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1.png"/><Relationship Id="rId41" Type="http://schemas.openxmlformats.org/officeDocument/2006/relationships/image" Target="media/image19.png"/><Relationship Id="rId44" Type="http://schemas.openxmlformats.org/officeDocument/2006/relationships/image" Target="media/image2.png"/><Relationship Id="rId43" Type="http://schemas.openxmlformats.org/officeDocument/2006/relationships/image" Target="media/image8.png"/><Relationship Id="rId46" Type="http://schemas.openxmlformats.org/officeDocument/2006/relationships/image" Target="media/image40.png"/><Relationship Id="rId45"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43.png"/><Relationship Id="rId47" Type="http://schemas.openxmlformats.org/officeDocument/2006/relationships/image" Target="media/image56.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image" Target="media/image37.png"/><Relationship Id="rId72" Type="http://schemas.openxmlformats.org/officeDocument/2006/relationships/image" Target="media/image14.png"/><Relationship Id="rId31" Type="http://schemas.openxmlformats.org/officeDocument/2006/relationships/image" Target="media/image27.png"/><Relationship Id="rId30" Type="http://schemas.openxmlformats.org/officeDocument/2006/relationships/image" Target="media/image23.png"/><Relationship Id="rId33" Type="http://schemas.openxmlformats.org/officeDocument/2006/relationships/image" Target="media/image41.png"/><Relationship Id="rId32" Type="http://schemas.openxmlformats.org/officeDocument/2006/relationships/image" Target="media/image33.png"/><Relationship Id="rId35" Type="http://schemas.openxmlformats.org/officeDocument/2006/relationships/image" Target="media/image26.png"/><Relationship Id="rId34" Type="http://schemas.openxmlformats.org/officeDocument/2006/relationships/image" Target="media/image28.png"/><Relationship Id="rId71" Type="http://schemas.openxmlformats.org/officeDocument/2006/relationships/image" Target="media/image6.png"/><Relationship Id="rId70"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36.png"/><Relationship Id="rId39" Type="http://schemas.openxmlformats.org/officeDocument/2006/relationships/image" Target="media/image17.png"/><Relationship Id="rId38" Type="http://schemas.openxmlformats.org/officeDocument/2006/relationships/image" Target="media/image11.png"/><Relationship Id="rId62" Type="http://schemas.openxmlformats.org/officeDocument/2006/relationships/image" Target="media/image3.png"/><Relationship Id="rId61" Type="http://schemas.openxmlformats.org/officeDocument/2006/relationships/image" Target="media/image20.png"/><Relationship Id="rId20" Type="http://schemas.openxmlformats.org/officeDocument/2006/relationships/image" Target="media/image30.png"/><Relationship Id="rId64" Type="http://schemas.openxmlformats.org/officeDocument/2006/relationships/image" Target="media/image4.png"/><Relationship Id="rId63" Type="http://schemas.openxmlformats.org/officeDocument/2006/relationships/image" Target="media/image12.png"/><Relationship Id="rId22" Type="http://schemas.openxmlformats.org/officeDocument/2006/relationships/image" Target="media/image55.png"/><Relationship Id="rId66" Type="http://schemas.openxmlformats.org/officeDocument/2006/relationships/image" Target="media/image34.png"/><Relationship Id="rId21" Type="http://schemas.openxmlformats.org/officeDocument/2006/relationships/image" Target="media/image38.png"/><Relationship Id="rId65" Type="http://schemas.openxmlformats.org/officeDocument/2006/relationships/image" Target="media/image16.png"/><Relationship Id="rId24" Type="http://schemas.openxmlformats.org/officeDocument/2006/relationships/image" Target="media/image49.png"/><Relationship Id="rId68" Type="http://schemas.openxmlformats.org/officeDocument/2006/relationships/image" Target="media/image29.png"/><Relationship Id="rId23" Type="http://schemas.openxmlformats.org/officeDocument/2006/relationships/image" Target="media/image47.png"/><Relationship Id="rId67" Type="http://schemas.openxmlformats.org/officeDocument/2006/relationships/image" Target="media/image24.png"/><Relationship Id="rId60" Type="http://schemas.openxmlformats.org/officeDocument/2006/relationships/image" Target="media/image25.png"/><Relationship Id="rId26" Type="http://schemas.openxmlformats.org/officeDocument/2006/relationships/image" Target="media/image62.png"/><Relationship Id="rId25" Type="http://schemas.openxmlformats.org/officeDocument/2006/relationships/image" Target="media/image46.png"/><Relationship Id="rId69" Type="http://schemas.openxmlformats.org/officeDocument/2006/relationships/image" Target="media/image18.png"/><Relationship Id="rId28" Type="http://schemas.openxmlformats.org/officeDocument/2006/relationships/image" Target="media/image7.png"/><Relationship Id="rId27" Type="http://schemas.openxmlformats.org/officeDocument/2006/relationships/image" Target="media/image50.png"/><Relationship Id="rId29" Type="http://schemas.openxmlformats.org/officeDocument/2006/relationships/image" Target="media/image5.png"/><Relationship Id="rId51" Type="http://schemas.openxmlformats.org/officeDocument/2006/relationships/image" Target="media/image57.png"/><Relationship Id="rId50" Type="http://schemas.openxmlformats.org/officeDocument/2006/relationships/image" Target="media/image61.png"/><Relationship Id="rId53" Type="http://schemas.openxmlformats.org/officeDocument/2006/relationships/image" Target="media/image31.png"/><Relationship Id="rId52" Type="http://schemas.openxmlformats.org/officeDocument/2006/relationships/image" Target="media/image65.png"/><Relationship Id="rId11" Type="http://schemas.openxmlformats.org/officeDocument/2006/relationships/image" Target="media/image53.png"/><Relationship Id="rId55" Type="http://schemas.openxmlformats.org/officeDocument/2006/relationships/image" Target="media/image32.png"/><Relationship Id="rId10" Type="http://schemas.openxmlformats.org/officeDocument/2006/relationships/image" Target="media/image42.png"/><Relationship Id="rId54" Type="http://schemas.openxmlformats.org/officeDocument/2006/relationships/image" Target="media/image22.png"/><Relationship Id="rId13" Type="http://schemas.openxmlformats.org/officeDocument/2006/relationships/image" Target="media/image64.png"/><Relationship Id="rId57" Type="http://schemas.openxmlformats.org/officeDocument/2006/relationships/image" Target="media/image45.png"/><Relationship Id="rId12" Type="http://schemas.openxmlformats.org/officeDocument/2006/relationships/image" Target="media/image58.png"/><Relationship Id="rId56" Type="http://schemas.openxmlformats.org/officeDocument/2006/relationships/image" Target="media/image35.png"/><Relationship Id="rId15" Type="http://schemas.openxmlformats.org/officeDocument/2006/relationships/image" Target="media/image52.png"/><Relationship Id="rId59" Type="http://schemas.openxmlformats.org/officeDocument/2006/relationships/image" Target="media/image48.png"/><Relationship Id="rId14" Type="http://schemas.openxmlformats.org/officeDocument/2006/relationships/image" Target="media/image63.png"/><Relationship Id="rId58" Type="http://schemas.openxmlformats.org/officeDocument/2006/relationships/image" Target="media/image44.png"/><Relationship Id="rId17" Type="http://schemas.openxmlformats.org/officeDocument/2006/relationships/image" Target="media/image66.png"/><Relationship Id="rId16" Type="http://schemas.openxmlformats.org/officeDocument/2006/relationships/image" Target="media/image59.png"/><Relationship Id="rId19" Type="http://schemas.openxmlformats.org/officeDocument/2006/relationships/image" Target="media/image67.png"/><Relationship Id="rId18" Type="http://schemas.openxmlformats.org/officeDocument/2006/relationships/image" Target="media/image6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