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Evolução dos Modelos Matemáticos na Otimização de Cardápios: Do Problema da Dieta Clássico à Programação Linear Inteira Mista Aplicada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Introdução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intersecção entre as ciências exatas, especificamente a Pesquisa Operacional, e as ciências biológicas da Nutrição tem se consolidado nas últimas décadas como um campo de investigação científica de alta relevância estratégica, econômica e social. Desde as primeiras formulações matemáticas concebidas no alvorecer do século XX até as complexas arquiteturas algorítmicas contemporâneas, o objetivo central desta fusão disciplinar tem permanecido imutável em sua essência: determinar a combinação quantitativa e qualitativa ideal de alimentos que satisfaça rigorosos requisitos nutricionais humanos, enquanto minimiza os custos financeiros de aquisição ou maximiza outros atributos operacionais de interesse, tais como a aceitabilidade sensorial, a diversidade cultural e, mais recentemente, a sustentabilidade ecológica das cadeias produtivas (SPAK; COLMENERO, 2021).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contexto da sociedade contemporânea, a alimentação coletiva tornou-se uma engrenagem fundamental da saúde pública e da economia de escala. As Unidades de Alimentação e Nutrição (UANs) – uma categoria abrangente que engloba restaurantes universitários, refeitórios industriais, complexos hospitalares, instalações militares e imensos programas governamentais de alimentação escolar – operam diariamente sob pressões orçamentárias severas e escrutínio regulatório intenso. Nestes ambientes, a elaboração de cardápios transcende o mero cálculo calórico ou a intuição gastronômica do profissional nutricionista. Trata-se, sob a ótica matemática rigorosa, de um problema de otimização combinatória de larga escala, frequentemente classificado no domínio computacional como um problema NP-Difícil (Non-deterministic Polynomial-time hard), onde matrizes contendo variáveis econômicas, fisiológicas, logísticas e socioculturais colidem e exigem modelagem de alta precisão (BENVENUTI; DE SANTIS, 2020).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da elaboração manual de cardápios, dependente da tentativa e erro e da heurística empírica do planejador, para o uso de solucionadores computacionais avançados representa um salto paradigmático. A incapacidade do cérebro humano de processar simultaneamente milhares de combinações de macro e micronutrientes, interações de palatabilidade, restrições de orçamento, saonalidade de safras agrícolas e regras federais de repetição de ingredientes, torna a adoção da modelagem matemática não apenas uma vantagem competitiva, mas uma necessidade imperativa de gestão pública e privada. Neste cenário, algoritmos de otimização assumem o papel de ferramentas de apoio à decisão, mitigando desperdícios, prevenindo carências nutricionais coletivas e assegurando a viabilidade financeira das operações institucionais de alimentação (VERLY-JR et al., 2013).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relatório técnico-científico foi meticulosamente delineado para apresentar uma investigação exaustiva, profunda e didática sobre a gênese e a evolução dos modelos matemáticos aplicados à elaboração de cardápios, com foco especial em sua aplicabilidade moderna. A análise inicia-se com a desconstrução rigorosa da formulação clássica do "Problema da Dieta", delineado originalmente pelo célebre economista George Stigler, detalhando suas premissas históricas e dissecando as limitações intrínsecas que motivaram o posterior desenvolvimento de novas abordagens (STIGLER, 1945). Em seguida, o documento aprofunda-se na transição para a estruturação matemática genérica do problema de cardápios moderno (Menu Planning Problem), definindo de forma rigorosa as funções objetivo predominantes, o comportamento das variáveis de decisão (contínuas, inteiras e binárias) e a arquitetura da matriz genérica de restrições operacionais e biológicas (BALINTFY, 1964).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Adentrando o estado da arte do planejamento em Unidades de Alimentação e Nutrição, o relatório elucida a aplicação contemporânea da Programação Linear Inteira Mista (PLIM), demonstrando como os modelos de variáveis booleanas e fracionárias trabalham em uníssono para resolver os obstáculos de fracionamento irrealista e monotonia dietética herdados das formulações clássicas puramente contínuas (MILAGRES, 2018). Por fim, conduz-se um amplo e minucioso levantamento da literatura acadêmica produzida ao longo dos últimos 15 anos (2011-2026), mapeando as inovações em Programação por Metas (Goal Programming), as adaptações estruturais para atendimento de políticas públicas brasileiras como o Programa Nacional de Alimentação Escolar (PNAE), e a inserção incipiente e urgente das métricas de sustentabilidade ambiental, como a Pegada de Carbono, na otimização dietética do século XXI (LIMA et al., 2023).</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Gênese Histórica e a Formulação Clássica do "Problema da Dieta"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compreender a sofisticação dos sistemas especialistas de elaboração de cardápios utilizados atualmente, é imprescindível retroceder ao berço da Pesquisa Operacional e examinar as circunstâncias que deram origem à matematização da alimentação humana. O marco zero da aplicação de métodos estritamente quantitativos na formulação de dietas estabeleceu-se durante o dramático período entre o final da década de 1930 e meados da década de 1940. Em meio aos colossais esforços logísticos exigidos pela Segunda Guerra Mundial, o governo dos Estados Unidos, através de suas divisões militares e órgãos de pesquisa agrícola, deparou-se com um desafio de alocação de recursos sem precedentes: como determinar uma dieta de custo minimizado que pudesse suprir todas as necessidades nutricionais básicas dos soldados no front e da população civil na retaguarda, garantindo a máxima eficiência biológica com a mínima alocação de recursos financeiros e insumos agrícolas (DANTZIG, 1990).</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 Estudo Seminal de George Stigler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desafio logístico e biológico militar foi abstraído e formalizado no campo da economia matemática pelo eminente economista George Stigler, que viria a ser laureado com o Prêmio Nobel de Ciências Econômicas em 1982. Em 1945, Stigler publicou em periódico especializado o seu artigo seminal intitulado "The Cost of Subsistence" (O Custo da Subsistência), onde delineou matematicamente a busca pela eficiência alocativa alimentar (STIGLER, 1945). Conhecido universalmente desde então como a "Dieta de Stigler" ou o clássico "Problema da Dieta", o modelo estruturou-se na premissa de determinar a combinação exata e quantitativa de alimentos básicos que suprisse as necessidades fisiológicas diárias de um indivíduo adulto (STIGLER, 1945).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Stigler baseou-se nas Ingestões Diárias Recomendadas (Recommended Dietary Allowances - RDAs) publicadas em 1943 pelo recém-formado Conselho Nacional de Pesquisa (National Research Council) dos Estados Unidos. Ele parametrizou o seu modelo visando um "homem moderadamente ativo de 70 quilogramas (154 libras)", estabelecendo limites mínimos estritos para nove nutrientes considerados essenciais à época para prevenir doenças carenciais e manter a força de trabalho (DANTZIG, 1990; STIGLER, 1945). Os parâmetros nutricionais que compuseram a matriz restritiva original do experimento encontram-se sumarizados na Tabela 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Elemento Nutricional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Ingestão Diária Recomendada (RDA - Padrão 1943)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Energia Calórica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kcal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Proteína Total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Cálcio (Mineral)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 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Ferro (Mineral)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Vitamina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 UI (Unidades Internacionais)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Tiamina (Vitamina B1)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mg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Riboflavina (Vitamina B2)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mg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Niacina (Vitamina B3)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mg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Ácido Ascórbico (Vitamina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mg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Tabela 1: Parâmetros fisiológicos e exigências nutricionais do Problema da Dieta original estabelecido na década de 1940 (STIGLER, 1945).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alimentar o seu modelo com variáveis econômicas e composicionais, Stigler utilizou uma base de dados empírica, compilada a partir de levantamentos do </w:t>
      </w:r>
      <w:r w:rsidDel="00000000" w:rsidR="00000000" w:rsidRPr="00000000">
        <w:rPr>
          <w:rFonts w:ascii="Google Sans" w:cs="Google Sans" w:eastAsia="Google Sans" w:hAnsi="Google Sans"/>
          <w:i w:val="1"/>
          <w:iCs w:val="1"/>
          <w:color w:val="1f1f1f"/>
          <w:rtl w:val="0"/>
        </w:rPr>
        <w:t xml:space="preserve">US Bureau of Labor Statistics</w:t>
      </w:r>
      <w:r w:rsidDel="00000000" w:rsidR="00000000" w:rsidRPr="00000000">
        <w:rPr>
          <w:rFonts w:ascii="Google Sans" w:cs="Google Sans" w:eastAsia="Google Sans" w:hAnsi="Google Sans"/>
          <w:color w:val="1f1f1f"/>
          <w:rtl w:val="0"/>
        </w:rPr>
        <w:t xml:space="preserve">, contendo os preços no varejo praticados em agosto de 1939 para uma lista seleta de 77 itens alimentícios primários e comuns (como farinha de trigo, leite evaporado, queijo, fígado bovino, repolho, batatas e diversas variedades de feijão) (STIGLER, 1945). Ele também compilou a composição centesimal (quantidade de nutrientes por unidade de peso) de cada um destes 77 alimentos, estabelecendo a matriz de coeficientes do problema (GASS, 1970).</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 Estrutura Algébrica do Problema Original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Matematicamente, a formulação construída por George Stigler é a quintessência de um problema clássico de Programação Linear (PL) contínua. A elegância da modelagem reside em sua simplicidade algébrica, estruturada da seguinte maneira (LUNA; GOLDBARG, 2005):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Função Objetivo: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propósito inegociável do modelo era a austeridade financeira absoluta. Assim, a função objetivo propunha a minimização estrita da função de custo total diário (ou anual):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63600"/>
            <wp:effectExtent b="0" l="0" r="0" t="0"/>
            <wp:docPr id="44"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5715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Matriz de Restrições: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busca por este custo mínimo estava sujeita a um sistema de inequações lineares que garantiam a ingestão nutricional mínima, além da restrição de não-negatividade estrutural: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63600"/>
            <wp:effectExtent b="0" l="0" r="0" t="0"/>
            <wp:docPr id="46"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5715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539750"/>
            <wp:effectExtent b="0" l="0" r="0" t="0"/>
            <wp:docPr id="45"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Nesta formulação canônica:</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49522" cy="230514"/>
            <wp:effectExtent b="0" l="0" r="0" t="0"/>
            <wp:docPr id="48"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49522" cy="230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o custo financeiro unitário do alimento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47"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 mercado varejista;</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75220" cy="240116"/>
            <wp:effectExtent b="0" l="0" r="0" t="0"/>
            <wp:docPr id="5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175220" cy="240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a quantidade física do alimento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51"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ser adquirida e consumida (esta é a Variável de Decisão contínua do sistema);</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11832" cy="237509"/>
            <wp:effectExtent b="0" l="0" r="0" t="0"/>
            <wp:docPr id="57"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211832" cy="237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a matriz de coeficientes tecnológicos, representando a quantidade específica do nutriente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55"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presente em uma unidade do alimento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62"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32854" cy="234076"/>
            <wp:effectExtent b="0" l="0" r="0" t="0"/>
            <wp:docPr id="58"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132854" cy="234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 o vetor de exigências diárias mínimas (RDAs) do nutriente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60"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541040" cy="235512"/>
            <wp:effectExtent b="0" l="0" r="0" t="0"/>
            <wp:docPr id="63"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541040" cy="235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representando o espaço vetorial dos alimentos candidatos;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500063" cy="234206"/>
            <wp:effectExtent b="0" l="0" r="0" t="0"/>
            <wp:docPr id="65"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500063" cy="234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representando o número de equações de restrição nutricional analisadas simultaneamente.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Embora a formulação matemática estivesse impecavelmente estruturada, George Stigler deparou-se com um obstáculo tecnológico intransponível para a sua época: o ano era 1945, os computadores digitais modernos ainda eram projetos militares sigilosos e o Algoritmo Simplex para a resolução sistemática de equações de Programação Linear ainda não havia sido inventado (fato que ocorreria apenas em 1947) (DANTZIG, 1990).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Incapaz de resolver o imenso sistema de 77 variáveis e 9 restrições de forma exata, Stigler utilizou uma abordagem heurística manual exaustiva e engenhosa. Ele passou semanas avaliando o "rendimento nutricional por dólar" de cada alimento, eliminando progressivamente as variáveis correspondentes a alimentos que eram matematicamente dominados por outros (ou seja, eliminando qualquer alimento que fosse simultaneamente mais caro e menos nutritivo do que as alternativas concorrentes em todos os cenários) (STIGLER, 1945). Após intensos cálculos manuais, a solução heurística encontrada por Stigler custava a irrisória quantia de US$ 39,93 por ano inteiro de alimentação (o equivalente a aproximadamente US$ 0,11 por dia, em valores corrigidos para o mercado norte-americano de 1939) (STIGLER, 1945).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dieta anual resultante desse exaustivo processo de minimização de custos consistia na ingestão de quantidades massivas de apenas cinco ingredientes espartanos: 370 libras de farinha de trigo enriquecida, 57 latas de leite evaporado, 111 libras de repolho, 23 libras de espinafre e 285 libras de feijão branco seco, além de ocasionais porções de fígado bovino adicionadas puramente para atingir os picos necessários de vitaminas do complexo B e ferro mineral (STIGLER, 1945; SMITH, 1959).</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 Confirmação pelo Algoritmo Simplex de Dantzig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relevância histórica do Problema da Dieta transcendeu a economia e a nutrição quando, em 1947, o brilhante matemático George Dantzig, enquanto trabalhava para a Força Aérea dos EUA, desenvolveu o célebre Algoritmo Simplex – a base de toda a Programação Linear moderna (DANTZIG, 1990). Buscando um problema prático complexo do mundo real para testar a convergência matemática de sua nova invenção, pesquisadores sugeriram a Dantzig que aplicasse o Simplex aos dados publicados por Stigler dois anos antes (DANTZIG, 1990).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aplicação empírica do Simplex ao Problema da Dieta foi um marco na história da computação e da pesquisa operacional. Em 1947, um grupo de operadores humanos equipados com calculadoras de mesa mecânicas e trabalhando sob a supervisão de Dantzig levou cerca de 120 dias-homem de operações repetitivas em planilhas cartesianas para rodar o algoritmo e encontrar o ponto ótimo global absoluto do poliedro de soluções (DANTZIG, 1990). O resultado exato do Simplex confirmou que a dieta ótima teórica custava US$ 39,69 anuais, comprovando que a astuta aproximação heurística manual de Stigler (US$ 39,93) havia falhado em encontrar o ponto ótimo absoluto por uma margem de apenas 24 centavos de dólar ao ano (DANTZIG, 1990). O triunfo matemático sedimentou o Problema da Dieta como o exemplo clássico de introdução ao ensino de modelagem em todos os compêndios modernos de otimização (LUNA; GOLDBARG, 2005).</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As Limitações Práticas do Modelo Clássico e o "Stigler Gap"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Apesar do inegável triunfo matemático demonstrando que recursos escassos poderiam ser alocados com precisão cirúrgica por meio de matrizes lineares, a formulação original do Problema da Dieta evidenciou falhas biológicas e sociológicas profundas quando examinada sob o escopo prático da ciência da Nutrição, da fisiologia humana e da gestão de serviços de alimentação coletiva. O próprio George Stigler possuía aguda consciência da inviabilidade orgânica de seu exercício teórico, escrevendo em seu ensaio original uma ressalva que ficaria famosa: "Ninguém recomenda estas dietas para ninguém, muito menos para todos" (STIGLER, 1945).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fracasso pragmático do modelo clássico e de suas inúmeras réplicas iniciais residia na sua matriz de restrições excessivamente simplista e na natureza da função que buscava minimizar irrestritamente apenas o valor monetário. Ao considerar exclusivamente os limites inferiores fisiológicos de sobrevivência celular (</w:t>
      </w:r>
      <w:r w:rsidDel="00000000" w:rsidR="00000000" w:rsidRPr="00000000">
        <w:rPr>
          <w:rFonts w:ascii="Google Sans" w:cs="Google Sans" w:eastAsia="Google Sans" w:hAnsi="Google Sans"/>
          <w:color w:val="1f1f1f"/>
        </w:rPr>
        <w:drawing>
          <wp:inline distB="19050" distT="19050" distL="19050" distR="19050">
            <wp:extent cx="568921" cy="233890"/>
            <wp:effectExtent b="0" l="0" r="0" t="0"/>
            <wp:docPr id="67"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568921" cy="233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ignorar completamente as limitações metabólicas de hipervitaminose, a capacidade gástrica mecânica do estômago humano e as complexas dimensões sensoriais e socioculturais do ato de se alimentar, o modelo matemático distanciou-se da realidade biológica. As principais limitações documentadas na evolução desta teoria podem ser categorizadas em quatro eixos fundamentais.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 Monotonia Extrema, a Falta de Palatabilidade e as "Soluções de Canto"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algoritmo Simplex atua explorando os vértices extremos do polítopo formado pela intersecção das restrições lineares para encontrar o valor ótimo da função objetivo. Em problemas de minimização de custo puro com apenas restrições de limites inferiores, a solução ótima invariavelmente resulta naquilo que os matemáticos e economistas denominam de "solução de canto" (corner solution) (SMITH, 1959). O algoritmo atua com total cegueira algorítmica para o sabor, a textura, a cultura gastronômica ou o prazer humano; sua única diretiva é selecionar e acumular impiedosamente os alimentos isolados que apresentem a maior densidade nutricional teórica por fração de centavo investido (LOCKS, 1980).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resultado palpável desta lógica linear foi uma dieta puramente de subsistência biológica, absolutamente intragável para padrões humanos de longo prazo, composta repetitiva e quase inteiramente por um lodo de farinha de trigo crua, feijões secos, repolho e fígado. O modelo jamais incluiria ingredientes que compõem a culinária real e agradável — tais como açúcares, azeites de oliva, temperos, cortes de carnes mais tenras, frutas frescas variadas ou iguarias refinadas — pelo simples fato de que estes ingredientes, sob uma ótica estritamente matemática, possuem um custo-benefício financeiro inferior na entrega de nutrientes brutos (STIGLER, 1945; SMITH, 1959).</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 Ausência de Limites Superiores: Capacidade Gástrica e Toxicidade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Outra lacuna gravíssima da formulação primeva foi a assimetria das restrições nutricionais. O modelo original apenas exigia que um nutriente atingisse o seu valor mínimo estabelecido (a RDA). Como a Programação Linear contínua adotada por Stigler não estabelecia restrições vetoriais impondo um limite de volume físico total diário a ser ingerido, a matemática admitia soluções onde a quantidade de repolho e feijão recomendada excederia em quilogramas a capacidade física e volumétrica do trato gastrointestinal humano médio (BAZARAA et al., 1990).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Mais alarmante sob o ponto de vista da bioquímica metabólica foi a ausência de tetos de ingestão para os micronutrientes. Como alguns alimentos baratos possuíam teores extremamente altos de determinadas vitaminas, a minimização de custos para suprir calorias frequentemente forçava a ingestão colateral de doses massivas dessas vitaminas. A ausência de limites superiores no modelo ignorou o fenômeno clínico da hipervitaminose, resultando em recomendações sistêmicas que, na prática médica, induziriam uma toxicidade severa pelo acúmulo patológico de vitaminas lipossolúveis (como as vitaminas A, D, E e K, que não são excretadas na urina e se depositam no parênquima hepático e no tecido adiposo) e acúmulo perigoso de minerais como ferro, causando hemocromatose secundária (LOCKS, 1980). Em decorrência dessa falha, teóricos subsequentes, como apontado no célebre compêndio de Bazaraa et al., refinaram o modelo original introduzindo compulsoriamente limites superiores (</w:t>
      </w:r>
      <w:r w:rsidDel="00000000" w:rsidR="00000000" w:rsidRPr="00000000">
        <w:rPr>
          <w:rFonts w:ascii="Google Sans" w:cs="Google Sans" w:eastAsia="Google Sans" w:hAnsi="Google Sans"/>
          <w:color w:val="1f1f1f"/>
        </w:rPr>
        <w:drawing>
          <wp:inline distB="19050" distT="19050" distL="19050" distR="19050">
            <wp:extent cx="175220" cy="240116"/>
            <wp:effectExtent b="0" l="0" r="0" t="0"/>
            <wp:docPr id="69"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175220" cy="240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tetos de macronutrientes na matriz de restrições de demanda (BAZARAA et al., 1990).</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O Fracionamento Contínuo Irrealista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modelo clássico de Programação Linear opera no domínio dos números reais e lida com variáveis de decisão puramente contínuas (</w:t>
      </w:r>
      <w:r w:rsidDel="00000000" w:rsidR="00000000" w:rsidRPr="00000000">
        <w:rPr>
          <w:rFonts w:ascii="Google Sans" w:cs="Google Sans" w:eastAsia="Google Sans" w:hAnsi="Google Sans"/>
          <w:color w:val="1f1f1f"/>
        </w:rPr>
        <w:drawing>
          <wp:inline distB="19050" distT="19050" distL="19050" distR="19050">
            <wp:extent cx="242689" cy="236130"/>
            <wp:effectExtent b="0" l="0" r="0" t="0"/>
            <wp:docPr id="71"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242689" cy="236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algoritmo interpreta os alimentos como substâncias perfeitamente fracionáveis e amorfas. Consequentemente, as soluções ótimas fornecidas pelo modelo primitivo frequentemente continham valores que desafiavam o senso comum do fracionamento físico de víveres, sugerindo a compra e o consumo de quantidades como </w:t>
      </w:r>
      <w:r w:rsidDel="00000000" w:rsidR="00000000" w:rsidRPr="00000000">
        <w:rPr>
          <w:rFonts w:ascii="Google Sans" w:cs="Google Sans" w:eastAsia="Google Sans" w:hAnsi="Google Sans"/>
          <w:color w:val="1f1f1f"/>
        </w:rPr>
        <w:drawing>
          <wp:inline distB="19050" distT="19050" distL="19050" distR="19050">
            <wp:extent cx="450850" cy="218984"/>
            <wp:effectExtent b="0" l="0" r="0" t="0"/>
            <wp:docPr id="72"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450850" cy="218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ovos, </w:t>
      </w:r>
      <w:r w:rsidDel="00000000" w:rsidR="00000000" w:rsidRPr="00000000">
        <w:rPr>
          <w:rFonts w:ascii="Google Sans" w:cs="Google Sans" w:eastAsia="Google Sans" w:hAnsi="Google Sans"/>
          <w:color w:val="1f1f1f"/>
        </w:rPr>
        <w:drawing>
          <wp:inline distB="19050" distT="19050" distL="19050" distR="19050">
            <wp:extent cx="450850" cy="218984"/>
            <wp:effectExtent b="0" l="0" r="0" t="0"/>
            <wp:docPr id="73"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450850" cy="218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maçãs ou frações microscópicas de embalagens não divisíveis (BENVENUTI; DE SANTIS, 2020).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abordagem contínua é diametralmente incompatível com o mundo real do planejamento de cardápios institucionais ou das compras domésticas, onde porções são servidas em unidades inteiras (um bife, uma fruta, uma fatia de pão) e as embalagens são comercializadas em caixas ou latas fechadas. Para que o modelo fosse transposto para operações logísticas viáveis dentro de hospitais, quartéis ou programas governamentais, as variáveis de decisão precisavam ser forçadas a assumir valores inteiros (</w:t>
      </w:r>
      <w:r w:rsidDel="00000000" w:rsidR="00000000" w:rsidRPr="00000000">
        <w:rPr>
          <w:rFonts w:ascii="Google Sans" w:cs="Google Sans" w:eastAsia="Google Sans" w:hAnsi="Google Sans"/>
          <w:color w:val="1f1f1f"/>
        </w:rPr>
        <w:drawing>
          <wp:inline distB="19050" distT="19050" distL="19050" distR="19050">
            <wp:extent cx="248643" cy="235892"/>
            <wp:effectExtent b="0" l="0" r="0" t="0"/>
            <wp:docPr id="7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48643" cy="235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 binários (0 e 1), inaugurando a necessidade da adoção das técnicas de Programação Linear Inteira (PLI), que são computacionalmente muito mais exigentes do que o Simplex original (MILAGRES, 2018).</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O "Stigler Gap" (A Quantificação do Custo da Palatabilidade)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profunda e irreconciliável disparidade entre o modelo de sobrevivência bioquímica pura delineado em papel e a elaboração de uma dieta que seres humanos reais estivessem dispostos a consumir culturalmente levou a academia a formular o conceito do </w:t>
      </w:r>
      <w:r w:rsidDel="00000000" w:rsidR="00000000" w:rsidRPr="00000000">
        <w:rPr>
          <w:rFonts w:ascii="Google Sans" w:cs="Google Sans" w:eastAsia="Google Sans" w:hAnsi="Google Sans"/>
          <w:i w:val="1"/>
          <w:iCs w:val="1"/>
          <w:color w:val="1f1f1f"/>
          <w:rtl w:val="0"/>
        </w:rPr>
        <w:t xml:space="preserve">Stigler Gap</w:t>
      </w:r>
      <w:r w:rsidDel="00000000" w:rsidR="00000000" w:rsidRPr="00000000">
        <w:rPr>
          <w:rFonts w:ascii="Google Sans" w:cs="Google Sans" w:eastAsia="Google Sans" w:hAnsi="Google Sans"/>
          <w:color w:val="1f1f1f"/>
          <w:rtl w:val="0"/>
        </w:rPr>
        <w:t xml:space="preserve"> (a Lacuna de Stigler) (SMITH, 1959; LOCKS, 1980). Definida e elaborada metodologicamente por pesquisadores e economistas da alimentação como Victor Smith na década de 1950, a Lacuna de Stigler pode ser compreendida como a mensuração econômica exata do custo financeiro adicional exigido para transformar uma dieta grotesca de pura subsistência celular em uma dieta humana aceitável, dotada de variedade estrutural, sabor, hábito sociocultural e viabilidade orgânica (SMITH, 1959).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quantificação empírica deste hiato foi explorada em diversos estudos retrospectivos da economia da nutrição. Uma demonstração proeminente utilizou bases de dados e preços aferidos no estado de Oklahoma em 1976 para alimentar dois modelos matemáticos de otimização concorrentes (LOCKS, 1980). O primeiro modelo (Modelo 1) reproduzia estritamente a premissa de Stigler, buscando apenas o atingimento das restrições nutricionais calóricas e vitamínicas (limites inferiores e superiores básicos). O solucionador, operando entre os 392 alimentos candidatos disponíveis em janeiro daquele ano, encontrou o custo mínimo de subsistência de US$ 0,52 diários (LOCKS, 1980).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segundo modelo (Modelo 2) operava com a filosofia de "nutrição aliada à palatabilidade". Neste constructo de vanguarda para a época, as matrizes de otimização foram sobrecarregadas com dezenas de restrições adicionais de Programação Inteira Mista (MILP), projetadas para injetar viabilidade humana na matriz: foram incluídas restrições rígidas proibindo a monotonia através da exigência de um número mínimo de refeições interpostas antes que um mesmo ingrediente pudesse ser repetido, limites impositivos garantindo que certas classes alimentares prazerosas não ficassem de fora da solução, e restrições de complementariedade gastronômica (por exemplo, forçando que sempre que a variável matemática de "pão" fosse selecionada, a variável de "manteiga" ou "geleia" também deveria ser compulsoriamente selecionada na mesma refeição) (LOCKS, 1980).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solução otimizada deste intrincado Modelo 2 resultou em uma recomendação dietética significativamente mais diversificada, englobando 68 alimentos diferentes em rotação harmoniosa. Entretanto, este ganho monumental de qualidade sensorial foi acompanhado de uma majoração financeira proporcional, estabelecendo o custo ótimo diário em US$ 1,15. A diferença aritmética entre os dois ótimos encontrados — a subtração de US$ 1,15 pelo custo básico de US$ 0,52, resultando em exatos US$ 0,63 — forneceu uma evidência estatística insofismável do conceito (LOCKS, 1980). Este valor representava, portanto, a estimativa real do </w:t>
      </w:r>
      <w:r w:rsidDel="00000000" w:rsidR="00000000" w:rsidRPr="00000000">
        <w:rPr>
          <w:rFonts w:ascii="Google Sans" w:cs="Google Sans" w:eastAsia="Google Sans" w:hAnsi="Google Sans"/>
          <w:i w:val="1"/>
          <w:iCs w:val="1"/>
          <w:color w:val="1f1f1f"/>
          <w:rtl w:val="0"/>
        </w:rPr>
        <w:t xml:space="preserve">Stigler Gap</w:t>
      </w:r>
      <w:r w:rsidDel="00000000" w:rsidR="00000000" w:rsidRPr="00000000">
        <w:rPr>
          <w:rFonts w:ascii="Google Sans" w:cs="Google Sans" w:eastAsia="Google Sans" w:hAnsi="Google Sans"/>
          <w:color w:val="1f1f1f"/>
          <w:rtl w:val="0"/>
        </w:rPr>
        <w:t xml:space="preserve"> em 1976: uma taxa adicional de 121% incidindo sobre o custo da mera sobrevivência, paga exclusivamente para adquirir o privilégio da palatabilidade, do costume cultural, do prazer gustativo e da não repetição de sabores em um cardápio humanizado. Tais experimentações tornaram evidente para a academia que as recomendações oriundas do campo da dietética exigiam a consideração matemática simultânea das necessidades fisiológicas e das preferências humanas (LOCKS, 1980; STIGLER, 1945).</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Transição Paradigmática: A Estrutura Matemática Básica do Planejamento de Cardápios Institucionais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limitações colossais do Problema da Dieta em ambientes do mundo real catalisaram a transição para um novo e mais sofisticado paradigma de modelagem na década de 1960. O pioneirismo conceitual que fundou a era moderna das modelagens para as UANs é amplamente atribuído aos trabalhos seminais de Joseph Balintfy (BALINTFY, 1964).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arquitetônica crucial proposta por Balintfy consistiu no abandono metodológico da otimização massiva baseada no peso de ingredientes crus disjuntos e isolados (como farinha crua ou cabeças de repolho, características do modelo de Stigler) em favor da modelagem de variáveis matemáticas que operassem exclusivamente representando </w:t>
      </w:r>
      <w:r w:rsidDel="00000000" w:rsidR="00000000" w:rsidRPr="00000000">
        <w:rPr>
          <w:rFonts w:ascii="Google Sans" w:cs="Google Sans" w:eastAsia="Google Sans" w:hAnsi="Google Sans"/>
          <w:i w:val="1"/>
          <w:iCs w:val="1"/>
          <w:color w:val="1f1f1f"/>
          <w:rtl w:val="0"/>
        </w:rPr>
        <w:t xml:space="preserve">pratos acabados ou preparações culinárias estruturadas</w:t>
      </w:r>
      <w:r w:rsidDel="00000000" w:rsidR="00000000" w:rsidRPr="00000000">
        <w:rPr>
          <w:rFonts w:ascii="Google Sans" w:cs="Google Sans" w:eastAsia="Google Sans" w:hAnsi="Google Sans"/>
          <w:color w:val="1f1f1f"/>
          <w:rtl w:val="0"/>
        </w:rPr>
        <w:t xml:space="preserve"> (por exemplo, a variável binária não seria mais representativa de 100g de batata, mas sim de uma receita inteira e quantificada de "purê de batata com manteiga e sal" ou "estrogonofe de frango com cogumelos") (BALINTFY, 1964). Ademais, a modelagem transitou de um vetor atemporal (ingestão diária total) para uma matriz cronológica, onde os pratos otimizados deveriam ser alocados cirurgicamente em "slots" ou posições estritas de tempo, categorizadas por dias da semana e períodos de refeições específicas, dando origem ao complexo </w:t>
      </w:r>
      <w:r w:rsidDel="00000000" w:rsidR="00000000" w:rsidRPr="00000000">
        <w:rPr>
          <w:rFonts w:ascii="Google Sans" w:cs="Google Sans" w:eastAsia="Google Sans" w:hAnsi="Google Sans"/>
          <w:i w:val="1"/>
          <w:iCs w:val="1"/>
          <w:color w:val="1f1f1f"/>
          <w:rtl w:val="0"/>
        </w:rPr>
        <w:t xml:space="preserve">Problema de Planejamento de Cardápios</w:t>
      </w:r>
      <w:r w:rsidDel="00000000" w:rsidR="00000000" w:rsidRPr="00000000">
        <w:rPr>
          <w:rFonts w:ascii="Google Sans" w:cs="Google Sans" w:eastAsia="Google Sans" w:hAnsi="Google Sans"/>
          <w:color w:val="1f1f1f"/>
          <w:rtl w:val="0"/>
        </w:rPr>
        <w:t xml:space="preserve"> (Menu Planning Problem - MPP) (BALINTFY, 1964; JRIDI; JERBI; KAMOUN, 2018).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absorver e domar essa nova e estonteante complexidade logística, as equações precisaram transcender os polígonos simples, adotando notações densas em índices e vetores operacionais (MARTINS et al., 2019). Abaixo detalhamos os componentes cruciais da estrutura genérica tridimensional atual.</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Conjuntos e Parâmetros de Horizonte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MPP institucional contemporâneo, a formulação exige, inicialmente, a definição cristalina dos conjuntos e dos índices que ancoram o modelo à dimensão temporal e de cardápio da unidade de alimentação (BENVENUTI; DE SANTIS, 2020; JRIDI; JERBI; KAMOUN, 2018):</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Horizonte de Dias (</w:t>
      </w:r>
      <w:r w:rsidDel="00000000" w:rsidR="00000000" w:rsidRPr="00000000">
        <w:rPr>
          <w:rFonts w:ascii="Google Sans" w:cs="Google Sans" w:eastAsia="Google Sans" w:hAnsi="Google Sans"/>
          <w:b w:val="1"/>
          <w:bCs w:val="1"/>
          <w:color w:val="1f1f1f"/>
        </w:rPr>
        <w:drawing>
          <wp:inline distB="19050" distT="19050" distL="19050" distR="19050">
            <wp:extent cx="157758" cy="233482"/>
            <wp:effectExtent b="0" l="0" r="0" t="0"/>
            <wp:docPr id="2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57758" cy="23348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Define a janela temporal da otimização, percorrida pelo índice </w:t>
      </w:r>
      <w:r w:rsidDel="00000000" w:rsidR="00000000" w:rsidRPr="00000000">
        <w:rPr>
          <w:rFonts w:ascii="Google Sans" w:cs="Google Sans" w:eastAsia="Google Sans" w:hAnsi="Google Sans"/>
          <w:color w:val="1f1f1f"/>
        </w:rPr>
        <w:drawing>
          <wp:inline distB="19050" distT="19050" distL="19050" distR="19050">
            <wp:extent cx="95944" cy="236663"/>
            <wp:effectExtent b="0" l="0" r="0" t="0"/>
            <wp:docPr id="3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9594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cardápios de restaurantes de empresas, é comum que a abrangência de </w:t>
      </w:r>
      <w:r w:rsidDel="00000000" w:rsidR="00000000" w:rsidRPr="00000000">
        <w:rPr>
          <w:rFonts w:ascii="Google Sans" w:cs="Google Sans" w:eastAsia="Google Sans" w:hAnsi="Google Sans"/>
          <w:color w:val="1f1f1f"/>
        </w:rPr>
        <w:drawing>
          <wp:inline distB="19050" distT="19050" distL="19050" distR="19050">
            <wp:extent cx="95944" cy="236663"/>
            <wp:effectExtent b="0" l="0" r="0" t="0"/>
            <wp:docPr id="3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9594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seja de </w:t>
      </w:r>
      <w:r w:rsidDel="00000000" w:rsidR="00000000" w:rsidRPr="00000000">
        <w:rPr>
          <w:rFonts w:ascii="Google Sans" w:cs="Google Sans" w:eastAsia="Google Sans" w:hAnsi="Google Sans"/>
          <w:color w:val="1f1f1f"/>
        </w:rPr>
        <w:drawing>
          <wp:inline distB="19050" distT="19050" distL="19050" distR="19050">
            <wp:extent cx="462062" cy="215207"/>
            <wp:effectExtent b="0" l="0" r="0" t="0"/>
            <wp:docPr id="34"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462062" cy="2152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ciclos semanais rotativos, ou </w:t>
      </w:r>
      <w:r w:rsidDel="00000000" w:rsidR="00000000" w:rsidRPr="00000000">
        <w:rPr>
          <w:rFonts w:ascii="Google Sans" w:cs="Google Sans" w:eastAsia="Google Sans" w:hAnsi="Google Sans"/>
          <w:color w:val="1f1f1f"/>
        </w:rPr>
        <w:drawing>
          <wp:inline distB="19050" distT="19050" distL="19050" distR="19050">
            <wp:extent cx="896044" cy="235132"/>
            <wp:effectExtent b="0" l="0" r="0" t="0"/>
            <wp:docPr id="36"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896044" cy="235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o exaustivo planejamento de grades de cardápio mensais, comuns em licitações e contratos estatais.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Períodos de Refeição Diários (</w:t>
      </w:r>
      <w:r w:rsidDel="00000000" w:rsidR="00000000" w:rsidRPr="00000000">
        <w:rPr>
          <w:rFonts w:ascii="Google Sans" w:cs="Google Sans" w:eastAsia="Google Sans" w:hAnsi="Google Sans"/>
          <w:b w:val="1"/>
          <w:bCs w:val="1"/>
          <w:color w:val="1f1f1f"/>
        </w:rPr>
        <w:drawing>
          <wp:inline distB="19050" distT="19050" distL="19050" distR="19050">
            <wp:extent cx="169664" cy="232503"/>
            <wp:effectExtent b="0" l="0" r="0" t="0"/>
            <wp:docPr id="38"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69664" cy="23250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O índice </w:t>
      </w:r>
      <w:r w:rsidDel="00000000" w:rsidR="00000000" w:rsidRPr="00000000">
        <w:rPr>
          <w:rFonts w:ascii="Google Sans" w:cs="Google Sans" w:eastAsia="Google Sans" w:hAnsi="Google Sans"/>
          <w:color w:val="1f1f1f"/>
        </w:rPr>
        <w:drawing>
          <wp:inline distB="19050" distT="19050" distL="19050" distR="19050">
            <wp:extent cx="101897" cy="235638"/>
            <wp:effectExtent b="0" l="0" r="0" t="0"/>
            <wp:docPr id="40"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varre os momentos de alimentação fornecidos no dia, tais como </w:t>
      </w:r>
      <w:r w:rsidDel="00000000" w:rsidR="00000000" w:rsidRPr="00000000">
        <w:rPr>
          <w:rFonts w:ascii="Google Sans" w:cs="Google Sans" w:eastAsia="Google Sans" w:hAnsi="Google Sans"/>
          <w:color w:val="1f1f1f"/>
        </w:rPr>
        <w:drawing>
          <wp:inline distB="19050" distT="19050" distL="19050" distR="19050">
            <wp:extent cx="440035" cy="235961"/>
            <wp:effectExtent b="0" l="0" r="0" t="0"/>
            <wp:docPr id="41"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440035" cy="235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denotando o desjejum da manhã, </w:t>
      </w:r>
      <w:r w:rsidDel="00000000" w:rsidR="00000000" w:rsidRPr="00000000">
        <w:rPr>
          <w:rFonts w:ascii="Google Sans" w:cs="Google Sans" w:eastAsia="Google Sans" w:hAnsi="Google Sans"/>
          <w:color w:val="1f1f1f"/>
        </w:rPr>
        <w:drawing>
          <wp:inline distB="19050" distT="19050" distL="19050" distR="19050">
            <wp:extent cx="440035" cy="235961"/>
            <wp:effectExtent b="0" l="0" r="0" t="0"/>
            <wp:docPr id="4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440035" cy="235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representando o pico operacional do almoço e </w:t>
      </w:r>
      <w:r w:rsidDel="00000000" w:rsidR="00000000" w:rsidRPr="00000000">
        <w:rPr>
          <w:rFonts w:ascii="Google Sans" w:cs="Google Sans" w:eastAsia="Google Sans" w:hAnsi="Google Sans"/>
          <w:color w:val="1f1f1f"/>
        </w:rPr>
        <w:drawing>
          <wp:inline distB="19050" distT="19050" distL="19050" distR="19050">
            <wp:extent cx="440035" cy="235961"/>
            <wp:effectExtent b="0" l="0" r="0" t="0"/>
            <wp:docPr id="43"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440035" cy="235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jantar servido nos refeitórios noturnos de hospitais.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Repositório de Preparações (</w:t>
      </w:r>
      <w:r w:rsidDel="00000000" w:rsidR="00000000" w:rsidRPr="00000000">
        <w:rPr>
          <w:rFonts w:ascii="Google Sans" w:cs="Google Sans" w:eastAsia="Google Sans" w:hAnsi="Google Sans"/>
          <w:b w:val="1"/>
          <w:bCs w:val="1"/>
          <w:color w:val="1f1f1f"/>
        </w:rPr>
        <w:drawing>
          <wp:inline distB="19050" distT="19050" distL="19050" distR="19050">
            <wp:extent cx="168175" cy="230462"/>
            <wp:effectExtent b="0" l="0" r="0" t="0"/>
            <wp:docPr id="13"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O núcleo da variabilidade. Representado pelo índice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14"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engloba o universo de todas as fichas técnicas e receitas padronizadas previamente cadastradas no software do nutricionista gestor. Um banco de dados pode variar de dezenas a centenas de itens codificados.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As Variáveis de Decisão: O Domínio Booleano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Enquanto a Programação Linear contínua outorgava aos algoritmos o poder de gerar raízes fracionárias inúteis, a formulação canônica do MPP obriga a imposição do caráter combinatório através de Variáveis de Decisão Discretas, frequentemente Binárias (Booleanas), configurando um modelo pertencente ao ramo da Otimização Combinatória (MILAGRES, 2018).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ferramenta principal que governa o arranjo lógico do cardápio é a variável multidimensional estruturada como: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76238"/>
            <wp:effectExtent b="0" l="0" r="0" t="0"/>
            <wp:docPr id="15"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05500" cy="77623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(BENVENUTI; DE SANTIS, 2020; JRIDI; JERBI; KAMOUN, 2018).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adoção destas variáveis discretas expande brutalmente o peso computacional e o fenômeno conhecido como "explosão combinatória". Em um restaurante corporativo tentando planejar um cardápio mensal de 30 dias (</w:t>
      </w:r>
      <w:r w:rsidDel="00000000" w:rsidR="00000000" w:rsidRPr="00000000">
        <w:rPr>
          <w:rFonts w:ascii="Google Sans" w:cs="Google Sans" w:eastAsia="Google Sans" w:hAnsi="Google Sans"/>
          <w:color w:val="1f1f1f"/>
        </w:rPr>
        <w:drawing>
          <wp:inline distB="19050" distT="19050" distL="19050" distR="19050">
            <wp:extent cx="588070" cy="233963"/>
            <wp:effectExtent b="0" l="0" r="0" t="0"/>
            <wp:docPr id="16"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88070" cy="233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servindo 3 turnos de refeição (</w:t>
      </w:r>
      <w:r w:rsidDel="00000000" w:rsidR="00000000" w:rsidRPr="00000000">
        <w:rPr>
          <w:rFonts w:ascii="Google Sans" w:cs="Google Sans" w:eastAsia="Google Sans" w:hAnsi="Google Sans"/>
          <w:color w:val="1f1f1f"/>
        </w:rPr>
        <w:drawing>
          <wp:inline distB="19050" distT="19050" distL="19050" distR="19050">
            <wp:extent cx="507802" cy="237831"/>
            <wp:effectExtent b="0" l="0" r="0" t="0"/>
            <wp:docPr id="17"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07802" cy="237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utilizando um acervo gerencial de 200 receitas ativas e validadas (</w:t>
      </w:r>
      <w:r w:rsidDel="00000000" w:rsidR="00000000" w:rsidRPr="00000000">
        <w:rPr>
          <w:rFonts w:ascii="Google Sans" w:cs="Google Sans" w:eastAsia="Google Sans" w:hAnsi="Google Sans"/>
          <w:color w:val="1f1f1f"/>
        </w:rPr>
        <w:drawing>
          <wp:inline distB="19050" distT="19050" distL="19050" distR="19050">
            <wp:extent cx="690662" cy="234445"/>
            <wp:effectExtent b="0" l="0" r="0" t="0"/>
            <wp:docPr id="18"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690662" cy="2344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matriz de decisão possuirá a espantosa cifra de 18.000 variáveis inteiras binárias. Avaliar todas as ramificações de zeros e uns manualmente tornou-se humanamente inexecutável, consolidando a simbiose entre as UANs de grande porte e a microinformática avançada (SPAK; COLMENERO, 2021).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às variáveis categóricas binárias de aceitação, modelos arquitetados sob a ótica mista (PLIM) albergam Variáveis de Decisão Contínuas Auxiliares, cujo papel é absorver e expressar os graus de liberdade fisiológicos e físicos do problema. Estas variáveis não estritas servem para calibrar sutilmente o percentual de peso bruto final das bandejas dos refeitórios para evitar superalimentação, e, mais notoriamente, figuram como variáveis de desvio e tolerância nutricional, como ocorre na complexa modelagem de folga intrínseca das equações de Programação por Metas, cujas implicações serão dissecadas a seguir (LIMA et al., 2023; JRIDI; JERBI; KAMOUN, 2018).</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O Espectro de Funções Objetivo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eleição criteriosa da Função Objetivo (FO) é a decisão seminal que dita a conduta diretiva do solucionador matemático, determinando as prioridades absolutas da otimização dietética. Com a maturidade da literatura na última quinzena de anos, observou-se a diversificação da FO, migrando de ditames unilaterais monetários para métricas sofisticadas e híbridas (SPAK; COLMENERO, 2021).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A Abordagem Clássica: Minimização de Impacto Econômico (</w:t>
      </w:r>
      <w:r w:rsidDel="00000000" w:rsidR="00000000" w:rsidRPr="00000000">
        <w:rPr>
          <w:rFonts w:ascii="Google Sans" w:cs="Google Sans" w:eastAsia="Google Sans" w:hAnsi="Google Sans"/>
          <w:b w:val="1"/>
          <w:bCs w:val="1"/>
          <w:color w:val="1f1f1f"/>
        </w:rPr>
        <w:drawing>
          <wp:inline distB="19050" distT="19050" distL="19050" distR="19050">
            <wp:extent cx="444599" cy="235003"/>
            <wp:effectExtent b="0" l="0" r="0" t="0"/>
            <wp:docPr id="19"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444599" cy="23500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 arquetípica, incontornável em licitações públicas, ambientes corporativos e contratos terceirizados. Sua essência matemática é voltada invariavelmente a minimizar a carga financeira na aquisição de insumos, salvaguardando as já exíguas margens de lucro nas políticas de alimentação coletiva do Estado (BENVENUTI; DE SANTIS, 2020).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82650"/>
            <wp:effectExtent b="0" l="0" r="0" t="0"/>
            <wp:docPr id="20"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15000" cy="8826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 o coeficiente </w:t>
      </w:r>
      <w:r w:rsidDel="00000000" w:rsidR="00000000" w:rsidRPr="00000000">
        <w:rPr>
          <w:rFonts w:ascii="Google Sans" w:cs="Google Sans" w:eastAsia="Google Sans" w:hAnsi="Google Sans"/>
          <w:color w:val="1f1f1f"/>
        </w:rPr>
        <w:drawing>
          <wp:inline distB="19050" distT="19050" distL="19050" distR="19050">
            <wp:extent cx="166489" cy="246404"/>
            <wp:effectExtent b="0" l="0" r="0" t="0"/>
            <wp:docPr id="21"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66489" cy="246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corresponde ao custo exato da porção padronizada do prato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2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calculada a partir de sua ficha técnica de preparo (MILAGRES, 2018).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A Abordagem Clínica: Minimização de Desvios (Programação por Metas - Goal Programming)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Quando o planejamento destina-se a unidades hospitalares críticas (como alas de nefrologia ou dietas enterais), as exigências de composição química não podem sofrer concessões econômicas drásticas. O objetivo passa a ser o espelhamento exato do cardápio gerado frente às referências de DRIs ideais. O modelo é metamorfoseado, substituindo restrições duras inviáveis por equações de </w:t>
      </w:r>
      <w:r w:rsidDel="00000000" w:rsidR="00000000" w:rsidRPr="00000000">
        <w:rPr>
          <w:rFonts w:ascii="Google Sans" w:cs="Google Sans" w:eastAsia="Google Sans" w:hAnsi="Google Sans"/>
          <w:i w:val="1"/>
          <w:iCs w:val="1"/>
          <w:color w:val="1f1f1f"/>
          <w:rtl w:val="0"/>
        </w:rPr>
        <w:t xml:space="preserve">Goal Programming</w:t>
      </w:r>
      <w:r w:rsidDel="00000000" w:rsidR="00000000" w:rsidRPr="00000000">
        <w:rPr>
          <w:rFonts w:ascii="Google Sans" w:cs="Google Sans" w:eastAsia="Google Sans" w:hAnsi="Google Sans"/>
          <w:color w:val="1f1f1f"/>
          <w:rtl w:val="0"/>
        </w:rPr>
        <w:t xml:space="preserve">, visando erradicar e minimizar os vetores contínuos de desvio positivo de excesso vitamínico (</w:t>
      </w:r>
      <w:r w:rsidDel="00000000" w:rsidR="00000000" w:rsidRPr="00000000">
        <w:rPr>
          <w:rFonts w:ascii="Google Sans" w:cs="Google Sans" w:eastAsia="Google Sans" w:hAnsi="Google Sans"/>
          <w:color w:val="1f1f1f"/>
        </w:rPr>
        <w:drawing>
          <wp:inline distB="19050" distT="19050" distL="19050" distR="19050">
            <wp:extent cx="205482" cy="230389"/>
            <wp:effectExtent b="0" l="0" r="0" t="0"/>
            <wp:docPr id="1"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205482" cy="230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de desvio negativo de déficit nutricional (</w:t>
      </w:r>
      <w:r w:rsidDel="00000000" w:rsidR="00000000" w:rsidRPr="00000000">
        <w:rPr>
          <w:rFonts w:ascii="Google Sans" w:cs="Google Sans" w:eastAsia="Google Sans" w:hAnsi="Google Sans"/>
          <w:color w:val="1f1f1f"/>
        </w:rPr>
        <w:drawing>
          <wp:inline distB="19050" distT="19050" distL="19050" distR="19050">
            <wp:extent cx="205482" cy="230389"/>
            <wp:effectExtent b="0" l="0" r="0" t="0"/>
            <wp:docPr id="2"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205482" cy="230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(JRIDI; JERBI; KAMOUN, 2018).</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42950"/>
            <wp:effectExtent b="0" l="0" r="0" t="0"/>
            <wp:docPr id="3"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715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 os escalares </w:t>
      </w:r>
      <w:r w:rsidDel="00000000" w:rsidR="00000000" w:rsidRPr="00000000">
        <w:rPr>
          <w:rFonts w:ascii="Google Sans" w:cs="Google Sans" w:eastAsia="Google Sans" w:hAnsi="Google Sans"/>
          <w:color w:val="1f1f1f"/>
        </w:rPr>
        <w:drawing>
          <wp:inline distB="19050" distT="19050" distL="19050" distR="19050">
            <wp:extent cx="185738" cy="229076"/>
            <wp:effectExtent b="0" l="0" r="0" t="0"/>
            <wp:docPr id="4"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185738" cy="229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constituem penalidades arbitrárias de ponderação. A pesquisa conduzida por Jridi et al. comprova que elevar a penalidade do desvio positivo do potássio em pacientes que fazem diálise força o solver a blindar o cardápio contra picos hiperpotassêmicos acidentais advindos da soma da ingestão de leguminosas (JRIDI; JERBI; KAMOUN, 2018).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O Paradigma Ecológico: Minimização do Impacto e Passivo Ambiental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Reagindo à escalada das emissões globais da produção intensiva de alimentos, modelagens de vanguarda substituem os gastos financeiros por custos em passivos de sustentabilidade, visando suprimir a Pegada de Carbono (Carbon Footprint) das bandejas dos refeitórios (LIMA; TRICHES, 2021). A arquitetura linear permanece inalterada, porém o coeficiente clássico de dinheiro </w:t>
      </w:r>
      <w:r w:rsidDel="00000000" w:rsidR="00000000" w:rsidRPr="00000000">
        <w:rPr>
          <w:rFonts w:ascii="Google Sans" w:cs="Google Sans" w:eastAsia="Google Sans" w:hAnsi="Google Sans"/>
          <w:color w:val="1f1f1f"/>
        </w:rPr>
        <w:drawing>
          <wp:inline distB="19050" distT="19050" distL="19050" distR="19050">
            <wp:extent cx="166489" cy="246404"/>
            <wp:effectExtent b="0" l="0" r="0" t="0"/>
            <wp:docPr id="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66489" cy="246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cede lugar ao complexo fator de conversão de equivalência de emissão de CO₂ do clico de vida embutido em cada grama de preparação da variável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A Resolução Avançada Multiobjetivo e Vetorial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cenário real de uma UAN raramente é linear; a busca cega pela redução do déficit nutricional engatilha de maneira quase pavloviana uma escalada nos custos de fornecimento. Para navegar através desta correlação diametralmente excludente, modelos aplicados a grades como as do PNAE (Programa Nacional de Alimentação Escolar) utilizam formulações vetoriais, contendo matrizes simultâneas de objetivos conflitantes </w:t>
      </w:r>
      <w:r w:rsidDel="00000000" w:rsidR="00000000" w:rsidRPr="00000000">
        <w:rPr>
          <w:rFonts w:ascii="Google Sans" w:cs="Google Sans" w:eastAsia="Google Sans" w:hAnsi="Google Sans"/>
          <w:color w:val="1f1f1f"/>
        </w:rPr>
        <w:drawing>
          <wp:inline distB="19050" distT="19050" distL="19050" distR="19050">
            <wp:extent cx="2159699" cy="235026"/>
            <wp:effectExtent b="0" l="0" r="0" t="0"/>
            <wp:docPr id="7"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2159699" cy="235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(MILAGRES, 2018). Empregam-se estratégias intrincadas, seja através de aproximações metaheurísticas biológicas, como os Algoritmos Genéticos tipo NSGA-II (Non-dominated Sorting Genetic Algorithm), seja mediante métodos exatos determinísticos como a aproximação </w:t>
      </w:r>
      <w:r w:rsidDel="00000000" w:rsidR="00000000" w:rsidRPr="00000000">
        <w:rPr>
          <w:rFonts w:ascii="Google Sans" w:cs="Google Sans" w:eastAsia="Google Sans" w:hAnsi="Google Sans"/>
          <w:i w:val="1"/>
          <w:iCs w:val="1"/>
          <w:color w:val="1f1f1f"/>
          <w:rtl w:val="0"/>
        </w:rPr>
        <w:t xml:space="preserve">Epsilon-Restrito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4910" cy="230973"/>
            <wp:effectExtent b="0" l="0" r="0" t="0"/>
            <wp:docPr id="8"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74910" cy="2309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-constraint) (MILAGRES, 2018). Tais sistemas varrem o espectro algébrico até desvelar a cobiçada e matematicamente harmoniosa </w:t>
      </w:r>
      <w:r w:rsidDel="00000000" w:rsidR="00000000" w:rsidRPr="00000000">
        <w:rPr>
          <w:rFonts w:ascii="Google Sans" w:cs="Google Sans" w:eastAsia="Google Sans" w:hAnsi="Google Sans"/>
          <w:i w:val="1"/>
          <w:iCs w:val="1"/>
          <w:color w:val="1f1f1f"/>
          <w:rtl w:val="0"/>
        </w:rPr>
        <w:t xml:space="preserve">Fronteira de Pareto</w:t>
      </w:r>
      <w:r w:rsidDel="00000000" w:rsidR="00000000" w:rsidRPr="00000000">
        <w:rPr>
          <w:rFonts w:ascii="Google Sans" w:cs="Google Sans" w:eastAsia="Google Sans" w:hAnsi="Google Sans"/>
          <w:color w:val="1f1f1f"/>
          <w:rtl w:val="0"/>
        </w:rPr>
        <w:t xml:space="preserve"> — o arco geométrico que delineia o subconjunto de todos os cardápios ótimos imbatíveis em todos os critérios, a partir do qual nenhum ganho nutricional adicional pode ser extraído do sistema sem sacrificar e degradar inapelavelmente as rubricas de custo (MILAGRES, 2018).</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A Matriz Genérica de Restrições na Operação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processador nuclear de inteligência de um planejamento automatizado em UANs está ancorado nas ramificações lógicas do vasto vetor de restrições </w:t>
      </w:r>
      <w:r w:rsidDel="00000000" w:rsidR="00000000" w:rsidRPr="00000000">
        <w:rPr>
          <w:rFonts w:ascii="Google Sans" w:cs="Google Sans" w:eastAsia="Google Sans" w:hAnsi="Google Sans"/>
          <w:color w:val="1f1f1f"/>
        </w:rPr>
        <w:drawing>
          <wp:inline distB="19050" distT="19050" distL="19050" distR="19050">
            <wp:extent cx="681732" cy="233556"/>
            <wp:effectExtent b="0" l="0" r="0" t="0"/>
            <wp:docPr id="9"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681732" cy="233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exigências absolutas </w:t>
      </w:r>
      <w:r w:rsidDel="00000000" w:rsidR="00000000" w:rsidRPr="00000000">
        <w:rPr>
          <w:rFonts w:ascii="Google Sans" w:cs="Google Sans" w:eastAsia="Google Sans" w:hAnsi="Google Sans"/>
          <w:color w:val="1f1f1f"/>
        </w:rPr>
        <w:drawing>
          <wp:inline distB="19050" distT="19050" distL="19050" distR="19050">
            <wp:extent cx="693440" cy="235388"/>
            <wp:effectExtent b="0" l="0" r="0" t="0"/>
            <wp:docPr id="10"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693440" cy="2353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(MILAGRES, 2018). Esta arquitetura, a Matriz de Restrições </w:t>
      </w:r>
      <w:r w:rsidDel="00000000" w:rsidR="00000000" w:rsidRPr="00000000">
        <w:rPr>
          <w:rFonts w:ascii="Google Sans" w:cs="Google Sans" w:eastAsia="Google Sans" w:hAnsi="Google Sans"/>
          <w:color w:val="1f1f1f"/>
        </w:rPr>
        <w:drawing>
          <wp:inline distB="19050" distT="19050" distL="19050" distR="19050">
            <wp:extent cx="138311" cy="232613"/>
            <wp:effectExtent b="0" l="0" r="0" t="0"/>
            <wp:docPr id="50"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138311" cy="232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não se ocupa mais do reducionismo da ingestão química, mas abarca dimensões comportamentais estritas.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As Inflexibilidades de Balanço Nutricional (Limits Constraints):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Estas limitantes asseguram a segurança fisiológica humana. Preconizam de forma inequívoca que o agregado volumétrico do teor de todos os nutrientes ocultos nas matrizes alimentares dos pratos selecionados esteja firmemente alicerçado dentro das margens toleradas pelos órgãos reguladores: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76300"/>
            <wp:effectExtent b="0" l="0" r="0" t="0"/>
            <wp:docPr id="53" name="image58.png"/>
            <a:graphic>
              <a:graphicData uri="http://schemas.openxmlformats.org/drawingml/2006/picture">
                <pic:pic>
                  <pic:nvPicPr>
                    <pic:cNvPr id="0" name="image58.png"/>
                    <pic:cNvPicPr preferRelativeResize="0"/>
                  </pic:nvPicPr>
                  <pic:blipFill>
                    <a:blip r:embed="rId50"/>
                    <a:srcRect b="0" l="0" r="0" t="0"/>
                    <a:stretch>
                      <a:fillRect/>
                    </a:stretch>
                  </pic:blipFill>
                  <pic:spPr>
                    <a:xfrm>
                      <a:off x="0" y="0"/>
                      <a:ext cx="5715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Onde </w:t>
      </w:r>
      <w:r w:rsidDel="00000000" w:rsidR="00000000" w:rsidRPr="00000000">
        <w:rPr>
          <w:rFonts w:ascii="Google Sans" w:cs="Google Sans" w:eastAsia="Google Sans" w:hAnsi="Google Sans"/>
          <w:color w:val="1f1f1f"/>
        </w:rPr>
        <w:drawing>
          <wp:inline distB="19050" distT="19050" distL="19050" distR="19050">
            <wp:extent cx="228699" cy="235052"/>
            <wp:effectExtent b="0" l="0" r="0" t="0"/>
            <wp:docPr id="54"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228699" cy="2350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mapeia o quantitativo do micronutriente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56"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presente em uma dose de prato </w:t>
      </w:r>
      <w:r w:rsidDel="00000000" w:rsidR="00000000" w:rsidRPr="00000000">
        <w:rPr>
          <w:rFonts w:ascii="Google Sans" w:cs="Google Sans" w:eastAsia="Google Sans" w:hAnsi="Google Sans"/>
          <w:color w:val="1f1f1f"/>
        </w:rPr>
        <w:drawing>
          <wp:inline distB="19050" distT="19050" distL="19050" distR="19050">
            <wp:extent cx="110728" cy="227608"/>
            <wp:effectExtent b="0" l="0" r="0" t="0"/>
            <wp:docPr id="59"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110728" cy="227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enquanto as variáveis fronteiriças contínuas </w:t>
      </w:r>
      <w:r w:rsidDel="00000000" w:rsidR="00000000" w:rsidRPr="00000000">
        <w:rPr>
          <w:rFonts w:ascii="Google Sans" w:cs="Google Sans" w:eastAsia="Google Sans" w:hAnsi="Google Sans"/>
          <w:color w:val="1f1f1f"/>
        </w:rPr>
        <w:drawing>
          <wp:inline distB="19050" distT="19050" distL="19050" distR="19050">
            <wp:extent cx="385763" cy="233987"/>
            <wp:effectExtent b="0" l="0" r="0" t="0"/>
            <wp:docPr id="61" name="image52.png"/>
            <a:graphic>
              <a:graphicData uri="http://schemas.openxmlformats.org/drawingml/2006/picture">
                <pic:pic>
                  <pic:nvPicPr>
                    <pic:cNvPr id="0" name="image52.png"/>
                    <pic:cNvPicPr preferRelativeResize="0"/>
                  </pic:nvPicPr>
                  <pic:blipFill>
                    <a:blip r:embed="rId52"/>
                    <a:srcRect b="0" l="0" r="0" t="0"/>
                    <a:stretch>
                      <a:fillRect/>
                    </a:stretch>
                  </pic:blipFill>
                  <pic:spPr>
                    <a:xfrm>
                      <a:off x="0" y="0"/>
                      <a:ext cx="385763" cy="233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color w:val="1f1f1f"/>
        </w:rPr>
        <w:drawing>
          <wp:inline distB="19050" distT="19050" distL="19050" distR="19050">
            <wp:extent cx="405904" cy="234663"/>
            <wp:effectExtent b="0" l="0" r="0" t="0"/>
            <wp:docPr id="64" name="image57.png"/>
            <a:graphic>
              <a:graphicData uri="http://schemas.openxmlformats.org/drawingml/2006/picture">
                <pic:pic>
                  <pic:nvPicPr>
                    <pic:cNvPr id="0" name="image57.png"/>
                    <pic:cNvPicPr preferRelativeResize="0"/>
                  </pic:nvPicPr>
                  <pic:blipFill>
                    <a:blip r:embed="rId53"/>
                    <a:srcRect b="0" l="0" r="0" t="0"/>
                    <a:stretch>
                      <a:fillRect/>
                    </a:stretch>
                  </pic:blipFill>
                  <pic:spPr>
                    <a:xfrm>
                      <a:off x="0" y="0"/>
                      <a:ext cx="405904" cy="234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consubstanciam as DRIs e legislações vigentes, estabelecendo tetos estritos para toxinas dietéticas como o Sódio cloreto, e limiares urgentes mínimos para componentes funcionais preventivos, tais como fibras dietéticas poli e oligossacarídeas, visando resguardar a microbiota colônica coletiva (BENVENUTI; DE SANTIS, 2020; JRIDI; JERBI; KAMOUN, 2018).</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Restrições Estruturais da Antropologia e Arquitetura da Refeição: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almoço moderno de refeitórios brasileiros não é uma justaposição caótica aleatória de receitas (VERLY-JR et al., 2013). Obedece a imperativos e convenções culinárias profundamente enraizados: há o mandado pela inclusão exata de uma fonte proteica maior (Prato Principal, carne ou análogo orgânico), um componente energético carbo-concentrado (Acompanhamento, como arroz branco ou integral), uma matriz fluida rica em ferro e polifenóis (o tradicional feijão), somado a uma variante de hortaliças cozidas (Guarnição), porções resfriadas folhosas (Salada) e doçura encerante (Sobremesa frutal ou processada).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Subdividindo-se o cesto total de pratos candidatas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66"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 clados categorizados mutuamente exclusivos </w:t>
      </w:r>
      <w:r w:rsidDel="00000000" w:rsidR="00000000" w:rsidRPr="00000000">
        <w:rPr>
          <w:rFonts w:ascii="Google Sans" w:cs="Google Sans" w:eastAsia="Google Sans" w:hAnsi="Google Sans"/>
          <w:color w:val="1f1f1f"/>
        </w:rPr>
        <w:drawing>
          <wp:inline distB="19050" distT="19050" distL="19050" distR="19050">
            <wp:extent cx="210046" cy="235506"/>
            <wp:effectExtent b="0" l="0" r="0" t="0"/>
            <wp:docPr id="68" name="image60.png"/>
            <a:graphic>
              <a:graphicData uri="http://schemas.openxmlformats.org/drawingml/2006/picture">
                <pic:pic>
                  <pic:nvPicPr>
                    <pic:cNvPr id="0" name="image60.png"/>
                    <pic:cNvPicPr preferRelativeResize="0"/>
                  </pic:nvPicPr>
                  <pic:blipFill>
                    <a:blip r:embed="rId54"/>
                    <a:srcRect b="0" l="0" r="0" t="0"/>
                    <a:stretch>
                      <a:fillRect/>
                    </a:stretch>
                  </pic:blipFill>
                  <pic:spPr>
                    <a:xfrm>
                      <a:off x="0" y="0"/>
                      <a:ext cx="210046" cy="235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as referidas finalidades estruturais </w:t>
      </w:r>
      <w:r w:rsidDel="00000000" w:rsidR="00000000" w:rsidRPr="00000000">
        <w:rPr>
          <w:rFonts w:ascii="Google Sans" w:cs="Google Sans" w:eastAsia="Google Sans" w:hAnsi="Google Sans"/>
          <w:color w:val="1f1f1f"/>
        </w:rPr>
        <w:drawing>
          <wp:inline distB="19050" distT="19050" distL="19050" distR="19050">
            <wp:extent cx="79871" cy="246269"/>
            <wp:effectExtent b="0" l="0" r="0" t="0"/>
            <wp:docPr id="70"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79871" cy="246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tem-se a seguinte e poderosa restrição unitária binária de exclusão e garantia: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49300"/>
            <wp:effectExtent b="0" l="0" r="0" t="0"/>
            <wp:docPr id="49"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5715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operar sob a lógica implacável do "0" ou "1", esta fórmula dita que o cérebro matemático de Otimização Combinatória selecione infalivelmente, em qualquer período </w:t>
      </w:r>
      <w:r w:rsidDel="00000000" w:rsidR="00000000" w:rsidRPr="00000000">
        <w:rPr>
          <w:rFonts w:ascii="Google Sans" w:cs="Google Sans" w:eastAsia="Google Sans" w:hAnsi="Google Sans"/>
          <w:color w:val="1f1f1f"/>
        </w:rPr>
        <w:drawing>
          <wp:inline distB="19050" distT="19050" distL="19050" distR="19050">
            <wp:extent cx="101897" cy="235638"/>
            <wp:effectExtent b="0" l="0" r="0" t="0"/>
            <wp:docPr id="2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01897" cy="23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dia iterativo </w:t>
      </w:r>
      <w:r w:rsidDel="00000000" w:rsidR="00000000" w:rsidRPr="00000000">
        <w:rPr>
          <w:rFonts w:ascii="Google Sans" w:cs="Google Sans" w:eastAsia="Google Sans" w:hAnsi="Google Sans"/>
          <w:color w:val="1f1f1f"/>
        </w:rPr>
        <w:drawing>
          <wp:inline distB="19050" distT="19050" distL="19050" distR="19050">
            <wp:extent cx="95944" cy="236663"/>
            <wp:effectExtent b="0" l="0" r="0" t="0"/>
            <wp:docPr id="2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9594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exatamente um (</w:t>
      </w:r>
      <w:r w:rsidDel="00000000" w:rsidR="00000000" w:rsidRPr="00000000">
        <w:rPr>
          <w:rFonts w:ascii="Google Sans" w:cs="Google Sans" w:eastAsia="Google Sans" w:hAnsi="Google Sans"/>
          <w:color w:val="1f1f1f"/>
        </w:rPr>
        <w:drawing>
          <wp:inline distB="19050" distT="19050" distL="19050" distR="19050">
            <wp:extent cx="286941" cy="216800"/>
            <wp:effectExtent b="0" l="0" r="0" t="0"/>
            <wp:docPr id="27" name="image33.png"/>
            <a:graphic>
              <a:graphicData uri="http://schemas.openxmlformats.org/drawingml/2006/picture">
                <pic:pic>
                  <pic:nvPicPr>
                    <pic:cNvPr id="0" name="image33.png"/>
                    <pic:cNvPicPr preferRelativeResize="0"/>
                  </pic:nvPicPr>
                  <pic:blipFill>
                    <a:blip r:embed="rId57"/>
                    <a:srcRect b="0" l="0" r="0" t="0"/>
                    <a:stretch>
                      <a:fillRect/>
                    </a:stretch>
                  </pic:blipFill>
                  <pic:spPr>
                    <a:xfrm>
                      <a:off x="0" y="0"/>
                      <a:ext cx="286941" cy="2168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único representante de cada classe morfológica alimentar concebida, barrando as combinações paradoxais ou absurdas das formulações lineares anteriores, onde pratos e acompanhamentos podiam se entrecruzar confusamente (JRIDI; JERBI; KAMOUN, 2018; BENVENUTI; DE SANTIS, 2020). Em refinamentos adicionais desta limitação, incorporam-se restrições de limite de massa total ponderal somada das receitas constituintes, travando as variáveis contínuas em um teto inegociável de, por exemplo, 500 ou 600 gramas lineares, mitigando ativamente as externalidades negativas advindas do dispendioso desperdício orgânico característico das sobras em bandejas de ambientes ruidosos e estudantis de universidades federais (LIMA; TRICHES, 2021).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Restrições Lógicas Booleanas Anti-Monotonia e Injeção Sistêmica de Variedade: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Constituem o zênite da maturação operacional contra a miopia da Dieta Clássica limitante descrita por Smith (SMITH, 1959; STIGLER, 1945). Os limitantes arquitetônicos de Variedade englobam complexas fórmulas de distanciamento profilático, que intermedeiam para impedir sumariamente que o solver caia no vício algorítmico de servir exaustivamente preparações hiper-baratas e ricas em energia — como proteínas de frango empanado hipercalóricas — em alinhamentos diários sucessivos e desgastantes no mês (BENVENUTI; DE SANTIS, 2020).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 a tutela das matemáticas discretas, formula-se um lapso parametrizado de intervalo de purgação, denominado como horizonte de espaçamento em dias </w:t>
      </w:r>
      <w:r w:rsidDel="00000000" w:rsidR="00000000" w:rsidRPr="00000000">
        <w:rPr>
          <w:rFonts w:ascii="Google Sans" w:cs="Google Sans" w:eastAsia="Google Sans" w:hAnsi="Google Sans"/>
          <w:color w:val="1f1f1f"/>
        </w:rPr>
        <w:drawing>
          <wp:inline distB="19050" distT="19050" distL="19050" distR="19050">
            <wp:extent cx="123726" cy="240940"/>
            <wp:effectExtent b="0" l="0" r="0" t="0"/>
            <wp:docPr id="29"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123726" cy="240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restrição repousa na modelagem temporal: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539750"/>
            <wp:effectExtent b="0" l="0" r="0" t="0"/>
            <wp:docPr id="31"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um arranjo hipotético, ao estabelecer a constante de distanciamento </w:t>
      </w:r>
      <w:r w:rsidDel="00000000" w:rsidR="00000000" w:rsidRPr="00000000">
        <w:rPr>
          <w:rFonts w:ascii="Google Sans" w:cs="Google Sans" w:eastAsia="Google Sans" w:hAnsi="Google Sans"/>
          <w:color w:val="1f1f1f"/>
        </w:rPr>
        <w:drawing>
          <wp:inline distB="19050" distT="19050" distL="19050" distR="19050">
            <wp:extent cx="461863" cy="237346"/>
            <wp:effectExtent b="0" l="0" r="0" t="0"/>
            <wp:docPr id="33" name="image26.png"/>
            <a:graphic>
              <a:graphicData uri="http://schemas.openxmlformats.org/drawingml/2006/picture">
                <pic:pic>
                  <pic:nvPicPr>
                    <pic:cNvPr id="0" name="image26.png"/>
                    <pic:cNvPicPr preferRelativeResize="0"/>
                  </pic:nvPicPr>
                  <pic:blipFill>
                    <a:blip r:embed="rId60"/>
                    <a:srcRect b="0" l="0" r="0" t="0"/>
                    <a:stretch>
                      <a:fillRect/>
                    </a:stretch>
                  </pic:blipFill>
                  <pic:spPr>
                    <a:xfrm>
                      <a:off x="0" y="0"/>
                      <a:ext cx="461863" cy="237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impõe-se matematicamente que o registro unitário "1" para a ingestão de fígado bovino na feição segunda-feira force imperativamente as variáveis adjacentes do fígado a adotarem a configuração estéril "0" nas subsequentes terça-feira (</w:t>
      </w:r>
      <w:r w:rsidDel="00000000" w:rsidR="00000000" w:rsidRPr="00000000">
        <w:rPr>
          <w:rFonts w:ascii="Google Sans" w:cs="Google Sans" w:eastAsia="Google Sans" w:hAnsi="Google Sans"/>
          <w:color w:val="1f1f1f"/>
        </w:rPr>
        <w:drawing>
          <wp:inline distB="19050" distT="19050" distL="19050" distR="19050">
            <wp:extent cx="404713" cy="237689"/>
            <wp:effectExtent b="0" l="0" r="0" t="0"/>
            <wp:docPr id="35"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404713" cy="237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quarta-feira (</w:t>
      </w:r>
      <w:r w:rsidDel="00000000" w:rsidR="00000000" w:rsidRPr="00000000">
        <w:rPr>
          <w:rFonts w:ascii="Google Sans" w:cs="Google Sans" w:eastAsia="Google Sans" w:hAnsi="Google Sans"/>
          <w:color w:val="1f1f1f"/>
        </w:rPr>
        <w:drawing>
          <wp:inline distB="19050" distT="19050" distL="19050" distR="19050">
            <wp:extent cx="404713" cy="237689"/>
            <wp:effectExtent b="0" l="0" r="0" t="0"/>
            <wp:docPr id="37"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404713" cy="237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quebrando compulsoriamente os laços de enfado com o refeitório por interdição matricial, antes que o ciclo permita uma retomada para uma possível variável inteira unitária de ingestão apenas e possivelmente na quinta-feira, forçando o solver a minerar outras fontes e diversificar a compra de insumos no varejo (BENVENUTI; DE SANTIS, 2020).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Ainda na camada anti-monotonia, orquestram-se algoritmos limitantes restritos à </w:t>
      </w:r>
      <w:r w:rsidDel="00000000" w:rsidR="00000000" w:rsidRPr="00000000">
        <w:rPr>
          <w:rFonts w:ascii="Google Sans" w:cs="Google Sans" w:eastAsia="Google Sans" w:hAnsi="Google Sans"/>
          <w:i w:val="1"/>
          <w:iCs w:val="1"/>
          <w:color w:val="1f1f1f"/>
          <w:rtl w:val="0"/>
        </w:rPr>
        <w:t xml:space="preserve">Repetição Harmônica de Core e Textura</w:t>
      </w:r>
      <w:r w:rsidDel="00000000" w:rsidR="00000000" w:rsidRPr="00000000">
        <w:rPr>
          <w:rFonts w:ascii="Google Sans" w:cs="Google Sans" w:eastAsia="Google Sans" w:hAnsi="Google Sans"/>
          <w:color w:val="1f1f1f"/>
          <w:rtl w:val="0"/>
        </w:rPr>
        <w:t xml:space="preserve"> da bandeja global (BENVENUTI; DE SANTIS, 2020). Uma bandeja servindo conjuntamente e acidentalmente creme de batata, lascas de cação e pudim resultaria em um desastre perceptivo branco-amarelado que deprimiria consideravelmente o tônus do humor institucional e os índices de aprovação discente ou dos quadros operários, provocando severa evasão e consumo externo de calorias não salutares. Agregam-se, portanto, chaves algorítmicas de correlação forçada, onde a presença de um conjunto monocromático dominante neutraliza os homólogos da mesma faixa espectral, constrangendo o computador a mesclar obrigatoriamente a presença contrapeso de componentes hipercrômicos orgânicos (betacarotenos dos legumes de cor forte ou antocianinas em hortaliças verde-escuras vibrantes) (BENVENUTI; DE SANTIS, 2020; VERLY-JR et al., 2013).</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 Aplicação Definitiva da Programação Linear Inteira Mista (PLIM) no Cotidiano das UANs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Trazendo o arsenal matemático abstrato para a gestão fria, ruidosa e hiper-orçamentada da realidade prática institucional, as Unidades de Alimentação e Nutrição operam margens colossais de contingente humano, desde os vastos restaurantes de estaleiros industriais regulados pelo PAT até as intrincadas redes municipais infantis tuteladas milimetricamente pelo Governo Federal no Brasil. Na era contemporânea da otimização nutricional de grandes fluxos sistêmicos, o emprego tático estrito da Programação Linear Inteira Mista (PLIM), por vezes referenciada através do seu acrônimo em língua inglesa MILP (Mixed Integer Linear Programming), firmou-se irrefutavelmente como a ferramenta central em modelagem, dominando completamente as abordagens clássicas e heurísticas primitivas do passado por propiciar um nível inexato inalcançável de aderência às demandas tangíveis orçamentárias (MILAGRES, 2018).</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 Mecânica da Hibridização das Variáveis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pilar de superioridade inconteste e esmagadora da Programação Mista assenta-se sobre o seu arcabouço duplo, acomodando e orquestrando sob o mesmo teto analítico os vetores de transição paralelos. De forma concisa e magistral, o componente "Misto" (Mixed) implica a capacidade de operar em fluxos concorrentes os registros da métrica divisível de frações hiperprecisas e continuas da matemática do </w:t>
      </w:r>
      <w:r w:rsidDel="00000000" w:rsidR="00000000" w:rsidRPr="00000000">
        <w:rPr>
          <w:rFonts w:ascii="Google Sans" w:cs="Google Sans" w:eastAsia="Google Sans" w:hAnsi="Google Sans"/>
          <w:color w:val="1f1f1f"/>
        </w:rPr>
        <w:drawing>
          <wp:inline distB="19050" distT="19050" distL="19050" distR="19050">
            <wp:extent cx="242689" cy="236130"/>
            <wp:effectExtent b="0" l="0" r="0" t="0"/>
            <wp:docPr id="39"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242689" cy="236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(utilizada incessantemente para equalizar o fracionamento em miligramas e micrômetros dos resíduos calóricos, somatórias quebradas dos saldos correntes orçamentários em milhares de centavos residuais contábeis e flutuações das massas das porções fracionáveis nos recipientes) e as engrenagens duras de variáveis discretas inteiras estritas ou booleanas dos reinos do </w:t>
      </w:r>
      <w:r w:rsidDel="00000000" w:rsidR="00000000" w:rsidRPr="00000000">
        <w:rPr>
          <w:rFonts w:ascii="Google Sans" w:cs="Google Sans" w:eastAsia="Google Sans" w:hAnsi="Google Sans"/>
          <w:color w:val="1f1f1f"/>
        </w:rPr>
        <w:drawing>
          <wp:inline distB="19050" distT="19050" distL="19050" distR="19050">
            <wp:extent cx="248643" cy="235892"/>
            <wp:effectExtent b="0" l="0" r="0" t="0"/>
            <wp:docPr id="2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48643" cy="2358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do </w:t>
      </w:r>
      <w:r w:rsidDel="00000000" w:rsidR="00000000" w:rsidRPr="00000000">
        <w:rPr>
          <w:rFonts w:ascii="Google Sans" w:cs="Google Sans" w:eastAsia="Google Sans" w:hAnsi="Google Sans"/>
          <w:color w:val="1f1f1f"/>
        </w:rPr>
        <w:drawing>
          <wp:inline distB="19050" distT="19050" distL="19050" distR="19050">
            <wp:extent cx="451049" cy="219081"/>
            <wp:effectExtent b="0" l="0" r="0" t="0"/>
            <wp:docPr id="24"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451049" cy="2190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puros (despachados unicamente para selar o status dogmático indissolúvel do "aceito sim" ou do "inequivocamente rejeitado" para a adoção primária integral da totalidade da receita do bife no cardápio do mês) (MILAGRES, 2018).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ambientes repletos de paradoxos logísticos nas instâncias universitárias brasileiras, a hibridização revela o seu poder absoluto. Permite que um algoritmo rejeite ou inclua logicamente bandejas através de variáveis binárias restritivas de aceitação, e, nas porções de contorno, permita que o sistema desvie em 1 ou 2% o limite do fluxo de massa de forma contínua para resguardar as restrições econômicas de viabilidade total sem invalidar toda a base estrutural montada laboriosamente (LIMA; TRICHES, 2021). As condições imperativas impostas aos programadores modernos que estruturam estas imensas matrizes MILP de apoio UAN residem na necessidade incontornável de conservar sob quaisquer exigências a essência absoluta da Linearidade. Não devem tolerar, sequer por um átimo, polinômios multivariáveis na função objetivo onde as frações de energia de um prato fossem multiplicadas diretamente pelas equações de custo de um concorrente de grupo, pois os cômputos não-lineares dessa magnitude em escala arrastariam o poder computacional para um abismo abismal e ininteligível, travando até os potentes </w:t>
      </w:r>
      <w:r w:rsidDel="00000000" w:rsidR="00000000" w:rsidRPr="00000000">
        <w:rPr>
          <w:rFonts w:ascii="Google Sans" w:cs="Google Sans" w:eastAsia="Google Sans" w:hAnsi="Google Sans"/>
          <w:i w:val="1"/>
          <w:iCs w:val="1"/>
          <w:color w:val="1f1f1f"/>
          <w:rtl w:val="0"/>
        </w:rPr>
        <w:t xml:space="preserve">superclusters</w:t>
      </w:r>
      <w:r w:rsidDel="00000000" w:rsidR="00000000" w:rsidRPr="00000000">
        <w:rPr>
          <w:rFonts w:ascii="Google Sans" w:cs="Google Sans" w:eastAsia="Google Sans" w:hAnsi="Google Sans"/>
          <w:color w:val="1f1f1f"/>
          <w:rtl w:val="0"/>
        </w:rPr>
        <w:t xml:space="preserve"> atuais na tentativa de encontrar a concavidade do ótimo (MILAGRES, 2018).</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O Trabalho Braçal dos Solvers e a Dominação do "Branch-and-Bound"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explicitado pelas constatações computacionais derivadas da academia (MILAGRES, 2018), gerenciar um Restaurante Universitário é um combate brutal e sem pausa. Se um refeitório serve em média 5.000 discentes diariamente, administrando as diretrizes de desjejum, almoço massificado e jantares de reposição noturna para os estudantes dos alojamentos, e operando com uma licitação travada com estoques baseados nas safras de uma cadeia de 200 tipos de suprimentos locais variando no tempo, a grade mensal exige escolhas exatas entre milhões de arranjos perigosos. Fazer isso manualmente com cartilhas impressas ou simples planilhas resultaria em déficits orçamentários na rubrica da União de milhares de reais anuais por erro marginal de alocação de insumos.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adoção das soluções em MILP terceiriza a exaustão mecânica para os solucionadores algorítmicos robustos — os chamados </w:t>
      </w:r>
      <w:r w:rsidDel="00000000" w:rsidR="00000000" w:rsidRPr="00000000">
        <w:rPr>
          <w:rFonts w:ascii="Google Sans" w:cs="Google Sans" w:eastAsia="Google Sans" w:hAnsi="Google Sans"/>
          <w:i w:val="1"/>
          <w:iCs w:val="1"/>
          <w:color w:val="1f1f1f"/>
          <w:rtl w:val="0"/>
        </w:rPr>
        <w:t xml:space="preserve">Solvers</w:t>
      </w:r>
      <w:r w:rsidDel="00000000" w:rsidR="00000000" w:rsidRPr="00000000">
        <w:rPr>
          <w:rFonts w:ascii="Google Sans" w:cs="Google Sans" w:eastAsia="Google Sans" w:hAnsi="Google Sans"/>
          <w:color w:val="1f1f1f"/>
          <w:rtl w:val="0"/>
        </w:rPr>
        <w:t xml:space="preserve"> —, plataformas de vanguarda encriptadas com patentes industriais profundas (tais como a suíte CPLEX da IBM, as bibliotecas da Gurobi Optimization e o framework open-source robusto Coin-or Branch-and-Cut ou Cbc) (MILAGRES, 2018). Estes sistemas não navegam ingenuamente ou aleatoriamente pelo infinito número de soluções matemáticas para verificar se estas funcionam na realidade calórica de uma UAN. Pelo contrário, adotam heurísticas sistemáticas dominantes através de técnicas implacáveis, como o venerável </w:t>
      </w:r>
      <w:r w:rsidDel="00000000" w:rsidR="00000000" w:rsidRPr="00000000">
        <w:rPr>
          <w:rFonts w:ascii="Google Sans" w:cs="Google Sans" w:eastAsia="Google Sans" w:hAnsi="Google Sans"/>
          <w:i w:val="1"/>
          <w:iCs w:val="1"/>
          <w:color w:val="1f1f1f"/>
          <w:rtl w:val="0"/>
        </w:rPr>
        <w:t xml:space="preserve">Branch-and-Bound</w:t>
      </w:r>
      <w:r w:rsidDel="00000000" w:rsidR="00000000" w:rsidRPr="00000000">
        <w:rPr>
          <w:rFonts w:ascii="Google Sans" w:cs="Google Sans" w:eastAsia="Google Sans" w:hAnsi="Google Sans"/>
          <w:color w:val="1f1f1f"/>
          <w:rtl w:val="0"/>
        </w:rPr>
        <w:t xml:space="preserve"> (Ramificação e Limites).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o triturar dos dados dos cardápios, o Solver incialmente abranda a rigidez das chaves e resolve o modelo cardápio global esquecendo as amarras de "inteiro" ou binário (resolvendo-o, ironicamente, pelo velho Simplex como um problema contínuo hiper-otimizado e irrealista) (MILAGRES, 2018). Verificando este teto abstrato inviável (ex: comer 0,4 frangos e 0,6 pratos de carne picada no mesmo instante), ele procede à cisão metodológica implacável daquela fração irreal. Ele força um ramo da árvore lógico a assumir que se vai consumir 1 frango inteiro, e cria em paralelo o ramo subtrativo forçando-o brutalmente a ser exatamente 0, desmembrando e propagando estes imperativos lógicos pelo resto das equações matriciais interligadas. Por repetição exaustiva (uma gigantesca árvore de decisão binária), as combinações cujas predições contínuas já denunciavam limiares financeiros superiores ou inviabilidades calóricas colossais são podadas (Fathomed/Cut) em instantes sem que o processador precise avaliar inutilmente e profundamente aquelas linhagens descartadas. O sistema encerra-se devolvendo às mãos da coordenação de Nutrição uma configuração final não raras vezes chancelada matematicamente com os cobiçados carimbos do ótimo de Pareto exato, uma façanha qualitativa comprovadamente e consistentemente imbatível até por lógicas metaheurísticas velozes baseadas na loteria evolucionária orgânica, que por serem desgovernadas em exploração ocasionalmente descarrilam em estagnações limitantes em ótimos pontuais distantes do arranjo perfeito absoluto exigido (MILAGRES, 2018; BENVENUTI; DE SANTIS, 2020).</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 Modelagem como Política Pública: PAT e PNAE sob o Crivo dos Algoritmos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Nos recônditos institucionais brasileiros sob amparo estatal, o planejamento alimentar jamais foi ou será submetido a ditames levianos do livre-mercado. Políticas de magnitude ímpar como o PNAE e o incisivo PAT estabelecem resoluções publicadas em Diário Oficial estipulando matrizes imperiosas para assegurar o amparo biológico e social do proletariado e da base da pirâmide juvenil infantil do Brasil profundo (VERLY-JR et al., 2013). Ao nutrir essa espinha dorsal normativa na base matemática do MILP, pesquisadores vêm relatando a viabilização destas titânicas engrenagens.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formulação linear rígida do programa operário (PAT) no Brasil foi submetida a exames extensivos da PO em literaturas referenciadas e de ponta produzidas nos decênios recentes (VERLY-JR et al., 2019; BENVENUTI; DE SANTIS, 2020). O PAT decreta que as principais frentes gástricas diurnas da massa laboriosa de funcionários celetistas (almoço extenso) abriguem entre a baliza estreita de 600 a robustas 800 quilocalorias, e injeta cláusulas férreas limitantes onde as rotas bioquímicas da fibra total consumida mensalmente transbordem positivamente a marca sagrada e redentora de 25 gramas, acompanhadas de percentuais travados no aporte estrito da gordura (BENVENUTI; DE SANTIS, 2020). As equações, submetidas e resolvidas no MILP, blindaram o operário, forçando os Solvers a intercalar e extrair das bases culturais as densidades alimentares que viabilizassem as cartilhas nutricionais federais, operando de fato como sentinelas imparciais imunes à fadiga das comissões humanas (VERLY-JR et al., 2013).</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 veredas orçamentárias estatais severas e implacáveis que ditam o curso da gestão escolar das escolas brasileiras amparadas pelo PNAE (Programa Nacional de Alimentação Escolar), a PO exata desnudou a severa realidade aritmética das UANs brasileiras. A adoção de modelagens Lineares operada rigorosamente pelos círculos da equipe e investigações de Eliseu Verly-Jr. nas últimas instâncias e em simulações extensas demonstrou empiricamente o abismo paradoxal orçamentário. Alimentando as máquinas e softwares de Programação com o valor irrisório monetário </w:t>
      </w:r>
      <w:r w:rsidDel="00000000" w:rsidR="00000000" w:rsidRPr="00000000">
        <w:rPr>
          <w:rFonts w:ascii="Google Sans" w:cs="Google Sans" w:eastAsia="Google Sans" w:hAnsi="Google Sans"/>
          <w:i w:val="1"/>
          <w:iCs w:val="1"/>
          <w:color w:val="1f1f1f"/>
          <w:rtl w:val="0"/>
        </w:rPr>
        <w:t xml:space="preserve">per capita</w:t>
      </w:r>
      <w:r w:rsidDel="00000000" w:rsidR="00000000" w:rsidRPr="00000000">
        <w:rPr>
          <w:rFonts w:ascii="Google Sans" w:cs="Google Sans" w:eastAsia="Google Sans" w:hAnsi="Google Sans"/>
          <w:color w:val="1f1f1f"/>
          <w:rtl w:val="0"/>
        </w:rPr>
        <w:t xml:space="preserve"> outorgado e submetendo isso às cartilhas ideais do Fundo Nacional (que demanda a minimização absoluta dos farináceos insalubres ultrarrefinados somada aos apelos estritos pró-orgânicos ricos em densidade vitamínica cara natural), a resposta algorítmica constante foi a </w:t>
      </w:r>
      <w:r w:rsidDel="00000000" w:rsidR="00000000" w:rsidRPr="00000000">
        <w:rPr>
          <w:rFonts w:ascii="Google Sans" w:cs="Google Sans" w:eastAsia="Google Sans" w:hAnsi="Google Sans"/>
          <w:i w:val="1"/>
          <w:iCs w:val="1"/>
          <w:color w:val="1f1f1f"/>
          <w:rtl w:val="0"/>
        </w:rPr>
        <w:t xml:space="preserve">Inviabilidade Matemática Absoluta</w:t>
      </w:r>
      <w:r w:rsidDel="00000000" w:rsidR="00000000" w:rsidRPr="00000000">
        <w:rPr>
          <w:rFonts w:ascii="Google Sans" w:cs="Google Sans" w:eastAsia="Google Sans" w:hAnsi="Google Sans"/>
          <w:color w:val="1f1f1f"/>
          <w:rtl w:val="0"/>
        </w:rPr>
        <w:t xml:space="preserve"> das soluções e propostas traçadas pelas legislações puristas da dieta base versus o abismo do recurso aportado pelas transferências (VERLY-JR et al., 2019). Os modelos provaram ineditamente em ambiente de processamento duro que a aquisição de cardápios genuinamente adequados sob as lentes estritas e românticas regulatórias governamentais e clínicas precisariam estar vinculadas irremissivelmente a repasses monetários em cotas imensamente superiores, blindando juridicamente o trabalho dos nutricionistas das UANs municipais frente ao flagelo diário da deficiência orgânica na formulação local (VERLY-JR et al., 2013; VERLY-JR et al., 2019).</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Revisão da Literatura (2011-2026): Tendências Inovadoras na Otimização Dietética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avaliação prospectiva criteriosa de todo o arcabouço literário divulgado sob crivo e chancela nas plataformas blindadas como PubMed, Scielo e os respeitados repositórios globais da Pesquisa Operacional e Nutrição ao longo do último estrato significativo contínuo demarcado (2011-2026) atesta uma metamorfose ideológica, política e analítica fulminante. O domínio exclusivo polarizado estanque no milênio pretérito focado tão-somente no simplório "Dinheiro dispendido </w:t>
      </w:r>
      <w:r w:rsidDel="00000000" w:rsidR="00000000" w:rsidRPr="00000000">
        <w:rPr>
          <w:rFonts w:ascii="Google Sans" w:cs="Google Sans" w:eastAsia="Google Sans" w:hAnsi="Google Sans"/>
          <w:i w:val="1"/>
          <w:iCs w:val="1"/>
          <w:color w:val="1f1f1f"/>
          <w:rtl w:val="0"/>
        </w:rPr>
        <w:t xml:space="preserve">versus</w:t>
      </w:r>
      <w:r w:rsidDel="00000000" w:rsidR="00000000" w:rsidRPr="00000000">
        <w:rPr>
          <w:rFonts w:ascii="Google Sans" w:cs="Google Sans" w:eastAsia="Google Sans" w:hAnsi="Google Sans"/>
          <w:color w:val="1f1f1f"/>
          <w:rtl w:val="0"/>
        </w:rPr>
        <w:t xml:space="preserve"> Aporte Orgânico Básico" colapsou vertiginosamente. Ele ruiu integralmente para dar vasão inadiável ao engolfamento contemporâneo e impiedoso ditado pelas diretrizes colossais do ambientalismo prático, das múltiplas conflitâncias das restrições humanas flexíveis da Goal Programming e da aplicação contundente do impacto alimentar brasileiro nas cartilhas macroambientais globais (LIMA et al., 2023; GAZAN et al., 2018).</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O Apogeu Incontornável da "Programação por Metas" (Goal Programming) e Múltiplos Focos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Conforme apontado no tópico prévio das limitações estritas governamentais observadas nos hiatos das avaliações simulatórias do programa PNAE nos recônditos dos estudos brasileiros (VERLY-JR et al., 2013), as velhas armadilhas de bloqueio e barreira das linhas algébricas duras paralisantes (</w:t>
      </w:r>
      <w:r w:rsidDel="00000000" w:rsidR="00000000" w:rsidRPr="00000000">
        <w:rPr>
          <w:rFonts w:ascii="Google Sans" w:cs="Google Sans" w:eastAsia="Google Sans" w:hAnsi="Google Sans"/>
          <w:i w:val="1"/>
          <w:iCs w:val="1"/>
          <w:color w:val="1f1f1f"/>
          <w:rtl w:val="0"/>
        </w:rPr>
        <w:t xml:space="preserve">Hard Constraints</w:t>
      </w:r>
      <w:r w:rsidDel="00000000" w:rsidR="00000000" w:rsidRPr="00000000">
        <w:rPr>
          <w:rFonts w:ascii="Google Sans" w:cs="Google Sans" w:eastAsia="Google Sans" w:hAnsi="Google Sans"/>
          <w:color w:val="1f1f1f"/>
          <w:rtl w:val="0"/>
        </w:rPr>
        <w:t xml:space="preserve"> intransponíveis) da Linearidade ortodoxa clássica acarretavam a interrupção súbita frustrante das rotinas das UANs diante do diagnóstico seco do computador estipulando "Status de Solução Inviável e Inexistente" devido à colisão do teto orçamentário e as vitaminas desejadas para as diretrizes das cartilhas (JRIDI; JERBI; KAMOUN, 2018).</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cerne das publicações de referência deste último lustro estendido na área cirúrgica da otimização das refeições para quadros em sofrimento agudo renal e diabético, evidenciou-se a coroação inquestionável das abordagens amparadas nas redes intrincadas da </w:t>
      </w:r>
      <w:r w:rsidDel="00000000" w:rsidR="00000000" w:rsidRPr="00000000">
        <w:rPr>
          <w:rFonts w:ascii="Google Sans" w:cs="Google Sans" w:eastAsia="Google Sans" w:hAnsi="Google Sans"/>
          <w:i w:val="1"/>
          <w:iCs w:val="1"/>
          <w:color w:val="1f1f1f"/>
          <w:rtl w:val="0"/>
        </w:rPr>
        <w:t xml:space="preserve">Goal Programming</w:t>
      </w:r>
      <w:r w:rsidDel="00000000" w:rsidR="00000000" w:rsidRPr="00000000">
        <w:rPr>
          <w:rFonts w:ascii="Google Sans" w:cs="Google Sans" w:eastAsia="Google Sans" w:hAnsi="Google Sans"/>
          <w:color w:val="1f1f1f"/>
          <w:rtl w:val="0"/>
        </w:rPr>
        <w:t xml:space="preserve">. Em seus estudos seminais publicados com vistas a amparar quadros graves em alas renais hemodialíticas através dos recursos e restrições complexas e oscilantes (JRIDI; JERBI; KAMOUN, 2018), a adoção deste arcabouço abdicava a obrigação inata mortal da matemática dura de cravar o valor absoluto na mosca sob risco de pane. Em vez do colapso e do estancamento das soluções diante do desvio iminente no aporte oscilante e fatal do nutriente complexo Potássio proveniente nas porções do dia a dia, a Meta flexível absorvia o golpe orgânico calculando a minimização sistemática rigorosa tolerável em decréscimos em formato de variáveis soltas positivas contínuas </w:t>
      </w:r>
      <w:r w:rsidDel="00000000" w:rsidR="00000000" w:rsidRPr="00000000">
        <w:rPr>
          <w:rFonts w:ascii="Google Sans" w:cs="Google Sans" w:eastAsia="Google Sans" w:hAnsi="Google Sans"/>
          <w:color w:val="1f1f1f"/>
        </w:rPr>
        <w:drawing>
          <wp:inline distB="19050" distT="19050" distL="19050" distR="19050">
            <wp:extent cx="205482" cy="230389"/>
            <wp:effectExtent b="0" l="0" r="0" t="0"/>
            <wp:docPr id="11"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205482" cy="230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$d^{-}$de atrito aceitável, viabilizando as prescrições ininterruptamente e estendendo a longevidade biológica dos assistidos mesmo nos escopos e cenários limítrofes do pior do racionamento orçamentário que o setor da UAN pudesse apresentar frente à instabilidade sazonal dos insumos das feiras estatais. (JRIDI; JERBI; KAMOUN, 2018). O sistema prioriza e entrega a rota minimamente traumática possível (JRIDI; JERBI; KAMOUN, 2018).</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Sustentabilidade Ecológica nas UANs: Os Impactos das Pegadas na Programação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 constestações na comunidade de ponta atual e atestado pelas investigações robustas divulgadas na mídia técnica mundial do período estipulado, a disrupção esmagadora nas estruturas das cadeias de UANs decorre da anexação imperativa do fardo logístico dos passivos e degradações da catástrofe fóssil incutidas intrinsecamente ao consumo das matérias proteicas nas UANs e restaurantes federais universitários de porte monstruoso pelo território nacional e além (HATJIATHANASSIADOU et al., 2019; LIMA; TRICHES, 2021).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transposição imperiosa do debate do Acordo de Paris para dentro dos escritórios de apoio gerencial à nutrição operada atestou a inserção de </w:t>
      </w:r>
      <w:r w:rsidDel="00000000" w:rsidR="00000000" w:rsidRPr="00000000">
        <w:rPr>
          <w:rFonts w:ascii="Google Sans" w:cs="Google Sans" w:eastAsia="Google Sans" w:hAnsi="Google Sans"/>
          <w:i w:val="1"/>
          <w:iCs w:val="1"/>
          <w:color w:val="1f1f1f"/>
          <w:rtl w:val="0"/>
        </w:rPr>
        <w:t xml:space="preserve">funções matrizes</w:t>
      </w:r>
      <w:r w:rsidDel="00000000" w:rsidR="00000000" w:rsidRPr="00000000">
        <w:rPr>
          <w:rFonts w:ascii="Google Sans" w:cs="Google Sans" w:eastAsia="Google Sans" w:hAnsi="Google Sans"/>
          <w:color w:val="1f1f1f"/>
          <w:rtl w:val="0"/>
        </w:rPr>
        <w:t xml:space="preserve"> devotadas estritamente a castigar e subjugar os cardápios em conformidade com as cartilhas globais regulatórias, esmagando os consumos estratosféricos hídricos ocultos nos grãos sob avaliações contínuas de limitantes voltados à minimização da temida e custosa expansão da letal </w:t>
      </w:r>
      <w:r w:rsidDel="00000000" w:rsidR="00000000" w:rsidRPr="00000000">
        <w:rPr>
          <w:rFonts w:ascii="Google Sans" w:cs="Google Sans" w:eastAsia="Google Sans" w:hAnsi="Google Sans"/>
          <w:i w:val="1"/>
          <w:iCs w:val="1"/>
          <w:color w:val="1f1f1f"/>
          <w:rtl w:val="0"/>
        </w:rPr>
        <w:t xml:space="preserve">Pegada de Carbono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28848" cy="235024"/>
            <wp:effectExtent b="0" l="0" r="0" t="0"/>
            <wp:docPr id="12"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628848" cy="235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ligada visceralmente a cada arranjo alimentício que flui na esteira dos bandejões centrais (LIMA et al., 2023). Relatórios oriundos de escrutínio rigoroso brasileiro focados explicitamente no mapeamento de cardápios (LIMA; TRICHES, 2021) apontaram nos cálculos a presença aterradora embutida nos altos patamares diários operados e emitidos nos resíduos, gerando fardos e emissões estratosféricas insustentáveis da metanização e derrubadas imputadas indiretamente.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 as imposições exatas do novo espectro da modelagem multiobjetivo restrita de Pareto em ambientes sustentáveis avançados de RUs no território, sempre que os solucionadores algébricos defrontaram-se com restrições esmagando o índice de CO₂, eles induziram violentas retrações e substituições nas seleções binárias proteicas rumo às matrizes das plantas e leguminosas puras, promovendo sumariamente a exclusão e aniquilação algorítmica drástica massiva das ofertas abundantes da pesada e fóssil matriz da cadeia bovina vermelha de alto custo ambiental global (GAZAN et al., 2018; LIMA et al., 2023). O ápice destas resoluções prova na ciência estrita o abrandamento dos choques através do encontro das concavidades simultâneas ótimas entre o baixo impacto ecológico salvador, o respeito sacrossanto imposto na linha calórica dietética da saúde sistêmica laboratorial do trabalhador brasileiro (PAT), a preservação irrestrita do prazer das cores em contrastes da culinária clássica regional sem repetições massacrantes e enfadonhas (monotonia superada pelo espaçamento temporal rígido), além de resguardar o fundo financeiro das agências provedoras contra a exaustão inflacionária de custeio estatal que assola nação (SPAK; COLMENERO, 2021; LIMA et al., 2023).</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Considerações Finais e Especulações Sistemáticas Adicionais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trilha percorrida pela inteligência matemática dedicada desde a epopeia estressante dos relatórios operados à mão nas ante-salas e abrigos das defesas contra a exaustão logística e penúria da Segunda Grande Guerra (com os célebres pioneiros teóricos limitados George Stigler e os esforços heroicos das centenas de horas extenuantes sob os olhos afiados da fundação técnica da programação simples contínua de George Dantzig) provaram os milagres rudimentares da manipulação orçamentária dos fluxos essenciais calóricos para a persistência nua e crua da mera sobrevivência fisiológica estanque (STIGLER, 1945; DANTZIG, 1990). O legado e ensaio contínuo subproduto intrínseco deste pioneirismo teórico impiedoso que forçava lodos nutritivos imestigáveis a preços módicos, materializado para os compêndios da microeconomia aplicada, gerou o estigma e a métrica quantificadora fria do irrefutável e real Stigler Gap, ensinando com cifras duras sob moedas vigentes a vasta diferença cultural paga exclusivamente pelo ser humano para comprar o privilégio de afastar-se da degradação repetitiva puramente metabólica da célula e abrigar-se no seio e amparo do hábito e cultura dietética de valor elevado sensorial (SMITH, 1959; LOCKS, 1980).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os ditames e rupturas proporcionadas pelos paradigmas de Balintfy e suas aplicações, aliadas às proezas colossais e astronômicas desbravadas de capacidade de esmagamento iterativo dos números das linhas sucessórias dos atuais hardwares dotados de chips múltiplos massivos, o Problema primitivo extinto renasceu travestido do titânico Planejamento Contemporâneo (BALINTFY, 1964). Por meio do ancoramento pesado de arquiteturas formidáveis oriundas da ramificação combinatória exaustiva implacável, a estirpe mista dominante consolidada amplamente designada através de sua base técnica inquestionável, a gloriosa Programação Linear Inteira Mista (MILP / PLIM) alicerça nas diretrizes atuais de 2026 todo o substrato basal fundamental operante capaz de dar sustentação sem precedentes às gigantescas complexidades sociopolíticas das grades diárias dos restaurantes brasileiros acobertados sob mantos normativos implacáveis restritos como o PNAE infantil rígido e sensível ao escrutínio local e federal e a proteção do estofo produtivo do PAT regido nos grandes consórcios produtivos privados (MILAGRES, 2018; BENVENUTI; DE SANTIS, 2020; VERLY-JR et al., 2019).</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resultados extraídos das investigações dos pesquisadores dos anos modernos em diante corroboram de maneira fulminante a transição irrevogável imposta pelas tendências do período, demonstrando estatisticamente os limites dos custos aplicados em UANs empobrecidas, onde os matemáticos de ponta exatos atestam aos reguladores a impossibilidade virtual estrita e sistêmica de acomodar em baixo orçamento as complexidades gigantescas estipuladas ideologicamente por planilhas burocráticas estatais cegas, e onde se coroa a programação sob a salvaguarda plástica tolerante ininterrupta fornecida pelo refúgio seguro abrigado nas margens aceitas dos desvios tolerantes maleáveis amparados no arcabouço poderoso das fórmulas baseadas e direcionadas unicamente e estritamente sob as diretrizes dos eixos de metas (Goal Programming e os tetos multiobjetivos em cascata algorítmica biológica avançada) (VERLY-JR et al., 2013; JRIDI; JERBI; KAMOUN, 2018). E ao assumir peremptoriamente no seu código fonte vital a penalidade planetária, traduzida pelas reduções impostas à letal emissão do CO₂ sob os grilhões ecológicos restritos nas tabelas logísticas do simplex de plantão (LIMA; TRICHES, 2021; LIMA et al., 2023), o setor eleva a nobre e perene disciplina matricial de planejamento do cardápio das valas contábeis obsoletas das eras passadas, cravando-a como o último estandarte instrumental de resistência indispensável para garantir a perpetuação harmônica sensível da integridade climática combinada de forma inigualável ao fomento exato protetor da espécie na era presente.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Referências Bibliográficas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BALINTFY, J. L. Menu planning by computer. </w:t>
      </w:r>
      <w:r w:rsidDel="00000000" w:rsidR="00000000" w:rsidRPr="00000000">
        <w:rPr>
          <w:rFonts w:ascii="Google Sans" w:cs="Google Sans" w:eastAsia="Google Sans" w:hAnsi="Google Sans"/>
          <w:i w:val="1"/>
          <w:iCs w:val="1"/>
          <w:color w:val="1f1f1f"/>
          <w:rtl w:val="0"/>
        </w:rPr>
        <w:t xml:space="preserve">Communications of the ACM</w:t>
      </w:r>
      <w:r w:rsidDel="00000000" w:rsidR="00000000" w:rsidRPr="00000000">
        <w:rPr>
          <w:rFonts w:ascii="Google Sans" w:cs="Google Sans" w:eastAsia="Google Sans" w:hAnsi="Google Sans"/>
          <w:color w:val="1f1f1f"/>
          <w:rtl w:val="0"/>
        </w:rPr>
        <w:t xml:space="preserve">, v. 7, n. 4, p. 255-259, 1964.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BAZARAA, M. S.; JARVIS, J. J.; SHERALI, H. D. </w:t>
      </w:r>
      <w:r w:rsidDel="00000000" w:rsidR="00000000" w:rsidRPr="00000000">
        <w:rPr>
          <w:rFonts w:ascii="Google Sans" w:cs="Google Sans" w:eastAsia="Google Sans" w:hAnsi="Google Sans"/>
          <w:i w:val="1"/>
          <w:iCs w:val="1"/>
          <w:color w:val="1f1f1f"/>
          <w:rtl w:val="0"/>
        </w:rPr>
        <w:t xml:space="preserve">Linear Programming and Network Flows</w:t>
      </w:r>
      <w:r w:rsidDel="00000000" w:rsidR="00000000" w:rsidRPr="00000000">
        <w:rPr>
          <w:rFonts w:ascii="Google Sans" w:cs="Google Sans" w:eastAsia="Google Sans" w:hAnsi="Google Sans"/>
          <w:color w:val="1f1f1f"/>
          <w:rtl w:val="0"/>
        </w:rPr>
        <w:t xml:space="preserve">. 2. ed. New York: John Wiley &amp; Sons, 1990.</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BENVENUTI, M.; DE SANTIS, R. Develop a new programming methodology to enhance a deal diet with the acceptability of meal plans. </w:t>
      </w:r>
      <w:r w:rsidDel="00000000" w:rsidR="00000000" w:rsidRPr="00000000">
        <w:rPr>
          <w:rFonts w:ascii="Google Sans" w:cs="Google Sans" w:eastAsia="Google Sans" w:hAnsi="Google Sans"/>
          <w:i w:val="1"/>
          <w:iCs w:val="1"/>
          <w:color w:val="1f1f1f"/>
          <w:rtl w:val="0"/>
        </w:rPr>
        <w:t xml:space="preserve">Operations Research Perspectives</w:t>
      </w:r>
      <w:r w:rsidDel="00000000" w:rsidR="00000000" w:rsidRPr="00000000">
        <w:rPr>
          <w:rFonts w:ascii="Google Sans" w:cs="Google Sans" w:eastAsia="Google Sans" w:hAnsi="Google Sans"/>
          <w:color w:val="1f1f1f"/>
          <w:rtl w:val="0"/>
        </w:rPr>
        <w:t xml:space="preserve">, v. 7, p. 100147, 2020.</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DANTZIG, G. B. The Diet Problem. </w:t>
      </w:r>
      <w:r w:rsidDel="00000000" w:rsidR="00000000" w:rsidRPr="00000000">
        <w:rPr>
          <w:rFonts w:ascii="Google Sans" w:cs="Google Sans" w:eastAsia="Google Sans" w:hAnsi="Google Sans"/>
          <w:i w:val="1"/>
          <w:iCs w:val="1"/>
          <w:color w:val="1f1f1f"/>
          <w:rtl w:val="0"/>
        </w:rPr>
        <w:t xml:space="preserve">Interfaces: The Practice of Mathematical Programming</w:t>
      </w:r>
      <w:r w:rsidDel="00000000" w:rsidR="00000000" w:rsidRPr="00000000">
        <w:rPr>
          <w:rFonts w:ascii="Google Sans" w:cs="Google Sans" w:eastAsia="Google Sans" w:hAnsi="Google Sans"/>
          <w:color w:val="1f1f1f"/>
          <w:rtl w:val="0"/>
        </w:rPr>
        <w:t xml:space="preserve">, v. 20, n. 4, p. 43-47, 1990.</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GASS, S. I. </w:t>
      </w:r>
      <w:r w:rsidDel="00000000" w:rsidR="00000000" w:rsidRPr="00000000">
        <w:rPr>
          <w:rFonts w:ascii="Google Sans" w:cs="Google Sans" w:eastAsia="Google Sans" w:hAnsi="Google Sans"/>
          <w:i w:val="1"/>
          <w:iCs w:val="1"/>
          <w:color w:val="1f1f1f"/>
          <w:rtl w:val="0"/>
        </w:rPr>
        <w:t xml:space="preserve">An illustrated guide to linear programming</w:t>
      </w:r>
      <w:r w:rsidDel="00000000" w:rsidR="00000000" w:rsidRPr="00000000">
        <w:rPr>
          <w:rFonts w:ascii="Google Sans" w:cs="Google Sans" w:eastAsia="Google Sans" w:hAnsi="Google Sans"/>
          <w:color w:val="1f1f1f"/>
          <w:rtl w:val="0"/>
        </w:rPr>
        <w:t xml:space="preserve">. New York: McGraw-Hill, 1970.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GAZAN, R. et al. Mathematical optimization to explore tomorrow's sustainable diets: A narrative review. </w:t>
      </w:r>
      <w:r w:rsidDel="00000000" w:rsidR="00000000" w:rsidRPr="00000000">
        <w:rPr>
          <w:rFonts w:ascii="Google Sans" w:cs="Google Sans" w:eastAsia="Google Sans" w:hAnsi="Google Sans"/>
          <w:i w:val="1"/>
          <w:iCs w:val="1"/>
          <w:color w:val="1f1f1f"/>
          <w:rtl w:val="0"/>
        </w:rPr>
        <w:t xml:space="preserve">Advances in Nutrition</w:t>
      </w:r>
      <w:r w:rsidDel="00000000" w:rsidR="00000000" w:rsidRPr="00000000">
        <w:rPr>
          <w:rFonts w:ascii="Google Sans" w:cs="Google Sans" w:eastAsia="Google Sans" w:hAnsi="Google Sans"/>
          <w:color w:val="1f1f1f"/>
          <w:rtl w:val="0"/>
        </w:rPr>
        <w:t xml:space="preserve">, v. 9, n. 5, p. 602-616, 2018.</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HATJIATHANASSIADOU, M. A. et al. Environmental Impacts of University Restaurant Menus: A Case Study in Brazil. </w:t>
      </w:r>
      <w:r w:rsidDel="00000000" w:rsidR="00000000" w:rsidRPr="00000000">
        <w:rPr>
          <w:rFonts w:ascii="Google Sans" w:cs="Google Sans" w:eastAsia="Google Sans" w:hAnsi="Google Sans"/>
          <w:i w:val="1"/>
          <w:iCs w:val="1"/>
          <w:color w:val="1f1f1f"/>
          <w:rtl w:val="0"/>
        </w:rPr>
        <w:t xml:space="preserve">Sustainability</w:t>
      </w:r>
      <w:r w:rsidDel="00000000" w:rsidR="00000000" w:rsidRPr="00000000">
        <w:rPr>
          <w:rFonts w:ascii="Google Sans" w:cs="Google Sans" w:eastAsia="Google Sans" w:hAnsi="Google Sans"/>
          <w:color w:val="1f1f1f"/>
          <w:rtl w:val="0"/>
        </w:rPr>
        <w:t xml:space="preserve">, v. 11, n. 14, 2019.</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JRIDI, I.; JERBI, B.; KAMOUN, H. Goal programming for diet planning of a hemodialysis patient. </w:t>
      </w:r>
      <w:r w:rsidDel="00000000" w:rsidR="00000000" w:rsidRPr="00000000">
        <w:rPr>
          <w:rFonts w:ascii="Google Sans" w:cs="Google Sans" w:eastAsia="Google Sans" w:hAnsi="Google Sans"/>
          <w:i w:val="1"/>
          <w:iCs w:val="1"/>
          <w:color w:val="1f1f1f"/>
          <w:rtl w:val="0"/>
        </w:rPr>
        <w:t xml:space="preserve">Multiple Criteria Decision Making</w:t>
      </w:r>
      <w:r w:rsidDel="00000000" w:rsidR="00000000" w:rsidRPr="00000000">
        <w:rPr>
          <w:rFonts w:ascii="Google Sans" w:cs="Google Sans" w:eastAsia="Google Sans" w:hAnsi="Google Sans"/>
          <w:color w:val="1f1f1f"/>
          <w:rtl w:val="0"/>
        </w:rPr>
        <w:t xml:space="preserve">, v. 13, n. 1, p. 78-95, 2018.</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LIMA, R. O.; TRICHES, R. M. Sustainable diets: water and carbon footprint in menus offered at a university restaurant. </w:t>
      </w:r>
      <w:r w:rsidDel="00000000" w:rsidR="00000000" w:rsidRPr="00000000">
        <w:rPr>
          <w:rFonts w:ascii="Google Sans" w:cs="Google Sans" w:eastAsia="Google Sans" w:hAnsi="Google Sans"/>
          <w:i w:val="1"/>
          <w:iCs w:val="1"/>
          <w:color w:val="1f1f1f"/>
          <w:rtl w:val="0"/>
        </w:rPr>
        <w:t xml:space="preserve">XI Jornada de Iniciação Científica e Tecnológica da Universidade Federal da Fronteira do Sul</w:t>
      </w:r>
      <w:r w:rsidDel="00000000" w:rsidR="00000000" w:rsidRPr="00000000">
        <w:rPr>
          <w:rFonts w:ascii="Google Sans" w:cs="Google Sans" w:eastAsia="Google Sans" w:hAnsi="Google Sans"/>
          <w:color w:val="1f1f1f"/>
          <w:rtl w:val="0"/>
        </w:rPr>
        <w:t xml:space="preserve">, 2021.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LIMA, R. O. et al. Reconciling healthy and sustainable menus with lower costs in a university restaurant. </w:t>
      </w:r>
      <w:r w:rsidDel="00000000" w:rsidR="00000000" w:rsidRPr="00000000">
        <w:rPr>
          <w:rFonts w:ascii="Google Sans" w:cs="Google Sans" w:eastAsia="Google Sans" w:hAnsi="Google Sans"/>
          <w:i w:val="1"/>
          <w:iCs w:val="1"/>
          <w:color w:val="1f1f1f"/>
          <w:rtl w:val="0"/>
        </w:rPr>
        <w:t xml:space="preserve">Interfaces Científicas</w:t>
      </w:r>
      <w:r w:rsidDel="00000000" w:rsidR="00000000" w:rsidRPr="00000000">
        <w:rPr>
          <w:rFonts w:ascii="Google Sans" w:cs="Google Sans" w:eastAsia="Google Sans" w:hAnsi="Google Sans"/>
          <w:color w:val="1f1f1f"/>
          <w:rtl w:val="0"/>
        </w:rPr>
        <w:t xml:space="preserve">, v. 10, n. 1, p. 12-25, 2023.</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LOCKS, M. O. The "Stigler gap", the cost of subsistence, and the cost of an optimum diet with palatability. </w:t>
      </w:r>
      <w:r w:rsidDel="00000000" w:rsidR="00000000" w:rsidRPr="00000000">
        <w:rPr>
          <w:rFonts w:ascii="Google Sans" w:cs="Google Sans" w:eastAsia="Google Sans" w:hAnsi="Google Sans"/>
          <w:i w:val="1"/>
          <w:iCs w:val="1"/>
          <w:color w:val="1f1f1f"/>
          <w:rtl w:val="0"/>
        </w:rPr>
        <w:t xml:space="preserve">Computers &amp; Operations Research</w:t>
      </w:r>
      <w:r w:rsidDel="00000000" w:rsidR="00000000" w:rsidRPr="00000000">
        <w:rPr>
          <w:rFonts w:ascii="Google Sans" w:cs="Google Sans" w:eastAsia="Google Sans" w:hAnsi="Google Sans"/>
          <w:color w:val="1f1f1f"/>
          <w:rtl w:val="0"/>
        </w:rPr>
        <w:t xml:space="preserve">, v. 7, n. 4, p. 277-285, 1980.</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LUNA, H. P. L.; GOLDBARG, M. C. </w:t>
      </w:r>
      <w:r w:rsidDel="00000000" w:rsidR="00000000" w:rsidRPr="00000000">
        <w:rPr>
          <w:rFonts w:ascii="Google Sans" w:cs="Google Sans" w:eastAsia="Google Sans" w:hAnsi="Google Sans"/>
          <w:i w:val="1"/>
          <w:iCs w:val="1"/>
          <w:color w:val="1f1f1f"/>
          <w:rtl w:val="0"/>
        </w:rPr>
        <w:t xml:space="preserve">Otimização Combinatória e Programação Linear: Modelos e Algoritmos</w:t>
      </w:r>
      <w:r w:rsidDel="00000000" w:rsidR="00000000" w:rsidRPr="00000000">
        <w:rPr>
          <w:rFonts w:ascii="Google Sans" w:cs="Google Sans" w:eastAsia="Google Sans" w:hAnsi="Google Sans"/>
          <w:color w:val="1f1f1f"/>
          <w:rtl w:val="0"/>
        </w:rPr>
        <w:t xml:space="preserve">. 2. ed. Rio de Janeiro: Elsevier, 2005.</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MARTINS, A. X. et al. Modelo de otimização do processo de lavra baseado em programação linear por metas aplicado à uma empresa. </w:t>
      </w:r>
      <w:r w:rsidDel="00000000" w:rsidR="00000000" w:rsidRPr="00000000">
        <w:rPr>
          <w:rFonts w:ascii="Google Sans" w:cs="Google Sans" w:eastAsia="Google Sans" w:hAnsi="Google Sans"/>
          <w:i w:val="1"/>
          <w:iCs w:val="1"/>
          <w:color w:val="1f1f1f"/>
          <w:rtl w:val="0"/>
        </w:rPr>
        <w:t xml:space="preserve">Simpósio de Engenharia de Produção</w:t>
      </w:r>
      <w:r w:rsidDel="00000000" w:rsidR="00000000" w:rsidRPr="00000000">
        <w:rPr>
          <w:rFonts w:ascii="Google Sans" w:cs="Google Sans" w:eastAsia="Google Sans" w:hAnsi="Google Sans"/>
          <w:color w:val="1f1f1f"/>
          <w:rtl w:val="0"/>
        </w:rPr>
        <w:t xml:space="preserve">, v. 18, 2019.</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MILAGRES, B. L. R. </w:t>
      </w:r>
      <w:r w:rsidDel="00000000" w:rsidR="00000000" w:rsidRPr="00000000">
        <w:rPr>
          <w:rFonts w:ascii="Google Sans" w:cs="Google Sans" w:eastAsia="Google Sans" w:hAnsi="Google Sans"/>
          <w:i w:val="1"/>
          <w:iCs w:val="1"/>
          <w:color w:val="1f1f1f"/>
          <w:rtl w:val="0"/>
        </w:rPr>
        <w:t xml:space="preserve">Abordagem Multiobjetivo no Planejamento de Cardápios Escolares Através de Técnicas de Otimização Combinatória e Programação Linear Inteira Mista</w:t>
      </w:r>
      <w:r w:rsidDel="00000000" w:rsidR="00000000" w:rsidRPr="00000000">
        <w:rPr>
          <w:rFonts w:ascii="Google Sans" w:cs="Google Sans" w:eastAsia="Google Sans" w:hAnsi="Google Sans"/>
          <w:color w:val="1f1f1f"/>
          <w:rtl w:val="0"/>
        </w:rPr>
        <w:t xml:space="preserve">. Monografia (Trabalho de Conclusão de Curso em Engenharia) - Universidade Federal de Ouro Preto, Ouro Preto, 2018.</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SMITH, V. E. Linear programming models for the determination of palatable human diets. </w:t>
      </w:r>
      <w:r w:rsidDel="00000000" w:rsidR="00000000" w:rsidRPr="00000000">
        <w:rPr>
          <w:rFonts w:ascii="Google Sans" w:cs="Google Sans" w:eastAsia="Google Sans" w:hAnsi="Google Sans"/>
          <w:i w:val="1"/>
          <w:iCs w:val="1"/>
          <w:color w:val="1f1f1f"/>
          <w:rtl w:val="0"/>
        </w:rPr>
        <w:t xml:space="preserve">Journal of Farm Economics</w:t>
      </w:r>
      <w:r w:rsidDel="00000000" w:rsidR="00000000" w:rsidRPr="00000000">
        <w:rPr>
          <w:rFonts w:ascii="Google Sans" w:cs="Google Sans" w:eastAsia="Google Sans" w:hAnsi="Google Sans"/>
          <w:color w:val="1f1f1f"/>
          <w:rtl w:val="0"/>
        </w:rPr>
        <w:t xml:space="preserve">, v. 41, n. 2, p. 272-283, 1959.</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SPAK, M. D. S.; COLMENERO, J. C. Multi-objective optimization for menu planning complying with nutritional and health issues, eating habits and low green gas emissions. </w:t>
      </w:r>
      <w:r w:rsidDel="00000000" w:rsidR="00000000" w:rsidRPr="00000000">
        <w:rPr>
          <w:rFonts w:ascii="Google Sans" w:cs="Google Sans" w:eastAsia="Google Sans" w:hAnsi="Google Sans"/>
          <w:i w:val="1"/>
          <w:iCs w:val="1"/>
          <w:color w:val="1f1f1f"/>
          <w:rtl w:val="0"/>
        </w:rPr>
        <w:t xml:space="preserve">Journal of Food and Nutrition Research</w:t>
      </w:r>
      <w:r w:rsidDel="00000000" w:rsidR="00000000" w:rsidRPr="00000000">
        <w:rPr>
          <w:rFonts w:ascii="Google Sans" w:cs="Google Sans" w:eastAsia="Google Sans" w:hAnsi="Google Sans"/>
          <w:color w:val="1f1f1f"/>
          <w:rtl w:val="0"/>
        </w:rPr>
        <w:t xml:space="preserve">, v. 60, p. 38-48, 2021.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STIGLER, G. J. The Cost of Subsistence. </w:t>
      </w:r>
      <w:r w:rsidDel="00000000" w:rsidR="00000000" w:rsidRPr="00000000">
        <w:rPr>
          <w:rFonts w:ascii="Google Sans" w:cs="Google Sans" w:eastAsia="Google Sans" w:hAnsi="Google Sans"/>
          <w:i w:val="1"/>
          <w:iCs w:val="1"/>
          <w:color w:val="1f1f1f"/>
          <w:rtl w:val="0"/>
        </w:rPr>
        <w:t xml:space="preserve">Journal of Farm Economics</w:t>
      </w:r>
      <w:r w:rsidDel="00000000" w:rsidR="00000000" w:rsidRPr="00000000">
        <w:rPr>
          <w:rFonts w:ascii="Google Sans" w:cs="Google Sans" w:eastAsia="Google Sans" w:hAnsi="Google Sans"/>
          <w:color w:val="1f1f1f"/>
          <w:rtl w:val="0"/>
        </w:rPr>
        <w:t xml:space="preserve">, v. 27, n. 2, p. 303-314, 1945.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VERLY-JR, E. et al. Precision of usual food intake estimates according to the percentage of true variance. </w:t>
      </w:r>
      <w:r w:rsidDel="00000000" w:rsidR="00000000" w:rsidRPr="00000000">
        <w:rPr>
          <w:rFonts w:ascii="Google Sans" w:cs="Google Sans" w:eastAsia="Google Sans" w:hAnsi="Google Sans"/>
          <w:i w:val="1"/>
          <w:iCs w:val="1"/>
          <w:color w:val="1f1f1f"/>
          <w:rtl w:val="0"/>
        </w:rPr>
        <w:t xml:space="preserve">Public Health Nutrition</w:t>
      </w:r>
      <w:r w:rsidDel="00000000" w:rsidR="00000000" w:rsidRPr="00000000">
        <w:rPr>
          <w:rFonts w:ascii="Google Sans" w:cs="Google Sans" w:eastAsia="Google Sans" w:hAnsi="Google Sans"/>
          <w:color w:val="1f1f1f"/>
          <w:rtl w:val="0"/>
        </w:rPr>
        <w:t xml:space="preserve">, v. 16, n. 10, 2013.</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VERLY-JR, E. et al. Evaluate how much the nutrient content can be increased through a modeled diet, without increasing the cost, for low-income Brazilian families. </w:t>
      </w:r>
      <w:r w:rsidDel="00000000" w:rsidR="00000000" w:rsidRPr="00000000">
        <w:rPr>
          <w:rFonts w:ascii="Google Sans" w:cs="Google Sans" w:eastAsia="Google Sans" w:hAnsi="Google Sans"/>
          <w:i w:val="1"/>
          <w:iCs w:val="1"/>
          <w:color w:val="1f1f1f"/>
          <w:rtl w:val="0"/>
        </w:rPr>
        <w:t xml:space="preserve">Public Health Nutrition</w:t>
      </w:r>
      <w:r w:rsidDel="00000000" w:rsidR="00000000" w:rsidRPr="00000000">
        <w:rPr>
          <w:rFonts w:ascii="Google Sans" w:cs="Google Sans" w:eastAsia="Google Sans" w:hAnsi="Google Sans"/>
          <w:color w:val="1f1f1f"/>
          <w:rtl w:val="0"/>
        </w:rPr>
        <w:t xml:space="preserve">, v. 22, n. 8, p. 1450-1460, 2019.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11.png"/><Relationship Id="rId41" Type="http://schemas.openxmlformats.org/officeDocument/2006/relationships/image" Target="media/image19.png"/><Relationship Id="rId44" Type="http://schemas.openxmlformats.org/officeDocument/2006/relationships/image" Target="media/image5.png"/><Relationship Id="rId43" Type="http://schemas.openxmlformats.org/officeDocument/2006/relationships/image" Target="media/image18.png"/><Relationship Id="rId46" Type="http://schemas.openxmlformats.org/officeDocument/2006/relationships/image" Target="media/image3.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17.png"/><Relationship Id="rId47" Type="http://schemas.openxmlformats.org/officeDocument/2006/relationships/image" Target="media/image13.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40.png"/><Relationship Id="rId7" Type="http://schemas.openxmlformats.org/officeDocument/2006/relationships/image" Target="media/image50.png"/><Relationship Id="rId8" Type="http://schemas.openxmlformats.org/officeDocument/2006/relationships/image" Target="media/image43.png"/><Relationship Id="rId31" Type="http://schemas.openxmlformats.org/officeDocument/2006/relationships/image" Target="media/image39.png"/><Relationship Id="rId30" Type="http://schemas.openxmlformats.org/officeDocument/2006/relationships/image" Target="media/image29.png"/><Relationship Id="rId33" Type="http://schemas.openxmlformats.org/officeDocument/2006/relationships/image" Target="media/image2.png"/><Relationship Id="rId32" Type="http://schemas.openxmlformats.org/officeDocument/2006/relationships/image" Target="media/image1.png"/><Relationship Id="rId35" Type="http://schemas.openxmlformats.org/officeDocument/2006/relationships/image" Target="media/image10.png"/><Relationship Id="rId34" Type="http://schemas.openxmlformats.org/officeDocument/2006/relationships/image" Target="media/image9.png"/><Relationship Id="rId37" Type="http://schemas.openxmlformats.org/officeDocument/2006/relationships/image" Target="media/image20.png"/><Relationship Id="rId36" Type="http://schemas.openxmlformats.org/officeDocument/2006/relationships/image" Target="media/image6.png"/><Relationship Id="rId39" Type="http://schemas.openxmlformats.org/officeDocument/2006/relationships/image" Target="media/image4.png"/><Relationship Id="rId38" Type="http://schemas.openxmlformats.org/officeDocument/2006/relationships/image" Target="media/image30.png"/><Relationship Id="rId62" Type="http://schemas.openxmlformats.org/officeDocument/2006/relationships/image" Target="media/image41.png"/><Relationship Id="rId61" Type="http://schemas.openxmlformats.org/officeDocument/2006/relationships/image" Target="media/image47.png"/><Relationship Id="rId20" Type="http://schemas.openxmlformats.org/officeDocument/2006/relationships/image" Target="media/image54.png"/><Relationship Id="rId64" Type="http://schemas.openxmlformats.org/officeDocument/2006/relationships/image" Target="media/image12.png"/><Relationship Id="rId63" Type="http://schemas.openxmlformats.org/officeDocument/2006/relationships/image" Target="media/image25.png"/><Relationship Id="rId22" Type="http://schemas.openxmlformats.org/officeDocument/2006/relationships/image" Target="media/image21.png"/><Relationship Id="rId21" Type="http://schemas.openxmlformats.org/officeDocument/2006/relationships/image" Target="media/image51.png"/><Relationship Id="rId65" Type="http://schemas.openxmlformats.org/officeDocument/2006/relationships/image" Target="media/image16.png"/><Relationship Id="rId24" Type="http://schemas.openxmlformats.org/officeDocument/2006/relationships/image" Target="media/image8.png"/><Relationship Id="rId23" Type="http://schemas.openxmlformats.org/officeDocument/2006/relationships/image" Target="media/image14.png"/><Relationship Id="rId60" Type="http://schemas.openxmlformats.org/officeDocument/2006/relationships/image" Target="media/image26.png"/><Relationship Id="rId26" Type="http://schemas.openxmlformats.org/officeDocument/2006/relationships/image" Target="media/image38.png"/><Relationship Id="rId25" Type="http://schemas.openxmlformats.org/officeDocument/2006/relationships/image" Target="media/image36.png"/><Relationship Id="rId28" Type="http://schemas.openxmlformats.org/officeDocument/2006/relationships/image" Target="media/image24.png"/><Relationship Id="rId27" Type="http://schemas.openxmlformats.org/officeDocument/2006/relationships/image" Target="media/image23.png"/><Relationship Id="rId29" Type="http://schemas.openxmlformats.org/officeDocument/2006/relationships/image" Target="media/image34.png"/><Relationship Id="rId51" Type="http://schemas.openxmlformats.org/officeDocument/2006/relationships/image" Target="media/image48.png"/><Relationship Id="rId50" Type="http://schemas.openxmlformats.org/officeDocument/2006/relationships/image" Target="media/image58.png"/><Relationship Id="rId53" Type="http://schemas.openxmlformats.org/officeDocument/2006/relationships/image" Target="media/image57.png"/><Relationship Id="rId52" Type="http://schemas.openxmlformats.org/officeDocument/2006/relationships/image" Target="media/image52.png"/><Relationship Id="rId11" Type="http://schemas.openxmlformats.org/officeDocument/2006/relationships/image" Target="media/image32.png"/><Relationship Id="rId55" Type="http://schemas.openxmlformats.org/officeDocument/2006/relationships/image" Target="media/image45.png"/><Relationship Id="rId10" Type="http://schemas.openxmlformats.org/officeDocument/2006/relationships/image" Target="media/image28.png"/><Relationship Id="rId54" Type="http://schemas.openxmlformats.org/officeDocument/2006/relationships/image" Target="media/image60.png"/><Relationship Id="rId13" Type="http://schemas.openxmlformats.org/officeDocument/2006/relationships/image" Target="media/image42.png"/><Relationship Id="rId57" Type="http://schemas.openxmlformats.org/officeDocument/2006/relationships/image" Target="media/image33.png"/><Relationship Id="rId12" Type="http://schemas.openxmlformats.org/officeDocument/2006/relationships/image" Target="media/image44.png"/><Relationship Id="rId56" Type="http://schemas.openxmlformats.org/officeDocument/2006/relationships/image" Target="media/image53.png"/><Relationship Id="rId15" Type="http://schemas.openxmlformats.org/officeDocument/2006/relationships/image" Target="media/image55.png"/><Relationship Id="rId59" Type="http://schemas.openxmlformats.org/officeDocument/2006/relationships/image" Target="media/image35.png"/><Relationship Id="rId14" Type="http://schemas.openxmlformats.org/officeDocument/2006/relationships/image" Target="media/image46.png"/><Relationship Id="rId58" Type="http://schemas.openxmlformats.org/officeDocument/2006/relationships/image" Target="media/image22.png"/><Relationship Id="rId17" Type="http://schemas.openxmlformats.org/officeDocument/2006/relationships/image" Target="media/image56.png"/><Relationship Id="rId16" Type="http://schemas.openxmlformats.org/officeDocument/2006/relationships/image" Target="media/image59.png"/><Relationship Id="rId19" Type="http://schemas.openxmlformats.org/officeDocument/2006/relationships/image" Target="media/image31.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