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Modelagem Matemática e Otimização em Supply Chain de Foodservice: A Integração Estratégica entre Cardápios, Finanças, Estoques e Redução de Desperdício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gestão de Unidades de Alimentação e Nutrição (UAN) evoluiu de uma prática empírica e isolada para um dos domínios mais complexos da Engenharia de Produção e da Pesquisa Operacional. Historicamente, a elaboração de dietas e cardápios foi introduzida na literatura científica como um problema de otimização linear determinística na década de 1940, notabilizado pelo clássico "Problema da Dieta" formulado para garantir a subsistência militar ao menor custo possível, evoluindo na década de 1960 com as primeiras formulações computacionais propostas para ambientes institucionais (BALINTFY, 1964). Contudo, o paradigma contemporâneo do setor de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corporativo, hospitalar e universitário transformou esse conceito básico no que a literatura define atualmente como o </w:t>
      </w:r>
      <w:r w:rsidDel="00000000" w:rsidR="00000000" w:rsidRPr="00000000">
        <w:rPr>
          <w:rFonts w:ascii="Google Sans" w:cs="Google Sans" w:eastAsia="Google Sans" w:hAnsi="Google Sans"/>
          <w:i w:val="1"/>
          <w:iCs w:val="1"/>
          <w:color w:val="1f1f1f"/>
          <w:rtl w:val="0"/>
        </w:rPr>
        <w:t xml:space="preserve">Menu Planning Problem</w:t>
      </w:r>
      <w:r w:rsidDel="00000000" w:rsidR="00000000" w:rsidRPr="00000000">
        <w:rPr>
          <w:rFonts w:ascii="Google Sans" w:cs="Google Sans" w:eastAsia="Google Sans" w:hAnsi="Google Sans"/>
          <w:color w:val="1f1f1f"/>
          <w:rtl w:val="0"/>
        </w:rPr>
        <w:t xml:space="preserve"> (MPP). Trata-se de um problema combinatório de extrema complexidade, frequentemente classificado como NP-completo e modelado sob a ótica do Problema da Mochila Multidimensional (SELJAK, 2009).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dinâmica operacional de uma UAN, o cardápio não é apenas um documento informativo para o comensal; ele é o motor deflagrador de toda a cadeia de suprimentos (</w:t>
      </w:r>
      <w:r w:rsidDel="00000000" w:rsidR="00000000" w:rsidRPr="00000000">
        <w:rPr>
          <w:rFonts w:ascii="Google Sans" w:cs="Google Sans" w:eastAsia="Google Sans" w:hAnsi="Google Sans"/>
          <w:i w:val="1"/>
          <w:iCs w:val="1"/>
          <w:color w:val="1f1f1f"/>
          <w:rtl w:val="0"/>
        </w:rPr>
        <w:t xml:space="preserve">Supply Chain</w:t>
      </w:r>
      <w:r w:rsidDel="00000000" w:rsidR="00000000" w:rsidRPr="00000000">
        <w:rPr>
          <w:rFonts w:ascii="Google Sans" w:cs="Google Sans" w:eastAsia="Google Sans" w:hAnsi="Google Sans"/>
          <w:color w:val="1f1f1f"/>
          <w:rtl w:val="0"/>
        </w:rPr>
        <w:t xml:space="preserve">). As decisões tomadas na matriz do menu ditam de forma inexorável as previsões de demanda, os fluxos de caixa e o capital de giro retido, a necessidade de espaço físico para armazenagem e o dimensionamento da força de trabalho no pré-preparo e na cocção. O distanciamento histórico entre o planejamento clínico-nutricional e as operações logísticas frequentemente resulta em anomalias de gestão. Erros no planejamento não apenas elevam o Custo Per Capita de forma insustentável, mas também geram gargalos críticos de estoque, deterioração da qualidade sensorial das refeições e volumes catastróficos de desperdício de alimentos, conhecido na literatura global como </w:t>
      </w:r>
      <w:r w:rsidDel="00000000" w:rsidR="00000000" w:rsidRPr="00000000">
        <w:rPr>
          <w:rFonts w:ascii="Google Sans" w:cs="Google Sans" w:eastAsia="Google Sans" w:hAnsi="Google Sans"/>
          <w:i w:val="1"/>
          <w:iCs w:val="1"/>
          <w:color w:val="1f1f1f"/>
          <w:rtl w:val="0"/>
        </w:rPr>
        <w:t xml:space="preserve">food waste</w:t>
      </w:r>
      <w:r w:rsidDel="00000000" w:rsidR="00000000" w:rsidRPr="00000000">
        <w:rPr>
          <w:rFonts w:ascii="Google Sans" w:cs="Google Sans" w:eastAsia="Google Sans" w:hAnsi="Google Sans"/>
          <w:color w:val="1f1f1f"/>
          <w:rtl w:val="0"/>
        </w:rPr>
        <w:t xml:space="preserve"> (KLEIN et al., 2021).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lidar com essa teia de variáveis altamente conflitantes, a fronteira da literatura em Pesquisa Operacional tem desenvolvido algoritmos e formulações matemáticas avançadas. Esses modelos abrangem desde a Programação Linear Inteira Mista (MILP) clássica até fronteiras estocásticas e meta-heurísticas, como a Otimização Robusta Ajustável e os Algoritmos Evolutivos Multiobjetivo (MARRERO et al., 2020). A análise aprofundada dos modelos matemáticos subjacentes a essas operações revela que a sustentabilidade financeira, ambiental e logística de uma UAN depende intrinsecamente da capacidade do algoritmo de traduzir fatores qualitativos, estocásticos e físicos em funções objetivo e restrições algébricas rigorosas.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de pesquisa investiga exaustivamente o estado da arte das formulações matemáticas aplicadas à gestão de </w:t>
      </w:r>
      <w:r w:rsidDel="00000000" w:rsidR="00000000" w:rsidRPr="00000000">
        <w:rPr>
          <w:rFonts w:ascii="Google Sans" w:cs="Google Sans" w:eastAsia="Google Sans" w:hAnsi="Google Sans"/>
          <w:i w:val="1"/>
          <w:iCs w:val="1"/>
          <w:color w:val="1f1f1f"/>
          <w:rtl w:val="0"/>
        </w:rPr>
        <w:t xml:space="preserve">supply chain</w:t>
      </w:r>
      <w:r w:rsidDel="00000000" w:rsidR="00000000" w:rsidRPr="00000000">
        <w:rPr>
          <w:rFonts w:ascii="Google Sans" w:cs="Google Sans" w:eastAsia="Google Sans" w:hAnsi="Google Sans"/>
          <w:color w:val="1f1f1f"/>
          <w:rtl w:val="0"/>
        </w:rPr>
        <w:t xml:space="preserve"> no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O documento detalha como a engenharia de sistemas equaciona a incorporação de oscilações orçamentárias e sazonalidade agrícola, integra as decisões de elaboração de cardápio à capacidade intralogística e de estocagem, propõe formulações preditivas para a erradicação do desperdício de alimentos na fonte e, fundamentalmente, equaciona o complexo </w:t>
      </w:r>
      <w:r w:rsidDel="00000000" w:rsidR="00000000" w:rsidRPr="00000000">
        <w:rPr>
          <w:rFonts w:ascii="Google Sans" w:cs="Google Sans" w:eastAsia="Google Sans" w:hAnsi="Google Sans"/>
          <w:i w:val="1"/>
          <w:iCs w:val="1"/>
          <w:color w:val="1f1f1f"/>
          <w:rtl w:val="0"/>
        </w:rPr>
        <w:t xml:space="preserve">trade-off</w:t>
      </w:r>
      <w:r w:rsidDel="00000000" w:rsidR="00000000" w:rsidRPr="00000000">
        <w:rPr>
          <w:rFonts w:ascii="Google Sans" w:cs="Google Sans" w:eastAsia="Google Sans" w:hAnsi="Google Sans"/>
          <w:color w:val="1f1f1f"/>
          <w:rtl w:val="0"/>
        </w:rPr>
        <w:t xml:space="preserve"> entre a eficiência econômica e a excelência nutricional e sensorial.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Incorporação de Restrições de Orçamento e Dinâmica de Sazonalidade na Modelagem de Cardápios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controle financeiro e a viabilidade econômica de uma Unidade de Alimentação e Nutrição são mensurados primariamente por meio do Custo Per Capita (CPC), um indicador financeiro que sofre pressões contínuas e severas devido à volatilidade inerente aos mercados agrícolas, pecuários e de insumos industrializados. A modelagem matemática do custo no contexto do </w:t>
      </w:r>
      <w:r w:rsidDel="00000000" w:rsidR="00000000" w:rsidRPr="00000000">
        <w:rPr>
          <w:rFonts w:ascii="Google Sans" w:cs="Google Sans" w:eastAsia="Google Sans" w:hAnsi="Google Sans"/>
          <w:i w:val="1"/>
          <w:iCs w:val="1"/>
          <w:color w:val="1f1f1f"/>
          <w:rtl w:val="0"/>
        </w:rPr>
        <w:t xml:space="preserve">Menu Planning Problem</w:t>
      </w:r>
      <w:r w:rsidDel="00000000" w:rsidR="00000000" w:rsidRPr="00000000">
        <w:rPr>
          <w:rFonts w:ascii="Google Sans" w:cs="Google Sans" w:eastAsia="Google Sans" w:hAnsi="Google Sans"/>
          <w:color w:val="1f1f1f"/>
          <w:rtl w:val="0"/>
        </w:rPr>
        <w:t xml:space="preserve"> não pode, sob a ótica da Engenharia de Produção, ser tratada de forma estática ou puramente determinística. Ela exige a internalização das perdas inerentes aos processos de manufatura alimentar e a adaptação matemática às flutuações sazonais de preço que governam a cadeia de suprimentos </w:t>
      </w:r>
      <w:r w:rsidDel="00000000" w:rsidR="00000000" w:rsidRPr="00000000">
        <w:rPr>
          <w:rFonts w:ascii="Google Sans" w:cs="Google Sans" w:eastAsia="Google Sans" w:hAnsi="Google Sans"/>
          <w:i w:val="1"/>
          <w:iCs w:val="1"/>
          <w:color w:val="1f1f1f"/>
          <w:rtl w:val="0"/>
        </w:rPr>
        <w:t xml:space="preserve">upstream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Otimização do Custo Per Capita e Internalização dos Fatores de Rendimento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sua formulação matemática mais canônica e elementar, a minimização do custo financeiro de um cardápio é representada por uma função objetivo linear simples, cujo propósito é varrer o espaço de soluções viáveis em busca da composição mais barata. Essa função é usualmente descrita na literatura como a minimização de </w:t>
      </w:r>
      <w:r w:rsidDel="00000000" w:rsidR="00000000" w:rsidRPr="00000000">
        <w:rPr>
          <w:rFonts w:ascii="Google Sans" w:cs="Google Sans" w:eastAsia="Google Sans" w:hAnsi="Google Sans"/>
          <w:color w:val="1f1f1f"/>
        </w:rPr>
        <w:drawing>
          <wp:inline distB="19050" distT="19050" distL="19050" distR="19050">
            <wp:extent cx="139105" cy="233949"/>
            <wp:effectExtent b="0" l="0" r="0" t="0"/>
            <wp:docPr id="3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9105"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onde o somatório do produto entre o custo do insumo e a variável de decisão é minimizado, sujeito a restrições dietéticas (MARTOS-BARRACHINA, 2025). A modelagem baseia-se em um problema de programação linear binária, no qual se assume o valor um para as combinações de receitas a serem utilizadas e zero caso contrário (CARMO et al., 2022).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Entretanto, modelos avançados aplicados à gestão industrial em UANs exigem a incorporação de variáveis de rendimento operacional para refletir o custo real e efetivo da matéria-prima consumida, não apenas o seu valor de nota fiscal. A literatura de custeio baseada em atividades no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demonstra que a otimização focada estritamente no preço bruto de aquisição (</w:t>
      </w:r>
      <w:r w:rsidDel="00000000" w:rsidR="00000000" w:rsidRPr="00000000">
        <w:rPr>
          <w:rFonts w:ascii="Google Sans" w:cs="Google Sans" w:eastAsia="Google Sans" w:hAnsi="Google Sans"/>
          <w:color w:val="1f1f1f"/>
        </w:rPr>
        <w:drawing>
          <wp:inline distB="19050" distT="19050" distL="19050" distR="19050">
            <wp:extent cx="149522" cy="230514"/>
            <wp:effectExtent b="0" l="0" r="0" t="0"/>
            <wp:docPr id="36"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49522" cy="230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falha, pois ignora as perdas físicas substanciais que ocorrem durante o processamento da cadeia de valor interna (MELO; CARMO, 2021).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corrigir essa miopia sistêmica, modelos recentes de otimização integram dois parâmetros fundamentais das ciências de alimentos diretamente na formulação algébrica do custo: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Fator de Correção (FC):</w:t>
      </w:r>
      <w:r w:rsidDel="00000000" w:rsidR="00000000" w:rsidRPr="00000000">
        <w:rPr>
          <w:rFonts w:ascii="Google Sans" w:cs="Google Sans" w:eastAsia="Google Sans" w:hAnsi="Google Sans"/>
          <w:color w:val="1f1f1f"/>
          <w:rtl w:val="0"/>
        </w:rPr>
        <w:t xml:space="preserve"> Também conhecido como Indicador de Parte Edível, mensura as perdas inevitáveis no pré-preparo, como descascamento de vegetais, desossa de carnes e remoção de aparas (CARMO et al., 2022).</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Fator de Cocção (FCOC):</w:t>
      </w:r>
      <w:r w:rsidDel="00000000" w:rsidR="00000000" w:rsidRPr="00000000">
        <w:rPr>
          <w:rFonts w:ascii="Google Sans" w:cs="Google Sans" w:eastAsia="Google Sans" w:hAnsi="Google Sans"/>
          <w:color w:val="1f1f1f"/>
          <w:rtl w:val="0"/>
        </w:rPr>
        <w:t xml:space="preserve"> Também chamado de Índice de Conversão, mede a retração térmica (ex: perda de água e lipídios em carnes assadas) ou a hidratação (ex: ganho de volume e peso em leguminosas e cereais) decorrentes da aplicação de calor durante a produção.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Dessa forma, o modelo matemático é alimentado não pelo preço de compra, mas pelo Custo Real Efetivo (</w:t>
      </w:r>
      <w:r w:rsidDel="00000000" w:rsidR="00000000" w:rsidRPr="00000000">
        <w:rPr>
          <w:rFonts w:ascii="Google Sans" w:cs="Google Sans" w:eastAsia="Google Sans" w:hAnsi="Google Sans"/>
          <w:color w:val="1f1f1f"/>
        </w:rPr>
        <w:drawing>
          <wp:inline distB="19050" distT="19050" distL="19050" distR="19050">
            <wp:extent cx="153591" cy="236786"/>
            <wp:effectExtent b="0" l="0" r="0" t="0"/>
            <wp:docPr id="35"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53591" cy="236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um insumo porcionado, que é modelado considerando o rendimento intralogístico: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9300"/>
            <wp:effectExtent b="0" l="0" r="0" t="0"/>
            <wp:docPr id="3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15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w:t>
      </w:r>
      <w:r w:rsidDel="00000000" w:rsidR="00000000" w:rsidRPr="00000000">
        <w:rPr>
          <w:rFonts w:ascii="Google Sans" w:cs="Google Sans" w:eastAsia="Google Sans" w:hAnsi="Google Sans"/>
          <w:color w:val="1f1f1f"/>
        </w:rPr>
        <w:drawing>
          <wp:inline distB="19050" distT="19050" distL="19050" distR="19050">
            <wp:extent cx="357088" cy="240223"/>
            <wp:effectExtent b="0" l="0" r="0" t="0"/>
            <wp:docPr id="37"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57088" cy="24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os custos marginais diretos de preparação alocados àquela receita específica, incluindo o rateio de temperos, consumo energético do equipamento e tempo padrão de mão de obra (MELO; CARMO, 2021). Ao processar os algoritmos de Programação Linear com a variável </w:t>
      </w:r>
      <w:r w:rsidDel="00000000" w:rsidR="00000000" w:rsidRPr="00000000">
        <w:rPr>
          <w:rFonts w:ascii="Google Sans" w:cs="Google Sans" w:eastAsia="Google Sans" w:hAnsi="Google Sans"/>
          <w:color w:val="1f1f1f"/>
        </w:rPr>
        <w:drawing>
          <wp:inline distB="19050" distT="19050" distL="19050" distR="19050">
            <wp:extent cx="153591" cy="236786"/>
            <wp:effectExtent b="0" l="0" r="0" t="0"/>
            <wp:docPr id="4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53591" cy="236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sistema de otimização passa a tomar decisões contraintuitivas para um comprador inexperiente, mas matematicamente corretas: o algoritmo favorece frequentemente insumos ou cortes de carne que, embora possuam um preço de aquisição por quilograma superior na gôndola, apresentam um rendimento de cocção tão elevado e uma perda de pré-preparo tão baixa que minimizam o Custo Per Capita efetivo da bandeja final entregue ao cliente (CARMO et al., 2022).</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Oscilações Dinâmicas de Preço e Modelagem da Sazonalidade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sazonalidade agrícola impõe uma forte não-estacionariedade aos custos dos insumos, representados matematicamente como uma função do tempo, </w:t>
      </w:r>
      <w:r w:rsidDel="00000000" w:rsidR="00000000" w:rsidRPr="00000000">
        <w:rPr>
          <w:rFonts w:ascii="Google Sans" w:cs="Google Sans" w:eastAsia="Google Sans" w:hAnsi="Google Sans"/>
          <w:color w:val="1f1f1f"/>
        </w:rPr>
        <w:drawing>
          <wp:inline distB="19050" distT="19050" distL="19050" distR="19050">
            <wp:extent cx="359569" cy="233404"/>
            <wp:effectExtent b="0" l="0" r="0" t="0"/>
            <wp:docPr id="4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59569" cy="233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Produtos hortifrútis, commodities em grãos e proteínas animais apresentam ciclos de safra e entressafra que podem alterar seus preços de mercado em mais de 100% de um mês para o outro, sofrendo impactos agudos de variáveis climáticas, eventos macroeconômicos e gargalos logísticos.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os algoritmos de elaboração de cardápios não sugiram cardápios financeiramente inviáveis — como a inclusão de tomates ou morangos no pico do inverno, ou cortes de peixe específicos fora da temporada de pesca —, a modelagem matemática avança da programação linear determinística para a otimização estocástica e a análise de séries temporais. Em vez de utilizar um custo histórico congelado, os modelos de vanguarda calculam o cardápio baseando-se em previsões de preço geradas por técnicas preditivas, como o alisamento exponencial de </w:t>
      </w:r>
      <w:r w:rsidDel="00000000" w:rsidR="00000000" w:rsidRPr="00000000">
        <w:rPr>
          <w:rFonts w:ascii="Google Sans" w:cs="Google Sans" w:eastAsia="Google Sans" w:hAnsi="Google Sans"/>
          <w:i w:val="1"/>
          <w:iCs w:val="1"/>
          <w:color w:val="1f1f1f"/>
          <w:rtl w:val="0"/>
        </w:rPr>
        <w:t xml:space="preserve">Holt-Winters</w:t>
      </w:r>
      <w:r w:rsidDel="00000000" w:rsidR="00000000" w:rsidRPr="00000000">
        <w:rPr>
          <w:rFonts w:ascii="Google Sans" w:cs="Google Sans" w:eastAsia="Google Sans" w:hAnsi="Google Sans"/>
          <w:color w:val="1f1f1f"/>
          <w:rtl w:val="0"/>
        </w:rPr>
        <w:t xml:space="preserve">, ou abordagens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incluindo Regressão Lasso, </w:t>
      </w:r>
      <w:r w:rsidDel="00000000" w:rsidR="00000000" w:rsidRPr="00000000">
        <w:rPr>
          <w:rFonts w:ascii="Google Sans" w:cs="Google Sans" w:eastAsia="Google Sans" w:hAnsi="Google Sans"/>
          <w:i w:val="1"/>
          <w:iCs w:val="1"/>
          <w:color w:val="1f1f1f"/>
          <w:rtl w:val="0"/>
        </w:rPr>
        <w:t xml:space="preserve">Random Forest</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Gradient Boosting Regressor</w:t>
      </w:r>
      <w:r w:rsidDel="00000000" w:rsidR="00000000" w:rsidRPr="00000000">
        <w:rPr>
          <w:rFonts w:ascii="Google Sans" w:cs="Google Sans" w:eastAsia="Google Sans" w:hAnsi="Google Sans"/>
          <w:color w:val="1f1f1f"/>
          <w:rtl w:val="0"/>
        </w:rPr>
        <w:t xml:space="preserve"> (ABAGGE, 2021). Esses modelos matemáticos capturam componentes de nível, tendência e ciclos que se repetem a intervalos regulares, suavizando a incerteza para o planejador.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introdução sistemática da sazonalidade no modelo de cardápio transforma a função objetivo original em um problema de programação dinâmica estendida ao longo de um horizonte de planejamento temporal </w:t>
      </w:r>
      <w:r w:rsidDel="00000000" w:rsidR="00000000" w:rsidRPr="00000000">
        <w:rPr>
          <w:rFonts w:ascii="Google Sans" w:cs="Google Sans" w:eastAsia="Google Sans" w:hAnsi="Google Sans"/>
          <w:color w:val="1f1f1f"/>
        </w:rPr>
        <w:drawing>
          <wp:inline distB="19050" distT="19050" distL="19050" distR="19050">
            <wp:extent cx="133350" cy="234950"/>
            <wp:effectExtent b="0" l="0" r="0" t="0"/>
            <wp:docPr id="47"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1333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algoritmo deve agora minimizar a esperança matemática do custo ao longo desse período: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901700"/>
            <wp:effectExtent b="0" l="0" r="0" t="0"/>
            <wp:docPr id="45"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150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Algoritmos focados no gerenciamento sazonal forçam o sistema matemático a estruturar o cardápio de forma particionada. A literatura sugere a parametrização de inequações que dividem o planejamento em itens "Core" (itens essenciais com elasticidade-preço menor que compõem 60% a 70% do volume) e itens "Sazonais" (responsáveis pela variação de 20% a 30% do menu), garantindo resiliência orçamentária e flexibilidade operacional. Limites superiores e inferiores de custo são parametrizados como restrições flexíveis para forçar o algoritmo de otimização a, por exemplo, substituir ingredientes de alto custo na entressafra por alternativas locais equivalentes nutricionalmente, mantendo-se estritamente abaixo do teto do Custo Per Capita diário estipulado pelo contrato da UAN.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estudos de caso e formulações aplicadas evidenciam que planejar cardápios matematicamente alinhados às curvas sazonais de mercado reduz os custos diretos de aquisição de alimentos entre 15% e 25% (WILLIAMSON, 2016). Os modelos de otimização aplicados sob essa perspectiva de engenharia também avaliam matrizes de correlação cruzada entre os preços de diferentes </w:t>
      </w:r>
      <w:r w:rsidDel="00000000" w:rsidR="00000000" w:rsidRPr="00000000">
        <w:rPr>
          <w:rFonts w:ascii="Google Sans" w:cs="Google Sans" w:eastAsia="Google Sans" w:hAnsi="Google Sans"/>
          <w:i w:val="1"/>
          <w:iCs w:val="1"/>
          <w:color w:val="1f1f1f"/>
          <w:rtl w:val="0"/>
        </w:rPr>
        <w:t xml:space="preserve">commodities</w:t>
      </w:r>
      <w:r w:rsidDel="00000000" w:rsidR="00000000" w:rsidRPr="00000000">
        <w:rPr>
          <w:rFonts w:ascii="Google Sans" w:cs="Google Sans" w:eastAsia="Google Sans" w:hAnsi="Google Sans"/>
          <w:color w:val="1f1f1f"/>
          <w:rtl w:val="0"/>
        </w:rPr>
        <w:t xml:space="preserve">. Isso garante que, se a restrição nutricional do sistema ditar uma necessidade mandatória de 40 mg de vitamina C e 15 gramas de fibra por refeição, e a laranja ou o brócolis estiverem fora de safra (acarretando um </w:t>
      </w:r>
      <w:r w:rsidDel="00000000" w:rsidR="00000000" w:rsidRPr="00000000">
        <w:rPr>
          <w:rFonts w:ascii="Google Sans" w:cs="Google Sans" w:eastAsia="Google Sans" w:hAnsi="Google Sans"/>
          <w:color w:val="1f1f1f"/>
        </w:rPr>
        <w:drawing>
          <wp:inline distB="19050" distT="19050" distL="19050" distR="19050">
            <wp:extent cx="359569" cy="233404"/>
            <wp:effectExtent b="0" l="0" r="0" t="0"/>
            <wp:docPr id="52"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59569" cy="233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proibitivo), o algoritmo de Pesquisa Operacional proceda instantaneamente a uma substituição transversal multidimensional. Ele pode, por exemplo, combinar frações de repolho, pimentão e cenoura que, somadas, atinjam o alvo nutricional e o volume no prato exigidos, enquanto a função custo total é mantida minimizada.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1 sumariza as diferenças fundamentais entre os paradigmas de modelagem de custos em UANs.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 da Modelagem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 Determinístico Clássico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 Estocástico Sazonal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na Gestão da 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 do Insumo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Preço estático e histórico (</w:t>
            </w:r>
            <w:r w:rsidDel="00000000" w:rsidR="00000000" w:rsidRPr="00000000">
              <w:rPr>
                <w:rFonts w:ascii="Google Sans" w:cs="Google Sans" w:eastAsia="Google Sans" w:hAnsi="Google Sans"/>
                <w:color w:val="1f1f1f"/>
              </w:rPr>
              <w:drawing>
                <wp:inline distB="19050" distT="19050" distL="19050" distR="19050">
                  <wp:extent cx="149522" cy="230514"/>
                  <wp:effectExtent b="0" l="0" r="0" t="0"/>
                  <wp:docPr id="4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49522" cy="230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Preço dinâmico previsto </w:t>
            </w:r>
            <w:r w:rsidDel="00000000" w:rsidR="00000000" w:rsidRPr="00000000">
              <w:rPr>
                <w:rFonts w:ascii="Google Sans" w:cs="Google Sans" w:eastAsia="Google Sans" w:hAnsi="Google Sans"/>
                <w:color w:val="1f1f1f"/>
              </w:rPr>
              <w:drawing>
                <wp:inline distB="19050" distT="19050" distL="19050" distR="19050">
                  <wp:extent cx="359569" cy="233404"/>
                  <wp:effectExtent b="0" l="0" r="0" t="0"/>
                  <wp:docPr id="50"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59569" cy="233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Evita estouro orçamentário em períodos de entressafra.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Rendimento Físico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Ignorado (assume 100% de uso).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Inclusão algorítmica de FC e FCOC.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 distorções entre custo estimado e custo real no prato.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Estrutura do Cardápio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itens fixa.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dividida em Core e Sazonal.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Aumenta o poder de negociação de compras em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Substituição de Insumos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baseada na intuição do nutricionista.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Automatizada, guiada por minimização multivariável.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Garante viabilidade financeira sem comprometer o valor nutricional.</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Integração do Modelo de Cardápio com a Logística, Disponibilidade de Estoque e Armazenagem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dos maiores desafios relatados na literatura de Gestão de </w:t>
      </w:r>
      <w:r w:rsidDel="00000000" w:rsidR="00000000" w:rsidRPr="00000000">
        <w:rPr>
          <w:rFonts w:ascii="Google Sans" w:cs="Google Sans" w:eastAsia="Google Sans" w:hAnsi="Google Sans"/>
          <w:i w:val="1"/>
          <w:iCs w:val="1"/>
          <w:color w:val="1f1f1f"/>
          <w:rtl w:val="0"/>
        </w:rPr>
        <w:t xml:space="preserve">Supply Chain</w:t>
      </w:r>
      <w:r w:rsidDel="00000000" w:rsidR="00000000" w:rsidRPr="00000000">
        <w:rPr>
          <w:rFonts w:ascii="Google Sans" w:cs="Google Sans" w:eastAsia="Google Sans" w:hAnsi="Google Sans"/>
          <w:color w:val="1f1f1f"/>
          <w:rtl w:val="0"/>
        </w:rPr>
        <w:t xml:space="preserve"> para o setor de alimentação fora do lar é o crônico distanciamento estrutural entre o planejamento clínico-nutricional e as restrições logísticas físicas das operações. A vasta maioria dos algoritmos clássicos de dieta e cardápio opera sob a premissa oculta e falaciosa de "capacidade e recursos infinitos", assumindo que qualquer solução ótima gerada pela matriz de variáveis poderá ser magicamente comprada, recebida, armazenada e processada sem atritos. A Engenharia de Produção soluciona essa dicotomia através da acoplagem do </w:t>
      </w:r>
      <w:r w:rsidDel="00000000" w:rsidR="00000000" w:rsidRPr="00000000">
        <w:rPr>
          <w:rFonts w:ascii="Google Sans" w:cs="Google Sans" w:eastAsia="Google Sans" w:hAnsi="Google Sans"/>
          <w:i w:val="1"/>
          <w:iCs w:val="1"/>
          <w:color w:val="1f1f1f"/>
          <w:rtl w:val="0"/>
        </w:rPr>
        <w:t xml:space="preserve">Menu Planning Problem</w:t>
      </w:r>
      <w:r w:rsidDel="00000000" w:rsidR="00000000" w:rsidRPr="00000000">
        <w:rPr>
          <w:rFonts w:ascii="Google Sans" w:cs="Google Sans" w:eastAsia="Google Sans" w:hAnsi="Google Sans"/>
          <w:color w:val="1f1f1f"/>
          <w:rtl w:val="0"/>
        </w:rPr>
        <w:t xml:space="preserve"> (MPP) aos modelos matemáticos de </w:t>
      </w:r>
      <w:r w:rsidDel="00000000" w:rsidR="00000000" w:rsidRPr="00000000">
        <w:rPr>
          <w:rFonts w:ascii="Google Sans" w:cs="Google Sans" w:eastAsia="Google Sans" w:hAnsi="Google Sans"/>
          <w:i w:val="1"/>
          <w:iCs w:val="1"/>
          <w:color w:val="1f1f1f"/>
          <w:rtl w:val="0"/>
        </w:rPr>
        <w:t xml:space="preserve">Lot-Sizing and Scheduling</w:t>
      </w:r>
      <w:r w:rsidDel="00000000" w:rsidR="00000000" w:rsidRPr="00000000">
        <w:rPr>
          <w:rFonts w:ascii="Google Sans" w:cs="Google Sans" w:eastAsia="Google Sans" w:hAnsi="Google Sans"/>
          <w:color w:val="1f1f1f"/>
          <w:rtl w:val="0"/>
        </w:rPr>
        <w:t xml:space="preserve"> (Dimensionamento de Lotes e Programação de Produção) (TEMPELMEIER, 2017). O imperativo é claro: o algoritmo jamais deve propor um cardápio cujo volume agregado de insumos exceda a capacidade cúbica da câmara fria, do almoxarifado de secos ou da capacidade horária de preparo da cozinha.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 Equacionamento das Restrições de Capacidade de Armazenagem (</w:t>
      </w:r>
      <w:r w:rsidDel="00000000" w:rsidR="00000000" w:rsidRPr="00000000">
        <w:rPr>
          <w:rFonts w:ascii="Google Sans" w:cs="Google Sans" w:eastAsia="Google Sans" w:hAnsi="Google Sans"/>
          <w:color w:val="1f1f1f"/>
        </w:rPr>
        <w:drawing>
          <wp:inline distB="19050" distT="19050" distL="19050" distR="19050">
            <wp:extent cx="245467" cy="232879"/>
            <wp:effectExtent b="0" l="0" r="0" t="0"/>
            <wp:docPr id="5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5467" cy="232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integração matemática profunda entre a composição do cardápio e a gestão de estoques exige que a variável de decisão que inclui um prato no planejamento de um dia (</w:t>
      </w:r>
      <w:r w:rsidDel="00000000" w:rsidR="00000000" w:rsidRPr="00000000">
        <w:rPr>
          <w:rFonts w:ascii="Google Sans" w:cs="Google Sans" w:eastAsia="Google Sans" w:hAnsi="Google Sans"/>
          <w:color w:val="1f1f1f"/>
        </w:rPr>
        <w:drawing>
          <wp:inline distB="19050" distT="19050" distL="19050" distR="19050">
            <wp:extent cx="559991" cy="235451"/>
            <wp:effectExtent b="0" l="0" r="0" t="0"/>
            <wp:docPr id="5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59991" cy="2354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acione imediatamente o cálculo vetorial do volume e do peso físicos necessários para suportar essa escolha ao longo de toda a janela temporal de ressuprimento (</w:t>
      </w:r>
      <w:r w:rsidDel="00000000" w:rsidR="00000000" w:rsidRPr="00000000">
        <w:rPr>
          <w:rFonts w:ascii="Google Sans" w:cs="Google Sans" w:eastAsia="Google Sans" w:hAnsi="Google Sans"/>
          <w:i w:val="1"/>
          <w:iCs w:val="1"/>
          <w:color w:val="1f1f1f"/>
          <w:rtl w:val="0"/>
        </w:rPr>
        <w:t xml:space="preserve">lead time</w:t>
      </w:r>
      <w:r w:rsidDel="00000000" w:rsidR="00000000" w:rsidRPr="00000000">
        <w:rPr>
          <w:rFonts w:ascii="Google Sans" w:cs="Google Sans" w:eastAsia="Google Sans" w:hAnsi="Google Sans"/>
          <w:color w:val="1f1f1f"/>
          <w:rtl w:val="0"/>
        </w:rPr>
        <w:t xml:space="preserve">) dos fornecedores (MARRERO et al., 2020).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Essa restrição é vital em cozinhas institucionais modernas (</w:t>
      </w:r>
      <w:r w:rsidDel="00000000" w:rsidR="00000000" w:rsidRPr="00000000">
        <w:rPr>
          <w:rFonts w:ascii="Google Sans" w:cs="Google Sans" w:eastAsia="Google Sans" w:hAnsi="Google Sans"/>
          <w:i w:val="1"/>
          <w:iCs w:val="1"/>
          <w:color w:val="1f1f1f"/>
          <w:rtl w:val="0"/>
        </w:rPr>
        <w:t xml:space="preserve">dark kitchens</w:t>
      </w:r>
      <w:r w:rsidDel="00000000" w:rsidR="00000000" w:rsidRPr="00000000">
        <w:rPr>
          <w:rFonts w:ascii="Google Sans" w:cs="Google Sans" w:eastAsia="Google Sans" w:hAnsi="Google Sans"/>
          <w:color w:val="1f1f1f"/>
          <w:rtl w:val="0"/>
        </w:rPr>
        <w:t xml:space="preserve">, cozinhas centrais hospitalares ou refeitórios em áreas remotas </w:t>
      </w:r>
      <w:r w:rsidDel="00000000" w:rsidR="00000000" w:rsidRPr="00000000">
        <w:rPr>
          <w:rFonts w:ascii="Google Sans" w:cs="Google Sans" w:eastAsia="Google Sans" w:hAnsi="Google Sans"/>
          <w:i w:val="1"/>
          <w:iCs w:val="1"/>
          <w:color w:val="1f1f1f"/>
          <w:rtl w:val="0"/>
        </w:rPr>
        <w:t xml:space="preserve">offshore</w:t>
      </w:r>
      <w:r w:rsidDel="00000000" w:rsidR="00000000" w:rsidRPr="00000000">
        <w:rPr>
          <w:rFonts w:ascii="Google Sans" w:cs="Google Sans" w:eastAsia="Google Sans" w:hAnsi="Google Sans"/>
          <w:color w:val="1f1f1f"/>
          <w:rtl w:val="0"/>
        </w:rPr>
        <w:t xml:space="preserve">), onde o valor do metro quadrado refrigerado é extremamente alto. Para modelar essa limitação espacial, introduz-se o parâmetro </w:t>
      </w:r>
      <w:r w:rsidDel="00000000" w:rsidR="00000000" w:rsidRPr="00000000">
        <w:rPr>
          <w:rFonts w:ascii="Google Sans" w:cs="Google Sans" w:eastAsia="Google Sans" w:hAnsi="Google Sans"/>
          <w:color w:val="1f1f1f"/>
        </w:rPr>
        <w:drawing>
          <wp:inline distB="19050" distT="19050" distL="19050" distR="19050">
            <wp:extent cx="245467" cy="232879"/>
            <wp:effectExtent b="0" l="0" r="0" t="0"/>
            <wp:docPr id="5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5467" cy="232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representa a capacidade física volumétrica absoluta do armazém central ou câmara de resfriamento (expressa em </w:t>
      </w:r>
      <w:r w:rsidDel="00000000" w:rsidR="00000000" w:rsidRPr="00000000">
        <w:rPr>
          <w:rFonts w:ascii="Google Sans" w:cs="Google Sans" w:eastAsia="Google Sans" w:hAnsi="Google Sans"/>
          <w:color w:val="1f1f1f"/>
        </w:rPr>
        <w:drawing>
          <wp:inline distB="19050" distT="19050" distL="19050" distR="19050">
            <wp:extent cx="235645" cy="235645"/>
            <wp:effectExtent b="0" l="0" r="0" t="0"/>
            <wp:docPr id="59"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5645" cy="235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posições-palete). O modelo deve calcular a ocupação projetada baseando-se no volume unitário de acondicionamento de cada insumo, </w:t>
      </w:r>
      <w:r w:rsidDel="00000000" w:rsidR="00000000" w:rsidRPr="00000000">
        <w:rPr>
          <w:rFonts w:ascii="Google Sans" w:cs="Google Sans" w:eastAsia="Google Sans" w:hAnsi="Google Sans"/>
          <w:color w:val="1f1f1f"/>
        </w:rPr>
        <w:drawing>
          <wp:inline distB="19050" distT="19050" distL="19050" distR="19050">
            <wp:extent cx="229989" cy="236377"/>
            <wp:effectExtent b="0" l="0" r="0" t="0"/>
            <wp:docPr id="6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29989" cy="236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(MARRERO et al., 2020).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restrição matemática de capacidade de armazenagem, inserida em modelos de Programação Linear Inteira Mista (MILP), é definida de forma que, para qualquer período de tempo </w:t>
      </w:r>
      <w:r w:rsidDel="00000000" w:rsidR="00000000" w:rsidRPr="00000000">
        <w:rPr>
          <w:rFonts w:ascii="Google Sans" w:cs="Google Sans" w:eastAsia="Google Sans" w:hAnsi="Google Sans"/>
          <w:color w:val="1f1f1f"/>
        </w:rPr>
        <w:drawing>
          <wp:inline distB="19050" distT="19050" distL="19050" distR="19050">
            <wp:extent cx="66576" cy="246330"/>
            <wp:effectExtent b="0" l="0" r="0" t="0"/>
            <wp:docPr id="6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6576"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somatório do volume de todos os insumos estocados não ultrapasse o limite da edificação: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62000"/>
            <wp:effectExtent b="0" l="0" r="0" t="0"/>
            <wp:docPr id="63"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715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w:t>
      </w:r>
      <w:r w:rsidDel="00000000" w:rsidR="00000000" w:rsidRPr="00000000">
        <w:rPr>
          <w:rFonts w:ascii="Google Sans" w:cs="Google Sans" w:eastAsia="Google Sans" w:hAnsi="Google Sans"/>
          <w:color w:val="1f1f1f"/>
        </w:rPr>
        <w:drawing>
          <wp:inline distB="19050" distT="19050" distL="19050" distR="19050">
            <wp:extent cx="315118" cy="237947"/>
            <wp:effectExtent b="0" l="0" r="0" t="0"/>
            <wp:docPr id="6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315118" cy="237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a quantidade física do insumo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2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entregue pelo fornecedor </w:t>
      </w:r>
      <w:r w:rsidDel="00000000" w:rsidR="00000000" w:rsidRPr="00000000">
        <w:rPr>
          <w:rFonts w:ascii="Google Sans" w:cs="Google Sans" w:eastAsia="Google Sans" w:hAnsi="Google Sans"/>
          <w:color w:val="1f1f1f"/>
        </w:rPr>
        <w:drawing>
          <wp:inline distB="19050" distT="19050" distL="19050" distR="19050">
            <wp:extent cx="92770" cy="228831"/>
            <wp:effectExtent b="0" l="0" r="0" t="0"/>
            <wp:docPr id="2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92770"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presente no estoque ao final do período </w:t>
      </w:r>
      <w:r w:rsidDel="00000000" w:rsidR="00000000" w:rsidRPr="00000000">
        <w:rPr>
          <w:rFonts w:ascii="Google Sans" w:cs="Google Sans" w:eastAsia="Google Sans" w:hAnsi="Google Sans"/>
          <w:color w:val="1f1f1f"/>
        </w:rPr>
        <w:drawing>
          <wp:inline distB="19050" distT="19050" distL="19050" distR="19050">
            <wp:extent cx="66576" cy="246330"/>
            <wp:effectExtent b="0" l="0" r="0" t="0"/>
            <wp:docPr id="2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6576"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o algoritmo otimizador tentar selecionar uma combinação de receitas que exija compras massivas simultâneas (por exemplo, um cardápio temático que necessite de grandes quantidades de vegetais folhosos não processados, caixas de proteínas congeladas que ocupam grande cubagem, e sobremesas que exijam refrigeração de grande porte), e o somatório dos volumes correspondentes </w:t>
      </w:r>
      <w:r w:rsidDel="00000000" w:rsidR="00000000" w:rsidRPr="00000000">
        <w:rPr>
          <w:rFonts w:ascii="Google Sans" w:cs="Google Sans" w:eastAsia="Google Sans" w:hAnsi="Google Sans"/>
          <w:color w:val="1f1f1f"/>
        </w:rPr>
        <w:drawing>
          <wp:inline distB="19050" distT="19050" distL="19050" distR="19050">
            <wp:extent cx="229989" cy="236377"/>
            <wp:effectExtent b="0" l="0" r="0" t="0"/>
            <wp:docPr id="2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29989" cy="236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 tempo </w:t>
      </w:r>
      <w:r w:rsidDel="00000000" w:rsidR="00000000" w:rsidRPr="00000000">
        <w:rPr>
          <w:rFonts w:ascii="Google Sans" w:cs="Google Sans" w:eastAsia="Google Sans" w:hAnsi="Google Sans"/>
          <w:color w:val="1f1f1f"/>
        </w:rPr>
        <w:drawing>
          <wp:inline distB="19050" distT="19050" distL="19050" distR="19050">
            <wp:extent cx="66576" cy="246330"/>
            <wp:effectExtent b="0" l="0" r="0" t="0"/>
            <wp:docPr id="2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6576"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violar o limite </w:t>
      </w:r>
      <w:r w:rsidDel="00000000" w:rsidR="00000000" w:rsidRPr="00000000">
        <w:rPr>
          <w:rFonts w:ascii="Google Sans" w:cs="Google Sans" w:eastAsia="Google Sans" w:hAnsi="Google Sans"/>
          <w:color w:val="1f1f1f"/>
        </w:rPr>
        <w:drawing>
          <wp:inline distB="19050" distT="19050" distL="19050" distR="19050">
            <wp:extent cx="245467" cy="232879"/>
            <wp:effectExtent b="0" l="0" r="0" t="0"/>
            <wp:docPr id="2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5467" cy="232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solver</w:t>
      </w:r>
      <w:r w:rsidDel="00000000" w:rsidR="00000000" w:rsidRPr="00000000">
        <w:rPr>
          <w:rFonts w:ascii="Google Sans" w:cs="Google Sans" w:eastAsia="Google Sans" w:hAnsi="Google Sans"/>
          <w:color w:val="1f1f1f"/>
          <w:rtl w:val="0"/>
        </w:rPr>
        <w:t xml:space="preserve"> matemático (como Gurobi, CPLEX ou algoritmos genéticos implementados em Python) marcará essa ramificação da árvore de busca como inviável.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retornar a uma solução factível, o otimizador é forçosamente direcionado a redistribuir a carga ao longo dos dias do planejamento ou selecionar ingredientes substitutos que possuam maior densidade calórica e menor pegada volumétrica. A máquina pode, por exemplo, alternar refeições volumosas com opções cujos insumos dependam de </w:t>
      </w:r>
      <w:r w:rsidDel="00000000" w:rsidR="00000000" w:rsidRPr="00000000">
        <w:rPr>
          <w:rFonts w:ascii="Google Sans" w:cs="Google Sans" w:eastAsia="Google Sans" w:hAnsi="Google Sans"/>
          <w:i w:val="1"/>
          <w:iCs w:val="1"/>
          <w:color w:val="1f1f1f"/>
          <w:rtl w:val="0"/>
        </w:rPr>
        <w:t xml:space="preserve">Just-in-Time</w:t>
      </w:r>
      <w:r w:rsidDel="00000000" w:rsidR="00000000" w:rsidRPr="00000000">
        <w:rPr>
          <w:rFonts w:ascii="Google Sans" w:cs="Google Sans" w:eastAsia="Google Sans" w:hAnsi="Google Sans"/>
          <w:color w:val="1f1f1f"/>
          <w:rtl w:val="0"/>
        </w:rPr>
        <w:t xml:space="preserve">, ou deslocar o pico de demanda de insumos refrigerados para dias imediatamente subsequentes ao cronograma de recebimento de mercadorias, otimizando o giro do estoque (</w:t>
      </w:r>
      <w:r w:rsidDel="00000000" w:rsidR="00000000" w:rsidRPr="00000000">
        <w:rPr>
          <w:rFonts w:ascii="Google Sans" w:cs="Google Sans" w:eastAsia="Google Sans" w:hAnsi="Google Sans"/>
          <w:i w:val="1"/>
          <w:iCs w:val="1"/>
          <w:color w:val="1f1f1f"/>
          <w:rtl w:val="0"/>
        </w:rPr>
        <w:t xml:space="preserve">Inventory Turnover Ratio</w:t>
      </w:r>
      <w:r w:rsidDel="00000000" w:rsidR="00000000" w:rsidRPr="00000000">
        <w:rPr>
          <w:rFonts w:ascii="Google Sans" w:cs="Google Sans" w:eastAsia="Google Sans" w:hAnsi="Google Sans"/>
          <w:color w:val="1f1f1f"/>
          <w:rtl w:val="0"/>
        </w:rPr>
        <w:t xml:space="preserve">) e mitigando o estrangulamento da UAN.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Balanço de Massa, Dinâmica de Perecibilidade e Controle de Inventário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ecossistema do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o controle de estoque não é desafiado apenas pela densidade cúbica, mas também sofre severas constrições temporais devido à perecibilidade química e biológica acelerada da matéria-prima orgânica. Produtos alimentícios in natura perdem uma proporção significativa de sua qualidade nutricional, sensorial e de segurança sanitária logo após a colheita ou o abate. Modelos integrados de cardápio e produção precisam, portanto, de equações rigorosas de balanço de inventário que vinculem o tempo de armazenamento diretamente à degradação e ao esgotamento do produto (KILIC et al., 2013).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dinâmica dos níveis de estoque de um dia para o seguinte é garantida pela restrição de conservação de fluxo de materiais: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3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Nessa formulação, </w:t>
      </w:r>
      <w:r w:rsidDel="00000000" w:rsidR="00000000" w:rsidRPr="00000000">
        <w:rPr>
          <w:rFonts w:ascii="Google Sans" w:cs="Google Sans" w:eastAsia="Google Sans" w:hAnsi="Google Sans"/>
          <w:color w:val="1f1f1f"/>
        </w:rPr>
        <w:drawing>
          <wp:inline distB="19050" distT="19050" distL="19050" distR="19050">
            <wp:extent cx="286147" cy="235277"/>
            <wp:effectExtent b="0" l="0" r="0" t="0"/>
            <wp:docPr id="3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86147" cy="235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o estoque final do insumo no período </w:t>
      </w:r>
      <w:r w:rsidDel="00000000" w:rsidR="00000000" w:rsidRPr="00000000">
        <w:rPr>
          <w:rFonts w:ascii="Google Sans" w:cs="Google Sans" w:eastAsia="Google Sans" w:hAnsi="Google Sans"/>
          <w:color w:val="1f1f1f"/>
        </w:rPr>
        <w:drawing>
          <wp:inline distB="19050" distT="19050" distL="19050" distR="19050">
            <wp:extent cx="66576" cy="246330"/>
            <wp:effectExtent b="0" l="0" r="0" t="0"/>
            <wp:docPr id="3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6576"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color w:val="1f1f1f"/>
        </w:rPr>
        <w:drawing>
          <wp:inline distB="19050" distT="19050" distL="19050" distR="19050">
            <wp:extent cx="357684" cy="232181"/>
            <wp:effectExtent b="0" l="0" r="0" t="0"/>
            <wp:docPr id="3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357684" cy="232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quantifica o volume adquirido e efetivamente recebido. A variável crucial aqui é </w:t>
      </w:r>
      <w:r w:rsidDel="00000000" w:rsidR="00000000" w:rsidRPr="00000000">
        <w:rPr>
          <w:rFonts w:ascii="Google Sans" w:cs="Google Sans" w:eastAsia="Google Sans" w:hAnsi="Google Sans"/>
          <w:color w:val="1f1f1f"/>
        </w:rPr>
        <w:drawing>
          <wp:inline distB="19050" distT="19050" distL="19050" distR="19050">
            <wp:extent cx="357684" cy="232181"/>
            <wp:effectExtent b="0" l="0" r="0" t="0"/>
            <wp:docPr id="1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57684" cy="232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corresponde à demanda de saída do insumo, e que é gerada estritamente como um produto matricial das variáveis de seleção do cardápio (</w:t>
      </w:r>
      <w:r w:rsidDel="00000000" w:rsidR="00000000" w:rsidRPr="00000000">
        <w:rPr>
          <w:rFonts w:ascii="Google Sans" w:cs="Google Sans" w:eastAsia="Google Sans" w:hAnsi="Google Sans"/>
          <w:color w:val="1f1f1f"/>
        </w:rPr>
        <w:drawing>
          <wp:inline distB="19050" distT="19050" distL="19050" distR="19050">
            <wp:extent cx="221853" cy="241429"/>
            <wp:effectExtent b="0" l="0" r="0" t="0"/>
            <wp:docPr id="1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multiplicadas pelo </w:t>
      </w:r>
      <w:r w:rsidDel="00000000" w:rsidR="00000000" w:rsidRPr="00000000">
        <w:rPr>
          <w:rFonts w:ascii="Google Sans" w:cs="Google Sans" w:eastAsia="Google Sans" w:hAnsi="Google Sans"/>
          <w:i w:val="1"/>
          <w:iCs w:val="1"/>
          <w:color w:val="1f1f1f"/>
          <w:rtl w:val="0"/>
        </w:rPr>
        <w:t xml:space="preserve">per capita</w:t>
      </w:r>
      <w:r w:rsidDel="00000000" w:rsidR="00000000" w:rsidRPr="00000000">
        <w:rPr>
          <w:rFonts w:ascii="Google Sans" w:cs="Google Sans" w:eastAsia="Google Sans" w:hAnsi="Google Sans"/>
          <w:color w:val="1f1f1f"/>
          <w:rtl w:val="0"/>
        </w:rPr>
        <w:t xml:space="preserve"> projetado e pelo número estimado de comensais (MARRERO et al., 2020).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internalizar as restrições biológicas de perecibilidade, a formulação matemática implementa equações lógicas e variáveis de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temporal para os vetores de estoque </w:t>
      </w:r>
      <w:r w:rsidDel="00000000" w:rsidR="00000000" w:rsidRPr="00000000">
        <w:rPr>
          <w:rFonts w:ascii="Google Sans" w:cs="Google Sans" w:eastAsia="Google Sans" w:hAnsi="Google Sans"/>
          <w:color w:val="1f1f1f"/>
        </w:rPr>
        <w:drawing>
          <wp:inline distB="19050" distT="19050" distL="19050" distR="19050">
            <wp:extent cx="286147" cy="235277"/>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86147" cy="235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modelo restringe explicitamente o número máximo consecutivo de períodos em que um lote do produto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pode manter um valor </w:t>
      </w:r>
      <w:r w:rsidDel="00000000" w:rsidR="00000000" w:rsidRPr="00000000">
        <w:rPr>
          <w:rFonts w:ascii="Google Sans" w:cs="Google Sans" w:eastAsia="Google Sans" w:hAnsi="Google Sans"/>
          <w:color w:val="1f1f1f"/>
        </w:rPr>
        <w:drawing>
          <wp:inline distB="19050" distT="19050" distL="19050" distR="19050">
            <wp:extent cx="624285" cy="233319"/>
            <wp:effectExtent b="0" l="0" r="0" t="0"/>
            <wp:docPr id="15"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24285" cy="233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Assim que o contador de tempo de um lote atinge o limite do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daquele insumo perecível (utilizando modelos de predição de qualidade baseados na equação de Arrhenius ou no modelo de Gompertz), o lote passa a ser classificado como resíduo e é expurgado matematicamente da função de disponibilidade, gerando um custo severo de penalização financeira na função objetivo. Isso força o algoritmo de cardápio a planejar a utilização mandatória (</w:t>
      </w:r>
      <w:r w:rsidDel="00000000" w:rsidR="00000000" w:rsidRPr="00000000">
        <w:rPr>
          <w:rFonts w:ascii="Google Sans" w:cs="Google Sans" w:eastAsia="Google Sans" w:hAnsi="Google Sans"/>
          <w:i w:val="1"/>
          <w:iCs w:val="1"/>
          <w:color w:val="1f1f1f"/>
          <w:rtl w:val="0"/>
        </w:rPr>
        <w:t xml:space="preserve">first-in, first-out</w:t>
      </w:r>
      <w:r w:rsidDel="00000000" w:rsidR="00000000" w:rsidRPr="00000000">
        <w:rPr>
          <w:rFonts w:ascii="Google Sans" w:cs="Google Sans" w:eastAsia="Google Sans" w:hAnsi="Google Sans"/>
          <w:color w:val="1f1f1f"/>
          <w:rtl w:val="0"/>
        </w:rPr>
        <w:t xml:space="preserve"> rigoroso ou </w:t>
      </w:r>
      <w:r w:rsidDel="00000000" w:rsidR="00000000" w:rsidRPr="00000000">
        <w:rPr>
          <w:rFonts w:ascii="Google Sans" w:cs="Google Sans" w:eastAsia="Google Sans" w:hAnsi="Google Sans"/>
          <w:i w:val="1"/>
          <w:iCs w:val="1"/>
          <w:color w:val="1f1f1f"/>
          <w:rtl w:val="0"/>
        </w:rPr>
        <w:t xml:space="preserve">least-shelf-life first-out</w:t>
      </w:r>
      <w:r w:rsidDel="00000000" w:rsidR="00000000" w:rsidRPr="00000000">
        <w:rPr>
          <w:rFonts w:ascii="Google Sans" w:cs="Google Sans" w:eastAsia="Google Sans" w:hAnsi="Google Sans"/>
          <w:color w:val="1f1f1f"/>
          <w:rtl w:val="0"/>
        </w:rPr>
        <w:t xml:space="preserve">) desses insumos críticos nos dias exatos que antecedem sua expiração.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os modelos aplicados utilizam abordagens híbridas de Dinâmica de Sistemas e Lógica </w:t>
      </w:r>
      <w:r w:rsidDel="00000000" w:rsidR="00000000" w:rsidRPr="00000000">
        <w:rPr>
          <w:rFonts w:ascii="Google Sans" w:cs="Google Sans" w:eastAsia="Google Sans" w:hAnsi="Google Sans"/>
          <w:i w:val="1"/>
          <w:iCs w:val="1"/>
          <w:color w:val="1f1f1f"/>
          <w:rtl w:val="0"/>
        </w:rPr>
        <w:t xml:space="preserve">Fuzzy</w:t>
      </w:r>
      <w:r w:rsidDel="00000000" w:rsidR="00000000" w:rsidRPr="00000000">
        <w:rPr>
          <w:rFonts w:ascii="Google Sans" w:cs="Google Sans" w:eastAsia="Google Sans" w:hAnsi="Google Sans"/>
          <w:color w:val="1f1f1f"/>
          <w:rtl w:val="0"/>
        </w:rPr>
        <w:t xml:space="preserve"> para calcular estoques de segurança ótimos (</w:t>
      </w:r>
      <w:r w:rsidDel="00000000" w:rsidR="00000000" w:rsidRPr="00000000">
        <w:rPr>
          <w:rFonts w:ascii="Google Sans" w:cs="Google Sans" w:eastAsia="Google Sans" w:hAnsi="Google Sans"/>
          <w:color w:val="1f1f1f"/>
        </w:rPr>
        <w:drawing>
          <wp:inline distB="19050" distT="19050" distL="19050" distR="19050">
            <wp:extent cx="235546" cy="235546"/>
            <wp:effectExtent b="0" l="0" r="0" t="0"/>
            <wp:docPr id="1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35546" cy="235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Essa reserva atua como um amortecedor contra a ruptura estocástica na </w:t>
      </w:r>
      <w:r w:rsidDel="00000000" w:rsidR="00000000" w:rsidRPr="00000000">
        <w:rPr>
          <w:rFonts w:ascii="Google Sans" w:cs="Google Sans" w:eastAsia="Google Sans" w:hAnsi="Google Sans"/>
          <w:i w:val="1"/>
          <w:iCs w:val="1"/>
          <w:color w:val="1f1f1f"/>
          <w:rtl w:val="0"/>
        </w:rPr>
        <w:t xml:space="preserve">Supply Chain</w:t>
      </w:r>
      <w:r w:rsidDel="00000000" w:rsidR="00000000" w:rsidRPr="00000000">
        <w:rPr>
          <w:rFonts w:ascii="Google Sans" w:cs="Google Sans" w:eastAsia="Google Sans" w:hAnsi="Google Sans"/>
          <w:color w:val="1f1f1f"/>
          <w:rtl w:val="0"/>
        </w:rPr>
        <w:t xml:space="preserve">, provocada por não conformidades do fornecedor ou variações anormais no consumo (MARRERO et al., 2020). A inclusão da inequação </w:t>
      </w:r>
      <w:r w:rsidDel="00000000" w:rsidR="00000000" w:rsidRPr="00000000">
        <w:rPr>
          <w:rFonts w:ascii="Google Sans" w:cs="Google Sans" w:eastAsia="Google Sans" w:hAnsi="Google Sans"/>
          <w:color w:val="1f1f1f"/>
        </w:rPr>
        <w:drawing>
          <wp:inline distB="19050" distT="19050" distL="19050" distR="19050">
            <wp:extent cx="2156127" cy="248050"/>
            <wp:effectExtent b="0" l="0" r="0" t="0"/>
            <wp:docPr id="1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156127" cy="248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subordina o planejador de cardápios a manter uma margem de resiliência. O desafio algorítmico resolvido por esses modelos é encontrar a fronteira exata onde o estoque de segurança evita o desabastecimento, sem inchar o inventário a ponto de violar o limite </w:t>
      </w:r>
      <w:r w:rsidDel="00000000" w:rsidR="00000000" w:rsidRPr="00000000">
        <w:rPr>
          <w:rFonts w:ascii="Google Sans" w:cs="Google Sans" w:eastAsia="Google Sans" w:hAnsi="Google Sans"/>
          <w:color w:val="1f1f1f"/>
        </w:rPr>
        <w:drawing>
          <wp:inline distB="19050" distT="19050" distL="19050" distR="19050">
            <wp:extent cx="245467" cy="232879"/>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5467" cy="232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impulsionar perdas financeiras por apodrecimento de produtos frescos.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2 apresenta as principais restrições logísticas injetadas nos modelos modernos de planejamento alimentar.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Restrição Modelada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Expressão Algébrica de Controle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Propósito Gerencial e Impacto na 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Capacidade Cúbica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61863" cy="235803"/>
                  <wp:effectExtent b="0" l="0" r="0" t="0"/>
                  <wp:docPr id="1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1261863" cy="23580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Impede a prescrição de insumos volumosos que excedam a área de secos/frios.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Balanço de Materiais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148983" cy="234550"/>
                  <wp:effectExtent b="0" l="0" r="0" t="0"/>
                  <wp:docPr id="20"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2148983" cy="2345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Sincroniza a necessidade das fichas técnicas do cardápio com os fluxos de recebimento e saída.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Limiar de Perecibilidade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643262" cy="234752"/>
                  <wp:effectExtent b="0" l="0" r="0" t="0"/>
                  <wp:docPr id="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1643262" cy="2347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Força a inserção no cardápio ou o expurgo de itens baseados no seu ciclo de degradação temporal.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Estoque Crítico (Safety)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619345" cy="234964"/>
                  <wp:effectExtent b="0" l="0" r="0" t="0"/>
                  <wp:docPr id="2"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619345" cy="23496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 o risco de paralisação da cozinha industrial caso haja atraso na cadeia de fornecedores.</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Engenharia da Sustentabilidade: Abordagens Matemáticas para a Redução Sistêmica de Desperdício de Alimentos (</w:t>
      </w:r>
      <w:r w:rsidDel="00000000" w:rsidR="00000000" w:rsidRPr="00000000">
        <w:rPr>
          <w:rFonts w:ascii="Google Sans" w:cs="Google Sans" w:eastAsia="Google Sans" w:hAnsi="Google Sans"/>
          <w:b w:val="1"/>
          <w:bCs w:val="1"/>
          <w:i w:val="1"/>
          <w:iCs w:val="1"/>
          <w:color w:val="1f1f1f"/>
          <w:sz w:val="36"/>
          <w:szCs w:val="36"/>
          <w:rtl w:val="0"/>
        </w:rPr>
        <w:t xml:space="preserve">Food Waste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incidência de desperdício de alimentos, ou </w:t>
      </w:r>
      <w:r w:rsidDel="00000000" w:rsidR="00000000" w:rsidRPr="00000000">
        <w:rPr>
          <w:rFonts w:ascii="Google Sans" w:cs="Google Sans" w:eastAsia="Google Sans" w:hAnsi="Google Sans"/>
          <w:i w:val="1"/>
          <w:iCs w:val="1"/>
          <w:color w:val="1f1f1f"/>
          <w:rtl w:val="0"/>
        </w:rPr>
        <w:t xml:space="preserve">food waste</w:t>
      </w:r>
      <w:r w:rsidDel="00000000" w:rsidR="00000000" w:rsidRPr="00000000">
        <w:rPr>
          <w:rFonts w:ascii="Google Sans" w:cs="Google Sans" w:eastAsia="Google Sans" w:hAnsi="Google Sans"/>
          <w:color w:val="1f1f1f"/>
          <w:rtl w:val="0"/>
        </w:rPr>
        <w:t xml:space="preserve">, nas cadeias globais de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representa não apenas uma catástrofe sob a métrica de sustentabilidade ambiental — sendo um dos principais emissores de metano e gases de efeito estufa em aterros sanitários —, mas também atua como um mecanismo corrosivo oculto que destrói a margem de lucro líquido da UAN (WILLIAMSON, 2016). Estima-se que mais de 30% da produção global seja descartada, sendo uma parcela significativa originada nas operações em refeitórios institucionais. Enquanto as abordagens de gestão empíricas e tradicionais focam no manejo do desperdício de forma reativa e corretiva (lidando com o </w:t>
      </w:r>
      <w:r w:rsidDel="00000000" w:rsidR="00000000" w:rsidRPr="00000000">
        <w:rPr>
          <w:rFonts w:ascii="Google Sans" w:cs="Google Sans" w:eastAsia="Google Sans" w:hAnsi="Google Sans"/>
          <w:i w:val="1"/>
          <w:iCs w:val="1"/>
          <w:color w:val="1f1f1f"/>
          <w:rtl w:val="0"/>
        </w:rPr>
        <w:t xml:space="preserve">post-consumer waste</w:t>
      </w:r>
      <w:r w:rsidDel="00000000" w:rsidR="00000000" w:rsidRPr="00000000">
        <w:rPr>
          <w:rFonts w:ascii="Google Sans" w:cs="Google Sans" w:eastAsia="Google Sans" w:hAnsi="Google Sans"/>
          <w:color w:val="1f1f1f"/>
          <w:rtl w:val="0"/>
        </w:rPr>
        <w:t xml:space="preserve">, o resto-ingestão e programas de compostagem terminal), a moderna Engenharia de Produção transfere o foco da intervenção para a "redução e erradicação na fonte". Esse enfoque é ancorado na modelagem computacional prévia do planejamento de materiais, atacando frontalmente a ineficiência no dimensionamento, a rigidez estrutural e a ignorância diante da incerteza de consumo (OPTIMIZATION ONLINE, 2025).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Incerteza de Demanda e a Transição para a Otimização Robusta Ajustável (ARO)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causa raiz hegemônica da geração do desperdício na fase de pré-consumo de uma UAN é a superprodução. Esta, por sua vez, é estimulada pela dependência histórica de planilhas e modelos algorítmicos determinísticos que partem da suposição utópica de que a quantidade exata de comensais, bem como as variações de suas preferências em um </w:t>
      </w:r>
      <w:r w:rsidDel="00000000" w:rsidR="00000000" w:rsidRPr="00000000">
        <w:rPr>
          <w:rFonts w:ascii="Google Sans" w:cs="Google Sans" w:eastAsia="Google Sans" w:hAnsi="Google Sans"/>
          <w:i w:val="1"/>
          <w:iCs w:val="1"/>
          <w:color w:val="1f1f1f"/>
          <w:rtl w:val="0"/>
        </w:rPr>
        <w:t xml:space="preserve">buffet</w:t>
      </w:r>
      <w:r w:rsidDel="00000000" w:rsidR="00000000" w:rsidRPr="00000000">
        <w:rPr>
          <w:rFonts w:ascii="Google Sans" w:cs="Google Sans" w:eastAsia="Google Sans" w:hAnsi="Google Sans"/>
          <w:color w:val="1f1f1f"/>
          <w:rtl w:val="0"/>
        </w:rPr>
        <w:t xml:space="preserve"> de múltipla escolha, podem ser estipuladas semanas antes com precisão absoluta. Na dura realidade do chão de fábrica de serviços, a demanda por refeições em refeitórios corporativos e campi universitários apresenta altíssima variabilidade e comportamento estocástico. A atratividade sensorial de uma proteína no dia, a ocorrência de condições climáticas adversas, provas acadêmicas ou mudanças nos horários de turnos geram flutuações severas nas curvas de consumo e afiliação (YILMAZ et al., 2025).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combater essa ineficiência endêmica de origem matemática, a fronteira de pesquisa metodológica na Pesquisa Operacional propõe a aplicação da Otimização Robusta Ajustável (</w:t>
      </w:r>
      <w:r w:rsidDel="00000000" w:rsidR="00000000" w:rsidRPr="00000000">
        <w:rPr>
          <w:rFonts w:ascii="Google Sans" w:cs="Google Sans" w:eastAsia="Google Sans" w:hAnsi="Google Sans"/>
          <w:i w:val="1"/>
          <w:iCs w:val="1"/>
          <w:color w:val="1f1f1f"/>
          <w:rtl w:val="0"/>
        </w:rPr>
        <w:t xml:space="preserve">Adjustable Robust Optimization</w:t>
      </w:r>
      <w:r w:rsidDel="00000000" w:rsidR="00000000" w:rsidRPr="00000000">
        <w:rPr>
          <w:rFonts w:ascii="Google Sans" w:cs="Google Sans" w:eastAsia="Google Sans" w:hAnsi="Google Sans"/>
          <w:color w:val="1f1f1f"/>
          <w:rtl w:val="0"/>
        </w:rPr>
        <w:t xml:space="preserve"> - ARO) estruturada em múltiplos estágios (OPTIMIZATION ONLINE, 2025). Diferentemente do arcabouço da otimização estocástica pura que exige distribuições de probabilidade bem-comportadas e precisas — algo virtualmente impossível de extrair da psicologia do comportamento alimentar humano —, a ARO trabalha com a parametrização de um "conjunto de incertezas" contínuo, construído </w:t>
      </w:r>
      <w:r w:rsidDel="00000000" w:rsidR="00000000" w:rsidRPr="00000000">
        <w:rPr>
          <w:rFonts w:ascii="Google Sans" w:cs="Google Sans" w:eastAsia="Google Sans" w:hAnsi="Google Sans"/>
          <w:i w:val="1"/>
          <w:iCs w:val="1"/>
          <w:color w:val="1f1f1f"/>
          <w:rtl w:val="0"/>
        </w:rPr>
        <w:t xml:space="preserve">data-driven</w:t>
      </w:r>
      <w:r w:rsidDel="00000000" w:rsidR="00000000" w:rsidRPr="00000000">
        <w:rPr>
          <w:rFonts w:ascii="Google Sans" w:cs="Google Sans" w:eastAsia="Google Sans" w:hAnsi="Google Sans"/>
          <w:color w:val="1f1f1f"/>
          <w:rtl w:val="0"/>
        </w:rPr>
        <w:t xml:space="preserve"> a partir do histórico maciço de dados dos refeitórios.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robusto segmenta o planejamento em dois tempos matemáticos: planeja as definições matriciais do cardápio e os lotes primários de aquisição (decisões estáticas de "aqui e agora") aceitando proativamente que a demanda futura irá oscilar de forma agressiva dentro de um espectro do pior cenário plausível. O algoritmo impõe restrições estruturais de recorrência (</w:t>
      </w:r>
      <w:r w:rsidDel="00000000" w:rsidR="00000000" w:rsidRPr="00000000">
        <w:rPr>
          <w:rFonts w:ascii="Google Sans" w:cs="Google Sans" w:eastAsia="Google Sans" w:hAnsi="Google Sans"/>
          <w:i w:val="1"/>
          <w:iCs w:val="1"/>
          <w:color w:val="1f1f1f"/>
          <w:rtl w:val="0"/>
        </w:rPr>
        <w:t xml:space="preserve">recourse restrictions</w:t>
      </w:r>
      <w:r w:rsidDel="00000000" w:rsidR="00000000" w:rsidRPr="00000000">
        <w:rPr>
          <w:rFonts w:ascii="Google Sans" w:cs="Google Sans" w:eastAsia="Google Sans" w:hAnsi="Google Sans"/>
          <w:color w:val="1f1f1f"/>
          <w:rtl w:val="0"/>
        </w:rPr>
        <w:t xml:space="preserve">) que garantem que, mesmo que o volume de alunos consumindo as refeições despenque para o limite inferior calculado do conjunto de incertezas gerando uma superprodução aguda da matéria-prima original, o sistema terá pré-selecionado na fase de planejamento uma matriz de cardápio com capacidade estrutural de reprocessamento viável, impedindo o descarte. A literatura matemática prova que restringir os vértices desse conjunto de incertezas </w:t>
      </w:r>
      <w:r w:rsidDel="00000000" w:rsidR="00000000" w:rsidRPr="00000000">
        <w:rPr>
          <w:rFonts w:ascii="Google Sans" w:cs="Google Sans" w:eastAsia="Google Sans" w:hAnsi="Google Sans"/>
          <w:i w:val="1"/>
          <w:iCs w:val="1"/>
          <w:color w:val="1f1f1f"/>
          <w:rtl w:val="0"/>
        </w:rPr>
        <w:t xml:space="preserve">data-driven</w:t>
      </w:r>
      <w:r w:rsidDel="00000000" w:rsidR="00000000" w:rsidRPr="00000000">
        <w:rPr>
          <w:rFonts w:ascii="Google Sans" w:cs="Google Sans" w:eastAsia="Google Sans" w:hAnsi="Google Sans"/>
          <w:color w:val="1f1f1f"/>
          <w:rtl w:val="0"/>
        </w:rPr>
        <w:t xml:space="preserve"> a apenas alguns cenários extremos criticamente selecionados é condição suficiente para garantir a imunidade total da operação de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contra a superprodução, mantendo o tempo computacional das equações na casa dos segundos, e gerando a mitigação radical do </w:t>
      </w:r>
      <w:r w:rsidDel="00000000" w:rsidR="00000000" w:rsidRPr="00000000">
        <w:rPr>
          <w:rFonts w:ascii="Google Sans" w:cs="Google Sans" w:eastAsia="Google Sans" w:hAnsi="Google Sans"/>
          <w:i w:val="1"/>
          <w:iCs w:val="1"/>
          <w:color w:val="1f1f1f"/>
          <w:rtl w:val="0"/>
        </w:rPr>
        <w:t xml:space="preserve">food waste</w:t>
      </w:r>
      <w:r w:rsidDel="00000000" w:rsidR="00000000" w:rsidRPr="00000000">
        <w:rPr>
          <w:rFonts w:ascii="Google Sans" w:cs="Google Sans" w:eastAsia="Google Sans" w:hAnsi="Google Sans"/>
          <w:color w:val="1f1f1f"/>
          <w:rtl w:val="0"/>
        </w:rPr>
        <w:t xml:space="preserve"> preditivo (OPTIMIZATION ONLINE, 2025).</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Matrizes de Receitas Flexíveis e as Equações de Reutilização de Sobras Limpas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materializar o conceito robusto descrito, os modelos matemáticos de planejamento de cardápio de última geração incorporam a poderosa arquitetura algorítmica de "receitas flexíveis" (</w:t>
      </w:r>
      <w:r w:rsidDel="00000000" w:rsidR="00000000" w:rsidRPr="00000000">
        <w:rPr>
          <w:rFonts w:ascii="Google Sans" w:cs="Google Sans" w:eastAsia="Google Sans" w:hAnsi="Google Sans"/>
          <w:i w:val="1"/>
          <w:iCs w:val="1"/>
          <w:color w:val="1f1f1f"/>
          <w:rtl w:val="0"/>
        </w:rPr>
        <w:t xml:space="preserve">flexible recipes</w:t>
      </w:r>
      <w:r w:rsidDel="00000000" w:rsidR="00000000" w:rsidRPr="00000000">
        <w:rPr>
          <w:rFonts w:ascii="Google Sans" w:cs="Google Sans" w:eastAsia="Google Sans" w:hAnsi="Google Sans"/>
          <w:color w:val="1f1f1f"/>
          <w:rtl w:val="0"/>
        </w:rPr>
        <w:t xml:space="preserve">). Esse conceito oblitera a rigidez conceitual de que uma sobra de alimento processado significa necessariamente o fim do seu ciclo de valor. A modelagem adiciona equações não-lineares de balanceamento de fluxo de massa diretamente no estágio de empratamento e no encerramento do turno da cozinha industrial, autorizando que o </w:t>
      </w:r>
      <w:r w:rsidDel="00000000" w:rsidR="00000000" w:rsidRPr="00000000">
        <w:rPr>
          <w:rFonts w:ascii="Google Sans" w:cs="Google Sans" w:eastAsia="Google Sans" w:hAnsi="Google Sans"/>
          <w:i w:val="1"/>
          <w:iCs w:val="1"/>
          <w:color w:val="1f1f1f"/>
          <w:rtl w:val="0"/>
        </w:rPr>
        <w:t xml:space="preserve">solver</w:t>
      </w:r>
      <w:r w:rsidDel="00000000" w:rsidR="00000000" w:rsidRPr="00000000">
        <w:rPr>
          <w:rFonts w:ascii="Google Sans" w:cs="Google Sans" w:eastAsia="Google Sans" w:hAnsi="Google Sans"/>
          <w:color w:val="1f1f1f"/>
          <w:rtl w:val="0"/>
        </w:rPr>
        <w:t xml:space="preserve"> logístico aloque dinamicamente componentes de refeições não tocados (sobra limpa mantida sob estrito controle térmico) como ingredientes primários para o processo de manufatura de novos pratos nos períodos que se seguem (OPTIMIZATION ONLINE, 2025).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Nessa nova ontologia modelada em grafos, os componentes da refeição deixam de ser observados como vetores mortos (ex: o sistema não enxerga "50 quilos de pão francês assado") e passam a ser operados como nós de trânsito em uma malha logística de reuso contínuo. As variáveis de decisão de estado em cada nó englobam três vias de destinação simultâneas: (1) O insumo é integralmente consumido e servido, (2) O insumo processado excede a demanda local e é termicamente confinado no inventário temporário da UAN, ou (3) O insumo é submetido a uma reengenharia culinária e vertido em uma ramificação de nova receita (por exemplo, a sobra limpa rigorosamente auditada de pães amanhecidos do dia </w:t>
      </w:r>
      <w:r w:rsidDel="00000000" w:rsidR="00000000" w:rsidRPr="00000000">
        <w:rPr>
          <w:rFonts w:ascii="Google Sans" w:cs="Google Sans" w:eastAsia="Google Sans" w:hAnsi="Google Sans"/>
          <w:color w:val="1f1f1f"/>
        </w:rPr>
        <w:drawing>
          <wp:inline distB="19050" distT="19050" distL="19050" distR="19050">
            <wp:extent cx="66576" cy="24633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6576"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converte obrigatoriamente na variável matricial de ingrediente de entrada </w:t>
      </w:r>
      <w:r w:rsidDel="00000000" w:rsidR="00000000" w:rsidRPr="00000000">
        <w:rPr>
          <w:rFonts w:ascii="Google Sans" w:cs="Google Sans" w:eastAsia="Google Sans" w:hAnsi="Google Sans"/>
          <w:color w:val="1f1f1f"/>
        </w:rPr>
        <w:drawing>
          <wp:inline distB="19050" distT="19050" distL="19050" distR="19050">
            <wp:extent cx="221853" cy="241429"/>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sobremesas, pudins, farinhas ou espessantes na formulação de cardápio do tempo discreto </w:t>
      </w:r>
      <w:r w:rsidDel="00000000" w:rsidR="00000000" w:rsidRPr="00000000">
        <w:rPr>
          <w:rFonts w:ascii="Google Sans" w:cs="Google Sans" w:eastAsia="Google Sans" w:hAnsi="Google Sans"/>
          <w:color w:val="1f1f1f"/>
        </w:rPr>
        <w:drawing>
          <wp:inline distB="19050" distT="19050" distL="19050" distR="19050">
            <wp:extent cx="384076" cy="236847"/>
            <wp:effectExtent b="0" l="0" r="0" t="0"/>
            <wp:docPr id="5"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84076" cy="2368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Essa estrutura de reciclagem interna impõe a necessidade de formulações complexas usando lógica proposicional de variáveis booleanas convertidas na sintaxe algébrica tradicional. O modelo exige mecanismos de rastreamento estrito de validade de prateleira (equações </w:t>
      </w:r>
      <w:r w:rsidDel="00000000" w:rsidR="00000000" w:rsidRPr="00000000">
        <w:rPr>
          <w:rFonts w:ascii="Google Sans" w:cs="Google Sans" w:eastAsia="Google Sans" w:hAnsi="Google Sans"/>
          <w:color w:val="1f1f1f"/>
        </w:rPr>
        <w:drawing>
          <wp:inline distB="19050" distT="19050" distL="19050" distR="19050">
            <wp:extent cx="198537" cy="236964"/>
            <wp:effectExtent b="0" l="0" r="0" t="0"/>
            <wp:docPr id="6"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198537" cy="236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94171" cy="239477"/>
            <wp:effectExtent b="0" l="0" r="0" t="0"/>
            <wp:docPr id="7"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94171" cy="239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 fluxo sistêmico), garantindo que, se o alimento reciclado não for reaproveitado no cardápio e atingir o período cronológico de expiração estipulado pelos códigos de segurança sanitária, ele seja expurgado matematicamente com penalizações. Simulações sistêmicas empíricas que combinaram a técnica de equações multivariadas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para modelagem fina de demanda diária — utilizando os métodos de Random Forest, Regressões Lasso com elevado índice de ajuste estatístico de </w:t>
      </w:r>
      <w:r w:rsidDel="00000000" w:rsidR="00000000" w:rsidRPr="00000000">
        <w:rPr>
          <w:rFonts w:ascii="Google Sans" w:cs="Google Sans" w:eastAsia="Google Sans" w:hAnsi="Google Sans"/>
          <w:color w:val="1f1f1f"/>
        </w:rPr>
        <w:drawing>
          <wp:inline distB="19050" distT="19050" distL="19050" distR="19050">
            <wp:extent cx="911821" cy="234287"/>
            <wp:effectExtent b="0" l="0" r="0" t="0"/>
            <wp:docPr id="8"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911821" cy="234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algoritmos preditivos XGBoost — acoplados à engenharia de flexibilidade de sobras e à frequência acelerada de reabastecimento logístico demonstraram a capacidade empírica monumental de enxugar o desperdício global por refeitório em expressivos 28% em ambientes de alta complexidade em campi acadêmicos. Simultaneamente, o impacto ecológico decorrente das externalidades poluentes dessas emissões putrefatas de carbono reduziu entre 11% e 19%, provando que o combate ao desperdício não é apenas comportamental, mas sobretudo computacional (YILMAZ et al., 2025; OPTIMIZATION ONLINE, 2025).</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Restrições de Lotes Discretos (Discrete Package Sizing Constraints) e o Paradoxo de Fim de Lote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Outra fonte endêmica e silenciosa de </w:t>
      </w:r>
      <w:r w:rsidDel="00000000" w:rsidR="00000000" w:rsidRPr="00000000">
        <w:rPr>
          <w:rFonts w:ascii="Google Sans" w:cs="Google Sans" w:eastAsia="Google Sans" w:hAnsi="Google Sans"/>
          <w:i w:val="1"/>
          <w:iCs w:val="1"/>
          <w:color w:val="1f1f1f"/>
          <w:rtl w:val="0"/>
        </w:rPr>
        <w:t xml:space="preserve">food waste</w:t>
      </w:r>
      <w:r w:rsidDel="00000000" w:rsidR="00000000" w:rsidRPr="00000000">
        <w:rPr>
          <w:rFonts w:ascii="Google Sans" w:cs="Google Sans" w:eastAsia="Google Sans" w:hAnsi="Google Sans"/>
          <w:color w:val="1f1f1f"/>
          <w:rtl w:val="0"/>
        </w:rPr>
        <w:t xml:space="preserve">, frequentemente negligenciada pela visão linear contínua do planejamento, é a incompatibilidade mecânica de dimensões de embalagens. Essa falha surge da desconexão entre as frações demandadas por parâmetros puramente nutricionais dos algoritmos e os padrões discretos rígidos forçados pela indústria nas configurações da cadeia de suprimentos </w:t>
      </w:r>
      <w:r w:rsidDel="00000000" w:rsidR="00000000" w:rsidRPr="00000000">
        <w:rPr>
          <w:rFonts w:ascii="Google Sans" w:cs="Google Sans" w:eastAsia="Google Sans" w:hAnsi="Google Sans"/>
          <w:i w:val="1"/>
          <w:iCs w:val="1"/>
          <w:color w:val="1f1f1f"/>
          <w:rtl w:val="0"/>
        </w:rPr>
        <w:t xml:space="preserve">upstream</w:t>
      </w:r>
      <w:r w:rsidDel="00000000" w:rsidR="00000000" w:rsidRPr="00000000">
        <w:rPr>
          <w:rFonts w:ascii="Google Sans" w:cs="Google Sans" w:eastAsia="Google Sans" w:hAnsi="Google Sans"/>
          <w:color w:val="1f1f1f"/>
          <w:rtl w:val="0"/>
        </w:rPr>
        <w:t xml:space="preserve">. Em formulações antigas, um modelo idealizado poderia sugerir com precisão matemática a demanda para o consumo no dia de 3,2 quilogramas de determinado molho e 14,3 quilos de farinha. Contudo, nas especificações da aquisição atacadista, essas matérias-primas só são fisicamente vendidas em fardos lacrados de 5 quilos ou sacos de 20 quilos, respectivamente. O excedente de fim de lote (as frações de 1,8 kg e 5,7 kg, sucessivamente não aproveitadas) muitas vezes resulta em vencimento precoce em câmaras refrigeradas pela inatividade nos próximos dias (SILVA et al., 2017).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elaborações matemáticas contemporâneas extirpam essa aberração logística substituindo as formulações de variáveis contínuas clássicas pelas restrições inteiras rígidas atreladas aos limites métricos do Lote Econômico de Compras e às restrições de embalagem fechada. O modelo impõe que todas as demandas de cardápio agregadas devam, obrigatoriamente, perfazer um valor cumulativo que empate rigorosamente em múltiplos inteiros unitários da apresentação atacadista e do portfólio disponível no catálogo B2B (TEMPELMEIER, 2017). Embora essa restrição discreta force o solucionador MILP a gastar tempo computacional em ramificações complexas e comprometa parte do espaço de soluções lineares factíveis para o ótimo purista do perfil dietético perfeito, ela assegura que nenhuma grama fragmentada sobre após as semanas estipuladas.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3 evidencia as abordagens de Otimização no combate ao Desperdício Alimentar.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Origem Matemática do Desperdício na UAN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Abordagem Metodológica para Redução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Estrutura da Modelagem Empregada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Superprodução por Incerteza Estocástica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Otimização Robusta Ajustável (ARO) de Demanda.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Conjuntos de Incerteza </w:t>
            </w:r>
            <w:r w:rsidDel="00000000" w:rsidR="00000000" w:rsidRPr="00000000">
              <w:rPr>
                <w:rFonts w:ascii="Google Sans" w:cs="Google Sans" w:eastAsia="Google Sans" w:hAnsi="Google Sans"/>
                <w:i w:val="1"/>
                <w:iCs w:val="1"/>
                <w:color w:val="1f1f1f"/>
                <w:rtl w:val="0"/>
              </w:rPr>
              <w:t xml:space="preserve">Data-driven</w:t>
            </w:r>
            <w:r w:rsidDel="00000000" w:rsidR="00000000" w:rsidRPr="00000000">
              <w:rPr>
                <w:rFonts w:ascii="Google Sans" w:cs="Google Sans" w:eastAsia="Google Sans" w:hAnsi="Google Sans"/>
                <w:color w:val="1f1f1f"/>
                <w:rtl w:val="0"/>
              </w:rPr>
              <w:t xml:space="preserve"> avaliando flutuações extremas baseadas em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e regressão.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Descarte de Sobras Inflexíveis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Matrizes Logísticas de Receitas Flexíveis.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Nós logísticos permitindo fluxo intradiário de ingredientes. Transformação de outputs não-consumidos em inputs para novos dias.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Sobra de Fim de Lote de Atacado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Restrição de Tamanhos Discretos de Embalagem.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Forçar funções de compra via programação linear com variáveis restritas inteiras que obedeçam aos múltiplos de lotes comerciais.</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Resolvendo o </w:t>
      </w:r>
      <w:r w:rsidDel="00000000" w:rsidR="00000000" w:rsidRPr="00000000">
        <w:rPr>
          <w:rFonts w:ascii="Google Sans" w:cs="Google Sans" w:eastAsia="Google Sans" w:hAnsi="Google Sans"/>
          <w:b w:val="1"/>
          <w:bCs w:val="1"/>
          <w:i w:val="1"/>
          <w:iCs w:val="1"/>
          <w:color w:val="1f1f1f"/>
          <w:sz w:val="36"/>
          <w:szCs w:val="36"/>
          <w:rtl w:val="0"/>
        </w:rPr>
        <w:t xml:space="preserve">Trade-off</w:t>
      </w:r>
      <w:r w:rsidDel="00000000" w:rsidR="00000000" w:rsidRPr="00000000">
        <w:rPr>
          <w:rFonts w:ascii="Google Sans" w:cs="Google Sans" w:eastAsia="Google Sans" w:hAnsi="Google Sans"/>
          <w:color w:val="1f1f1f"/>
          <w:rtl w:val="0"/>
        </w:rPr>
        <w:t xml:space="preserve"> Complexo entre a Minimização de Custos e a Maximização da Qualidade Nutricional e Sensorial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natureza matricial do Planejamento de Cardápios apresenta um embate essencial em sua gênese algorítmica: os vetores de solução operam sob tensão fundamental. Insumos dotados de elevados perfis nutricionais balanceados, como micronutrientes isolados e macrocomponentes lipídicos de excelência biológica, além de possuírem uma vasta aceitabilidade sensorial pelo mercado e consumidores (qualidade estética, atributos organolépticos, palatabilidade superior), tendem a figurar nas camadas econômicas e faixas mais caras de precificação da cesta orgânica comercial, exigindo metodologias de resfriamento complexas no transporte. Historicamente, nas tentativas pragmáticas iniciais das décadas passadas de solucionar o problema restrito da UAN via funções objetivo puristas lineares de único viés — com o único fito de empurrar financeiramente as decisões de consumo a zero enquanto se batia em metas impostas de limites inferiores ou tetos nutricionais mínimos (calorias, vitaminas básicas e macros) —, o resultado foi a criação daquilo que ficou infamemente batizado pelos acadêmicos da área analítica como "O Paradoxo do Fígado com Repolho e Soja".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Esses resultados teóricos, que na folha algébrica consistiam em resoluções incólumes, belas orçamentariamente e infalivelmente perfeitas na métrica proteica e calórica exigida, falhavam de forma catastrófica nas bandejas práticas de refeitório pela completa inabilidade heurística da máquina em conceber elementos cognitivos fundamentais do cérebro humano em sua escolha nutricional diária. Produziram pratos humanamente intragáveis e esteticamente repulsivos. Para desvencilhar-se da premissa linear determinística estagnante e solucionar organicamente as demandas das praças operacionais reais, as prospecções robustas sobre o MPP pivotaram o peso do problema para o ecossistema maduro e dinâmico da Otimização Multiobjetivo (MOO) associada ao processamento evolutivo.</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Otimização Multiobjetivo (MOO) e a Exploração na Fronteira de Pareto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esfera pragmática da Otimização Multiobjetivo, descarta-se o conceito monolítico e utópico de capturar a "única" solução ótima. O modelo não linear concebe, ao invés disso, uma exploração na </w:t>
      </w:r>
      <w:r w:rsidDel="00000000" w:rsidR="00000000" w:rsidRPr="00000000">
        <w:rPr>
          <w:rFonts w:ascii="Google Sans" w:cs="Google Sans" w:eastAsia="Google Sans" w:hAnsi="Google Sans"/>
          <w:b w:val="1"/>
          <w:bCs w:val="1"/>
          <w:color w:val="1f1f1f"/>
          <w:rtl w:val="0"/>
        </w:rPr>
        <w:t xml:space="preserve">Fronteira de Pareto</w:t>
      </w:r>
      <w:r w:rsidDel="00000000" w:rsidR="00000000" w:rsidRPr="00000000">
        <w:rPr>
          <w:rFonts w:ascii="Google Sans" w:cs="Google Sans" w:eastAsia="Google Sans" w:hAnsi="Google Sans"/>
          <w:color w:val="1f1f1f"/>
          <w:rtl w:val="0"/>
        </w:rPr>
        <w:t xml:space="preserve"> — um conjunto plural e sofisticado de formulações onde vigora o postulado de não-dominação, o que assevera a impossibilidade física de aplicar melhorias pontuais de ganho marginal na performance nutricional absoluta de um subvetor matricial sem, inevitavelmente, infligir uma piora direta ou indireta nos limites contratuais financeiros da outra face do espelho tridimensional de custos (MOREIRA et al., 2018).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Assim, as representações formulam três pilares simultâneos conflitantes (TUFTS UNIVERSITY, 2023):</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035748" cy="235109"/>
            <wp:effectExtent b="0" l="0" r="0" t="0"/>
            <wp:docPr id="9"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035748" cy="235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Estrutura Global dos Custos de Aquisição (Minimizar </w:t>
      </w:r>
      <w:r w:rsidDel="00000000" w:rsidR="00000000" w:rsidRPr="00000000">
        <w:rPr>
          <w:rFonts w:ascii="Google Sans" w:cs="Google Sans" w:eastAsia="Google Sans" w:hAnsi="Google Sans"/>
          <w:color w:val="1f1f1f"/>
        </w:rPr>
        <w:drawing>
          <wp:inline distB="19050" distT="19050" distL="19050" distR="19050">
            <wp:extent cx="139105" cy="233949"/>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9105"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035748" cy="235109"/>
            <wp:effectExtent b="0" l="0" r="0" t="0"/>
            <wp:docPr id="40"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1035748" cy="235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Reduzir os desvios, flutuações e </w:t>
      </w:r>
      <w:r w:rsidDel="00000000" w:rsidR="00000000" w:rsidRPr="00000000">
        <w:rPr>
          <w:rFonts w:ascii="Google Sans" w:cs="Google Sans" w:eastAsia="Google Sans" w:hAnsi="Google Sans"/>
          <w:i w:val="1"/>
          <w:iCs w:val="1"/>
          <w:color w:val="1f1f1f"/>
          <w:rtl w:val="0"/>
        </w:rPr>
        <w:t xml:space="preserve">gaps</w:t>
      </w:r>
      <w:r w:rsidDel="00000000" w:rsidR="00000000" w:rsidRPr="00000000">
        <w:rPr>
          <w:rFonts w:ascii="Google Sans" w:cs="Google Sans" w:eastAsia="Google Sans" w:hAnsi="Google Sans"/>
          <w:color w:val="1f1f1f"/>
          <w:rtl w:val="0"/>
        </w:rPr>
        <w:t xml:space="preserve"> em relação à IDR - Ingestão Diária Recomendada (Metas Dietéticas Saudáveis).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071467" cy="235978"/>
            <wp:effectExtent b="0" l="0" r="0" t="0"/>
            <wp:docPr id="43"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1071467" cy="235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Elevar a Diversidade Estética, Variedade Morfológica e a Aceitação Sensorial na Praça, medindo índices hedonísticos do consumidor frente às restrições sociais e restrições de monotonia.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Métodos analíticos consolidados no suporte decisório como a técnica de </w:t>
      </w:r>
      <w:r w:rsidDel="00000000" w:rsidR="00000000" w:rsidRPr="00000000">
        <w:rPr>
          <w:rFonts w:ascii="Google Sans" w:cs="Google Sans" w:eastAsia="Google Sans" w:hAnsi="Google Sans"/>
          <w:i w:val="1"/>
          <w:iCs w:val="1"/>
          <w:color w:val="1f1f1f"/>
          <w:rtl w:val="0"/>
        </w:rPr>
        <w:t xml:space="preserve">Goal Programming</w:t>
      </w:r>
      <w:r w:rsidDel="00000000" w:rsidR="00000000" w:rsidRPr="00000000">
        <w:rPr>
          <w:rFonts w:ascii="Google Sans" w:cs="Google Sans" w:eastAsia="Google Sans" w:hAnsi="Google Sans"/>
          <w:color w:val="1f1f1f"/>
          <w:rtl w:val="0"/>
        </w:rPr>
        <w:t xml:space="preserve"> (Programação com Objetivos Flexíveis Múltiplos) alteram o cenário da punição inflexível de blocos lineares. Quando se exige alcançar 100% de micronutrientes orgânicos fixos para o ferro (</w:t>
      </w:r>
      <w:r w:rsidDel="00000000" w:rsidR="00000000" w:rsidRPr="00000000">
        <w:rPr>
          <w:rFonts w:ascii="Google Sans" w:cs="Google Sans" w:eastAsia="Google Sans" w:hAnsi="Google Sans"/>
          <w:color w:val="1f1f1f"/>
        </w:rPr>
        <w:drawing>
          <wp:inline distB="19050" distT="19050" distL="19050" distR="19050">
            <wp:extent cx="230287" cy="236684"/>
            <wp:effectExtent b="0" l="0" r="0" t="0"/>
            <wp:docPr id="44"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230287" cy="236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sem quebrar as paredes táticas orçamentárias num projeto de marmita popular subsidiada ou hospitalar de R$ 5,00 por dia. Transformando muros insolúveis em propósitos tolerantes, o arquétipo do </w:t>
      </w:r>
      <w:r w:rsidDel="00000000" w:rsidR="00000000" w:rsidRPr="00000000">
        <w:rPr>
          <w:rFonts w:ascii="Google Sans" w:cs="Google Sans" w:eastAsia="Google Sans" w:hAnsi="Google Sans"/>
          <w:i w:val="1"/>
          <w:iCs w:val="1"/>
          <w:color w:val="1f1f1f"/>
          <w:rtl w:val="0"/>
        </w:rPr>
        <w:t xml:space="preserve">Goal Programming</w:t>
      </w:r>
      <w:r w:rsidDel="00000000" w:rsidR="00000000" w:rsidRPr="00000000">
        <w:rPr>
          <w:rFonts w:ascii="Google Sans" w:cs="Google Sans" w:eastAsia="Google Sans" w:hAnsi="Google Sans"/>
          <w:color w:val="1f1f1f"/>
          <w:rtl w:val="0"/>
        </w:rPr>
        <w:t xml:space="preserve"> injeta vetores de desvios relativos à performance ótima, variáveis de folga negativas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46"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desvios por excesso positivos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49"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meta do </w:t>
      </w:r>
      <w:r w:rsidDel="00000000" w:rsidR="00000000" w:rsidRPr="00000000">
        <w:rPr>
          <w:rFonts w:ascii="Google Sans" w:cs="Google Sans" w:eastAsia="Google Sans" w:hAnsi="Google Sans"/>
          <w:i w:val="1"/>
          <w:iCs w:val="1"/>
          <w:color w:val="1f1f1f"/>
          <w:rtl w:val="0"/>
        </w:rPr>
        <w:t xml:space="preserve">solver</w:t>
      </w:r>
      <w:r w:rsidDel="00000000" w:rsidR="00000000" w:rsidRPr="00000000">
        <w:rPr>
          <w:rFonts w:ascii="Google Sans" w:cs="Google Sans" w:eastAsia="Google Sans" w:hAnsi="Google Sans"/>
          <w:color w:val="1f1f1f"/>
          <w:rtl w:val="0"/>
        </w:rPr>
        <w:t xml:space="preserve"> transita então de bater um custo puritano fixo (inatingível sem comprometer a biologia celular humana), buscando incessantemente computar os caminhos para a equalização de </w:t>
      </w:r>
      <w:r w:rsidDel="00000000" w:rsidR="00000000" w:rsidRPr="00000000">
        <w:rPr>
          <w:rFonts w:ascii="Google Sans" w:cs="Google Sans" w:eastAsia="Google Sans" w:hAnsi="Google Sans"/>
          <w:color w:val="1f1f1f"/>
        </w:rPr>
        <w:drawing>
          <wp:inline distB="19050" distT="19050" distL="19050" distR="19050">
            <wp:extent cx="1726111" cy="235668"/>
            <wp:effectExtent b="0" l="0" r="0" t="0"/>
            <wp:docPr id="51"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1726111" cy="235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onde vetores unitários de prioridade paramétrica (</w:t>
      </w:r>
      <w:r w:rsidDel="00000000" w:rsidR="00000000" w:rsidRPr="00000000">
        <w:rPr>
          <w:rFonts w:ascii="Google Sans" w:cs="Google Sans" w:eastAsia="Google Sans" w:hAnsi="Google Sans"/>
          <w:color w:val="1f1f1f"/>
        </w:rPr>
        <w:drawing>
          <wp:inline distB="19050" distT="19050" distL="19050" distR="19050">
            <wp:extent cx="227807" cy="234135"/>
            <wp:effectExtent b="0" l="0" r="0" t="0"/>
            <wp:docPr id="54"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227807" cy="234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representam a diretriz ideológica política da UAN no peso da nutrição versus a retenção de liquidez financeira almejada em sua administração executiva global (MAKOWSKI, 1994; MARTOS-BARRACHINA, 2025).</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Qualidade Sensorial: Estruturas de Penalidade Heurística, Cores e Fadiga Estética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os algoritmos logísticos introduzem no arcabouço lógico pressupostos subjetivos relativos às análises sensoriais hedonistas humanas da culinária global, a modelagem converte-se do espaço linear pacífico e previsível em sistemas complexos e abertos de profunda não-linearidade e ramificação explosiva no espaço de tempo superpolinomial NP. Em termos neurobiológicos de saturação repetitiva do sabor, as pesquisas acadêmicas provam analiticamente que as curvas de regressão da utilidade e do desfrute humano despenam severamente em escala de decaimento logarítmica aguda sempre que a métrica quantitativa de repetição cronológica visual ou gustativa incide sobre uma UAN de base fechada diária (abastecimento carcerário, escolas rurais e ambientes militares), fenômeno batizado em literatura global de comportamento humano como Fadiga Sensorial.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impor o vetor analítico de quantificação e controle heurístico na variabilidade gastronômica de pré-planejamento nas semanas ou meses subsequentes de formulação em lote estruturado por computador, sistemas inovadores criaram as regras severas dos "Sistemas de Penalidades ou Tarifação Artificial" por exaustão ou sobreuso de ingredientes. Se um núcleo combinatório, acompanhamento e base proteica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6"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 Estrogonofe suíno com batatas em cubos) desponta com custo esmagadoramente brilhante no mercado à vista no dia base do cálculo de matriz global e é capturado de pronto com sucesso como vetor </w:t>
      </w:r>
      <w:r w:rsidDel="00000000" w:rsidR="00000000" w:rsidRPr="00000000">
        <w:rPr>
          <w:rFonts w:ascii="Google Sans" w:cs="Google Sans" w:eastAsia="Google Sans" w:hAnsi="Google Sans"/>
          <w:color w:val="1f1f1f"/>
        </w:rPr>
        <w:drawing>
          <wp:inline distB="19050" distT="19050" distL="19050" distR="19050">
            <wp:extent cx="207962" cy="233170"/>
            <wp:effectExtent b="0" l="0" r="0" t="0"/>
            <wp:docPr id="58"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07962" cy="233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um almoço universitário específico, o sistema de Otimização Sensorial lhe inflige imediatamente e implacavelmente o fardo marginal incremental contínuo em suas interações sistêmicas posteriores (aumento matricial no vetor das métricas restritivas, ou penalidade incremental sintética de </w:t>
      </w:r>
      <w:r w:rsidDel="00000000" w:rsidR="00000000" w:rsidRPr="00000000">
        <w:rPr>
          <w:rFonts w:ascii="Google Sans" w:cs="Google Sans" w:eastAsia="Google Sans" w:hAnsi="Google Sans"/>
          <w:color w:val="1f1f1f"/>
        </w:rPr>
        <w:drawing>
          <wp:inline distB="19050" distT="19050" distL="19050" distR="19050">
            <wp:extent cx="184448" cy="243735"/>
            <wp:effectExtent b="0" l="0" r="0" t="0"/>
            <wp:docPr id="60"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184448" cy="243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bloqueio do ciclo das famílias gastronômicas repetidas é delineado na sintaxe do compilador algébrico de linguagens modernas computacionais da seguinte maneira (SILVA et al., 2017):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39"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a compilação global de todas as ocorrências iteradas cumulativas do alimento transpassar um teto parametrizado de suporte psicológico fixado em contrato pelas nutricionistas sêniores supervisoras (</w:t>
      </w:r>
      <w:r w:rsidDel="00000000" w:rsidR="00000000" w:rsidRPr="00000000">
        <w:rPr>
          <w:rFonts w:ascii="Google Sans" w:cs="Google Sans" w:eastAsia="Google Sans" w:hAnsi="Google Sans"/>
          <w:color w:val="1f1f1f"/>
        </w:rPr>
        <w:drawing>
          <wp:inline distB="19050" distT="19050" distL="19050" distR="19050">
            <wp:extent cx="423565" cy="237453"/>
            <wp:effectExtent b="0" l="0" r="0" t="0"/>
            <wp:docPr id="21"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423565" cy="237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sob a ótica comportamental de restrição o algorítmico bloqueia a indicação novamente deste núcleo de suprimentos em dias seguidos na agenda matriz computacional estocástica (SILVA et al., 2017).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modelagens e algoritmos não paralisam aí: incorporam as demandas das regras sociais subjetivas e limites físicos. Estruturas complexas restritivas e excludentes no planejamento da bandeja vetam e criminalizam a compilação paralela no prato entre feijões e caldos monocromáticos se na respectiva matriz primária os acompanhamentos apresentarem, perigosamente juntos, a cor hegemônica idêntica e a massa texturizada idêntica. Desde as primeiras explorações restritivas heurísticas de programação booleana baseada em probabilidade de chaves no </w:t>
      </w:r>
      <w:r w:rsidDel="00000000" w:rsidR="00000000" w:rsidRPr="00000000">
        <w:rPr>
          <w:rFonts w:ascii="Google Sans" w:cs="Google Sans" w:eastAsia="Google Sans" w:hAnsi="Google Sans"/>
          <w:i w:val="1"/>
          <w:iCs w:val="1"/>
          <w:color w:val="1f1f1f"/>
          <w:rtl w:val="0"/>
        </w:rPr>
        <w:t xml:space="preserve">zero-one programming</w:t>
      </w:r>
      <w:r w:rsidDel="00000000" w:rsidR="00000000" w:rsidRPr="00000000">
        <w:rPr>
          <w:rFonts w:ascii="Google Sans" w:cs="Google Sans" w:eastAsia="Google Sans" w:hAnsi="Google Sans"/>
          <w:color w:val="1f1f1f"/>
          <w:rtl w:val="0"/>
        </w:rPr>
        <w:t xml:space="preserve"> na década experimental da Engenharia Militar de 1969, o controle heurístico de incompatibilidade por colisões entre purês amiláceos e frangos na fumaça e no cozimento brandos tem impedido falhas vergonhosas visuais nos compiladores logísticos por matriz excludente pura com penalização de convergência de classe no mesmo grupo base do almoço unificado gerador de ticket (GUE, 1969).</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Inteligência Artificial: Lógica de Percepção </w:t>
      </w:r>
      <w:r w:rsidDel="00000000" w:rsidR="00000000" w:rsidRPr="00000000">
        <w:rPr>
          <w:rFonts w:ascii="Google Sans" w:cs="Google Sans" w:eastAsia="Google Sans" w:hAnsi="Google Sans"/>
          <w:b w:val="1"/>
          <w:bCs w:val="1"/>
          <w:i w:val="1"/>
          <w:iCs w:val="1"/>
          <w:color w:val="1f1f1f"/>
          <w:sz w:val="28"/>
          <w:szCs w:val="28"/>
          <w:rtl w:val="0"/>
        </w:rPr>
        <w:t xml:space="preserve">Fuzzy</w:t>
      </w:r>
      <w:r w:rsidDel="00000000" w:rsidR="00000000" w:rsidRPr="00000000">
        <w:rPr>
          <w:rFonts w:ascii="Google Sans" w:cs="Google Sans" w:eastAsia="Google Sans" w:hAnsi="Google Sans"/>
          <w:color w:val="1f1f1f"/>
          <w:rtl w:val="0"/>
        </w:rPr>
        <w:t xml:space="preserve"> e Evolução Algorítmica NSGA-II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impossibilidade física teórica e operacional rotineira de obter processadores clássicos capazes de explorar com sucesso o gigantesco universo temporal superpolinomial gerado pelas barreiras em árvore que explodem nestes modelos combinatórios multiobjetivos — na complexa disputa NP completa com centenas de parâmetros colidentes, exigências rigorosas biológicas diárias de 15 tipos de vitaminas fracionadas miligramas por miligramas cruzadas a oscilação ininterrupta semanal do mercado orgânico produtor, os expoentes técnicos do chão logístico da Engenharia se ancoraram massivamente no emprego dos simuladores cibernéticos genéticos: </w:t>
      </w:r>
      <w:r w:rsidDel="00000000" w:rsidR="00000000" w:rsidRPr="00000000">
        <w:rPr>
          <w:rFonts w:ascii="Google Sans" w:cs="Google Sans" w:eastAsia="Google Sans" w:hAnsi="Google Sans"/>
          <w:b w:val="1"/>
          <w:bCs w:val="1"/>
          <w:color w:val="1f1f1f"/>
          <w:rtl w:val="0"/>
        </w:rPr>
        <w:t xml:space="preserve">Metadados Meta-Heurísticos e Algoritmos de Fronteira Evolucionária</w:t>
      </w:r>
      <w:r w:rsidDel="00000000" w:rsidR="00000000" w:rsidRPr="00000000">
        <w:rPr>
          <w:rFonts w:ascii="Google Sans" w:cs="Google Sans" w:eastAsia="Google Sans" w:hAnsi="Google Sans"/>
          <w:color w:val="1f1f1f"/>
          <w:rtl w:val="0"/>
        </w:rPr>
        <w:t xml:space="preserve">. Sistemas conceituados como as técnicas NSGA-II (</w:t>
      </w:r>
      <w:r w:rsidDel="00000000" w:rsidR="00000000" w:rsidRPr="00000000">
        <w:rPr>
          <w:rFonts w:ascii="Google Sans" w:cs="Google Sans" w:eastAsia="Google Sans" w:hAnsi="Google Sans"/>
          <w:i w:val="1"/>
          <w:iCs w:val="1"/>
          <w:color w:val="1f1f1f"/>
          <w:rtl w:val="0"/>
        </w:rPr>
        <w:t xml:space="preserve">Non-dominated Sorting Genetic Algorithm II</w:t>
      </w:r>
      <w:r w:rsidDel="00000000" w:rsidR="00000000" w:rsidRPr="00000000">
        <w:rPr>
          <w:rFonts w:ascii="Google Sans" w:cs="Google Sans" w:eastAsia="Google Sans" w:hAnsi="Google Sans"/>
          <w:color w:val="1f1f1f"/>
          <w:rtl w:val="0"/>
        </w:rPr>
        <w:t xml:space="preserve">), assim como Modelos Algorítmicos Enxame (</w:t>
      </w:r>
      <w:r w:rsidDel="00000000" w:rsidR="00000000" w:rsidRPr="00000000">
        <w:rPr>
          <w:rFonts w:ascii="Google Sans" w:cs="Google Sans" w:eastAsia="Google Sans" w:hAnsi="Google Sans"/>
          <w:i w:val="1"/>
          <w:iCs w:val="1"/>
          <w:color w:val="1f1f1f"/>
          <w:rtl w:val="0"/>
        </w:rPr>
        <w:t xml:space="preserve">Particle Swarm Optimization</w:t>
      </w:r>
      <w:r w:rsidDel="00000000" w:rsidR="00000000" w:rsidRPr="00000000">
        <w:rPr>
          <w:rFonts w:ascii="Google Sans" w:cs="Google Sans" w:eastAsia="Google Sans" w:hAnsi="Google Sans"/>
          <w:color w:val="1f1f1f"/>
          <w:rtl w:val="0"/>
        </w:rPr>
        <w:t xml:space="preserve"> - PSO) acoplados via compilação conjunta ao poderoso robusto suporte algorítmico do modelo </w:t>
      </w:r>
      <w:r w:rsidDel="00000000" w:rsidR="00000000" w:rsidRPr="00000000">
        <w:rPr>
          <w:rFonts w:ascii="Google Sans" w:cs="Google Sans" w:eastAsia="Google Sans" w:hAnsi="Google Sans"/>
          <w:i w:val="1"/>
          <w:iCs w:val="1"/>
          <w:color w:val="1f1f1f"/>
          <w:rtl w:val="0"/>
        </w:rPr>
        <w:t xml:space="preserve">Gurobi Optimizer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 dinâmicas de genética evolucionária computada o código criador semeia artificialmente "milhões" de gerações primárias de vetores (cardápios propostos inteiros, representados metaforicamente e sintaticamente como genótipos independentes paralelos que testam mutações genéticas entre as gerações de simulação simulada interna) procedendo ao abate algorítmico sumário brutal de todos os traços computados e mutados aleatórios que estourarem em desperdícios as margens limiares da aceitabilidade ou em fracasso nos vetores limítrofes do Índice Americano de Avaliação Biológica do Valor Dietético da Dieta Saudável Consumida HEI - </w:t>
      </w:r>
      <w:r w:rsidDel="00000000" w:rsidR="00000000" w:rsidRPr="00000000">
        <w:rPr>
          <w:rFonts w:ascii="Google Sans" w:cs="Google Sans" w:eastAsia="Google Sans" w:hAnsi="Google Sans"/>
          <w:i w:val="1"/>
          <w:iCs w:val="1"/>
          <w:color w:val="1f1f1f"/>
          <w:rtl w:val="0"/>
        </w:rPr>
        <w:t xml:space="preserve">Healthy Eating Index</w:t>
      </w:r>
      <w:r w:rsidDel="00000000" w:rsidR="00000000" w:rsidRPr="00000000">
        <w:rPr>
          <w:rFonts w:ascii="Google Sans" w:cs="Google Sans" w:eastAsia="Google Sans" w:hAnsi="Google Sans"/>
          <w:color w:val="1f1f1f"/>
          <w:rtl w:val="0"/>
        </w:rPr>
        <w:t xml:space="preserve"> (TUFTS UNIVERSITY, 2023; MARRERO et al., 2020).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isso, perante as sutilezas biológicas humanas dos desejos ambíguos do sistema nervoso e dos prazeres na mastigação de textura orgânica natural organoléptica (visto que percepções subjetivas e a euforia estética humana nunca portarão limites rigorosos exatos cartesianos binários no mundo tangível logístico), o desenvolvimento global cibernético propôs uma migração de flexibilidade valendo-se maciçamente nos últimos anos em processos lógicos estendidos baseados em formulações amplas e contínuas de pertinência utilizando a </w:t>
      </w:r>
      <w:r w:rsidDel="00000000" w:rsidR="00000000" w:rsidRPr="00000000">
        <w:rPr>
          <w:rFonts w:ascii="Google Sans" w:cs="Google Sans" w:eastAsia="Google Sans" w:hAnsi="Google Sans"/>
          <w:b w:val="1"/>
          <w:bCs w:val="1"/>
          <w:color w:val="1f1f1f"/>
          <w:rtl w:val="0"/>
        </w:rPr>
        <w:t xml:space="preserve">Lógica Fuzzy</w:t>
      </w:r>
      <w:r w:rsidDel="00000000" w:rsidR="00000000" w:rsidRPr="00000000">
        <w:rPr>
          <w:rFonts w:ascii="Google Sans" w:cs="Google Sans" w:eastAsia="Google Sans" w:hAnsi="Google Sans"/>
          <w:color w:val="1f1f1f"/>
          <w:rtl w:val="0"/>
        </w:rPr>
        <w:t xml:space="preserve"> ou das escalas lógicas nebuosas contínuas de satisfação (PERRIGNON et al., 2024). Em uma premissa algorítmica lógica, a teoria baseada no conjunto </w:t>
      </w:r>
      <w:r w:rsidDel="00000000" w:rsidR="00000000" w:rsidRPr="00000000">
        <w:rPr>
          <w:rFonts w:ascii="Google Sans" w:cs="Google Sans" w:eastAsia="Google Sans" w:hAnsi="Google Sans"/>
          <w:i w:val="1"/>
          <w:iCs w:val="1"/>
          <w:color w:val="1f1f1f"/>
          <w:rtl w:val="0"/>
        </w:rPr>
        <w:t xml:space="preserve">Fuzzy</w:t>
      </w:r>
      <w:r w:rsidDel="00000000" w:rsidR="00000000" w:rsidRPr="00000000">
        <w:rPr>
          <w:rFonts w:ascii="Google Sans" w:cs="Google Sans" w:eastAsia="Google Sans" w:hAnsi="Google Sans"/>
          <w:color w:val="1f1f1f"/>
          <w:rtl w:val="0"/>
        </w:rPr>
        <w:t xml:space="preserve"> contínuo abre campo para que as expectativas frias de custos não blindem os orçamentos com a rigidez dos bits decimais de 0 e 1, passando os atributos para o reconhecimento fluído onde a aceitabilidade e tolerância técnica varia dinamicamente entre funções matemáticas liminares da métrica da inteligência analítica com limiares entre [0,0 ; 1,0].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Nesse escopo de maleabilidade estratégica de ponta na Indústria 4.0 do </w:t>
      </w:r>
      <w:r w:rsidDel="00000000" w:rsidR="00000000" w:rsidRPr="00000000">
        <w:rPr>
          <w:rFonts w:ascii="Google Sans" w:cs="Google Sans" w:eastAsia="Google Sans" w:hAnsi="Google Sans"/>
          <w:i w:val="1"/>
          <w:iCs w:val="1"/>
          <w:color w:val="1f1f1f"/>
          <w:rtl w:val="0"/>
        </w:rPr>
        <w:t xml:space="preserve">foodservice</w:t>
      </w:r>
      <w:r w:rsidDel="00000000" w:rsidR="00000000" w:rsidRPr="00000000">
        <w:rPr>
          <w:rFonts w:ascii="Google Sans" w:cs="Google Sans" w:eastAsia="Google Sans" w:hAnsi="Google Sans"/>
          <w:color w:val="1f1f1f"/>
          <w:rtl w:val="0"/>
        </w:rPr>
        <w:t xml:space="preserve">, o compilador cibernético ganha o condão de absorver perfeitamente o impacto de um custo aquisitivo residual e sutil além dos limites impostos nos contratos contratuais rígidos mensais na margem tática (gerando, na premissa e modelagem </w:t>
      </w:r>
      <w:r w:rsidDel="00000000" w:rsidR="00000000" w:rsidRPr="00000000">
        <w:rPr>
          <w:rFonts w:ascii="Google Sans" w:cs="Google Sans" w:eastAsia="Google Sans" w:hAnsi="Google Sans"/>
          <w:i w:val="1"/>
          <w:iCs w:val="1"/>
          <w:color w:val="1f1f1f"/>
          <w:rtl w:val="0"/>
        </w:rPr>
        <w:t xml:space="preserve">Fuzzy</w:t>
      </w:r>
      <w:r w:rsidDel="00000000" w:rsidR="00000000" w:rsidRPr="00000000">
        <w:rPr>
          <w:rFonts w:ascii="Google Sans" w:cs="Google Sans" w:eastAsia="Google Sans" w:hAnsi="Google Sans"/>
          <w:color w:val="1f1f1f"/>
          <w:rtl w:val="0"/>
        </w:rPr>
        <w:t xml:space="preserve">, o afrouxamento temporário nebuloso financeiro no teto de contrato UAN para compras) contanto que as avaliações no cômputo da matriz de valor preditivo humano disparem de forma violenta a compensação e devolução qualitativa inestimável perante uma curva formidável paralela predita na resposta comportamental de satisfação na experiência da base servida e paga do seu refeitório logístico no curto e médio prazo de operação ininterrupta. As premissas limitadas baseadas em custo puro não ocluem mais a rentabilidade e o escopo amplo da fidelização base, equalizando as UANs não apenas em margem monetária pura fria, mas no elo orgânico indissolúvel do sucesso operacional.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4 traça a distinção profunda entre o isolamento e integração nos modelos modernos aplicados à avaliação de cardápios.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Método Abordagem de Solução Algébrica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Características Mecânicas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Limitações na UAN e Custo Nutricional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Monobjetivo Linear Pura Inteira Clássica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Fixação de Custo Z Mínimo com limite inferior biológico de nutrientes.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 frequentemente no "Paradoxo de Repolho" gerando pratos incompatíveis ao valor percebido sensorial humano na bandeja, forçando fadiga sensorial.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Programming Multiobjetivo (MDKP)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Tratamento dos vetores biológicos orgânicos em metas alcançáveis em tolerância de desvios relativos à performance (+ 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Pode depender excessivamente da ponderação artificial criada pela matriz ideológica analógica do chefe e supervisor de área nutricional (</w:t>
            </w:r>
            <w:r w:rsidDel="00000000" w:rsidR="00000000" w:rsidRPr="00000000">
              <w:rPr>
                <w:rFonts w:ascii="Google Sans" w:cs="Google Sans" w:eastAsia="Google Sans" w:hAnsi="Google Sans"/>
                <w:color w:val="1f1f1f"/>
              </w:rPr>
              <w:drawing>
                <wp:inline distB="19050" distT="19050" distL="19050" distR="19050">
                  <wp:extent cx="227807" cy="234135"/>
                  <wp:effectExtent b="0" l="0" r="0" t="0"/>
                  <wp:docPr id="2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227807" cy="234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Algoritmos Meta-Heurísticos Gurobi/NSGA-II com Lógica Fuzzy Integrada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Simulação algorítmica das opções de milhares de cromossomos na Fronteira de Pareto. Penalizações contínuas </w:t>
            </w:r>
            <w:r w:rsidDel="00000000" w:rsidR="00000000" w:rsidRPr="00000000">
              <w:rPr>
                <w:rFonts w:ascii="Google Sans" w:cs="Google Sans" w:eastAsia="Google Sans" w:hAnsi="Google Sans"/>
                <w:i w:val="1"/>
                <w:iCs w:val="1"/>
                <w:color w:val="1f1f1f"/>
                <w:rtl w:val="0"/>
              </w:rPr>
              <w:t xml:space="preserve">Fuzzy</w:t>
            </w:r>
            <w:r w:rsidDel="00000000" w:rsidR="00000000" w:rsidRPr="00000000">
              <w:rPr>
                <w:rFonts w:ascii="Google Sans" w:cs="Google Sans" w:eastAsia="Google Sans" w:hAnsi="Google Sans"/>
                <w:color w:val="1f1f1f"/>
                <w:rtl w:val="0"/>
              </w:rPr>
              <w:t xml:space="preserve"> com regras orgânicas e estéticas baseadas em restrições diárias temporais cruzadas.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Complexidade elevada computacional, embora elimine as inviabilidades sensoriais logísticas unificando inteligência orçamentária financeira dinâmica real aos valores orgânicos biológicos reais.</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Considerações Finais e Implicações Sistêmicas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construção de planejamentos na gestão e delineamento logístico nas Unidades de Alimentação e Nutrição extrapolou definitivamente os preceitos rudimentares de intuições operacionais de chefes de cozinhas centralizadas nas intuições diárias das cotações analógicas das compras. O embasamento em Pesquisa Operacional e na Engenharia de Otimização atesta que resolver o problema multidimensional (MPP) impera pela via de formulações sistêmicas preditivas interconectadas em modelagem logística robusta e inteligente de alta capilaridade com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restrições de capital volátil associadas à instabilidade temporal sistêmica proveniente das flutuações nas produções e matrizes rurais da sazonalidade climática obrigam o abandono terminal do viés puramente conservador determinístico dos custos lineares em UANs de excelência global, transferindo todo o poder de escala e previsibilidade econômica real preditiva analítica holística ao modelo da Otimização Dinâmica dos Preços Projetados.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acoplamento matemático contínuo do cardápio projetado dietético com a modelagem do espaço tridimensional na estrutura refrigerada das UANs (</w:t>
      </w:r>
      <w:r w:rsidDel="00000000" w:rsidR="00000000" w:rsidRPr="00000000">
        <w:rPr>
          <w:rFonts w:ascii="Google Sans" w:cs="Google Sans" w:eastAsia="Google Sans" w:hAnsi="Google Sans"/>
          <w:i w:val="1"/>
          <w:iCs w:val="1"/>
          <w:color w:val="1f1f1f"/>
          <w:rtl w:val="0"/>
        </w:rPr>
        <w:t xml:space="preserve">Lot-sizing</w:t>
      </w:r>
      <w:r w:rsidDel="00000000" w:rsidR="00000000" w:rsidRPr="00000000">
        <w:rPr>
          <w:rFonts w:ascii="Google Sans" w:cs="Google Sans" w:eastAsia="Google Sans" w:hAnsi="Google Sans"/>
          <w:color w:val="1f1f1f"/>
          <w:rtl w:val="0"/>
        </w:rPr>
        <w:t xml:space="preserve"> paramétrico de capacidade do inventário </w:t>
      </w:r>
      <w:r w:rsidDel="00000000" w:rsidR="00000000" w:rsidRPr="00000000">
        <w:rPr>
          <w:rFonts w:ascii="Google Sans" w:cs="Google Sans" w:eastAsia="Google Sans" w:hAnsi="Google Sans"/>
          <w:color w:val="1f1f1f"/>
        </w:rPr>
        <w:drawing>
          <wp:inline distB="19050" distT="19050" distL="19050" distR="19050">
            <wp:extent cx="245467" cy="232879"/>
            <wp:effectExtent b="0" l="0" r="0" t="0"/>
            <wp:docPr id="2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5467" cy="232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evita o choque frontal letal entre as matrizes de excelência em saúde teórica purista em contraposição da incapacidade estrutural na cubagem, resiliência termodinâmica do sistema produtivo ou o estrangulamento da cadeia de ressuprimentos pela não adoção da margem do balanço biológico contínuo do percurso logístico contínuo biológico no pré-consumo. O desperdício e a insustentabilidade são anulados antecipadamente antes de qualquer operação empírica do fogão, empregando-se com robustez algorítmica matemática sistêmica na reconfiguração em subfluxos dinâmicos nos nós orgânicos dos processamentos com a formulação tática estratégica do Otimizador Ajustável ARO predizendo margens complexas em reentradas recíprocas dinâmicas de equações restritivas em lotes atacadistas redondos exatos, sem retalhos que findem a qualidade em perdas marginais. As perdas geradoras de carbono são liquidadas sem o primeiro corte de ingrediente ser manipulado biologicamente.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Otimização Multiobjetivo embasada em Modelagem Lógica Contínua Sensorial coroa a eficiência industrial das grandes fábricas alimentícias no limiar da Indústria Integrada: ao integrar com precisão algorítmica matemática a qualidade orçamentária do caixa logístico operacional em paridade profunda contra o desdobramento natural nutricional e as premissas da aceitação neurobiológica perceptiva organoléptica, a tecnologia converte perigos analíticos insolúveis em cardápios de robustez formidável a todos os clientes orgânicos reais nos patamares ótimos simultâneos sistêmicos na fronteira global analítica da fronteira de sustentabilidade plena na vanguarda do sistema na matriz alimentar moderna.</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Referências Bibliográficas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ABAGGE, M. </w:t>
      </w:r>
      <w:r w:rsidDel="00000000" w:rsidR="00000000" w:rsidRPr="00000000">
        <w:rPr>
          <w:rFonts w:ascii="Google Sans" w:cs="Google Sans" w:eastAsia="Google Sans" w:hAnsi="Google Sans"/>
          <w:i w:val="1"/>
          <w:iCs w:val="1"/>
          <w:color w:val="1f1f1f"/>
          <w:rtl w:val="0"/>
        </w:rPr>
        <w:t xml:space="preserve">Modelos Matemáticos Aplicados à Previsão de Demanda em Foodservice</w:t>
      </w:r>
      <w:r w:rsidDel="00000000" w:rsidR="00000000" w:rsidRPr="00000000">
        <w:rPr>
          <w:rFonts w:ascii="Google Sans" w:cs="Google Sans" w:eastAsia="Google Sans" w:hAnsi="Google Sans"/>
          <w:color w:val="1f1f1f"/>
          <w:rtl w:val="0"/>
        </w:rPr>
        <w:t xml:space="preserve">. Trabalho de Conclusão de Curso (Graduação em Engenharia de Produção) – Universidade Federal do Paraná, Curitiba, 2021.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ASHOK, J. M. et al. Trade-Off Analysis of Agri-Food Systems for Sustainable Research and Development. </w:t>
      </w:r>
      <w:r w:rsidDel="00000000" w:rsidR="00000000" w:rsidRPr="00000000">
        <w:rPr>
          <w:rFonts w:ascii="Google Sans" w:cs="Google Sans" w:eastAsia="Google Sans" w:hAnsi="Google Sans"/>
          <w:i w:val="1"/>
          <w:iCs w:val="1"/>
          <w:color w:val="1f1f1f"/>
          <w:rtl w:val="0"/>
        </w:rPr>
        <w:t xml:space="preserve">Q Open</w:t>
      </w:r>
      <w:r w:rsidDel="00000000" w:rsidR="00000000" w:rsidRPr="00000000">
        <w:rPr>
          <w:rFonts w:ascii="Google Sans" w:cs="Google Sans" w:eastAsia="Google Sans" w:hAnsi="Google Sans"/>
          <w:color w:val="1f1f1f"/>
          <w:rtl w:val="0"/>
        </w:rPr>
        <w:t xml:space="preserve">, v. 1, p. qoaa005, 2025.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BALINTFY, J. L. Menu planning by computer. </w:t>
      </w:r>
      <w:r w:rsidDel="00000000" w:rsidR="00000000" w:rsidRPr="00000000">
        <w:rPr>
          <w:rFonts w:ascii="Google Sans" w:cs="Google Sans" w:eastAsia="Google Sans" w:hAnsi="Google Sans"/>
          <w:i w:val="1"/>
          <w:iCs w:val="1"/>
          <w:color w:val="1f1f1f"/>
          <w:rtl w:val="0"/>
        </w:rPr>
        <w:t xml:space="preserve">Communications of the ACM</w:t>
      </w:r>
      <w:r w:rsidDel="00000000" w:rsidR="00000000" w:rsidRPr="00000000">
        <w:rPr>
          <w:rFonts w:ascii="Google Sans" w:cs="Google Sans" w:eastAsia="Google Sans" w:hAnsi="Google Sans"/>
          <w:color w:val="1f1f1f"/>
          <w:rtl w:val="0"/>
        </w:rPr>
        <w:t xml:space="preserve">, Nova York, v. 7, n. 4, p. 255-259, 1964.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CARMO, C. R. S. et al. Modelo Matemático para Otimização de Cardápios e Dietas. </w:t>
      </w:r>
      <w:r w:rsidDel="00000000" w:rsidR="00000000" w:rsidRPr="00000000">
        <w:rPr>
          <w:rFonts w:ascii="Google Sans" w:cs="Google Sans" w:eastAsia="Google Sans" w:hAnsi="Google Sans"/>
          <w:i w:val="1"/>
          <w:iCs w:val="1"/>
          <w:color w:val="1f1f1f"/>
          <w:rtl w:val="0"/>
        </w:rPr>
        <w:t xml:space="preserve">Revista Ágora</w:t>
      </w:r>
      <w:r w:rsidDel="00000000" w:rsidR="00000000" w:rsidRPr="00000000">
        <w:rPr>
          <w:rFonts w:ascii="Google Sans" w:cs="Google Sans" w:eastAsia="Google Sans" w:hAnsi="Google Sans"/>
          <w:color w:val="1f1f1f"/>
          <w:rtl w:val="0"/>
        </w:rPr>
        <w:t xml:space="preserve">, Santa Cruz do Sul, v. 24, n. 2, 2022.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COLIN, E. </w:t>
      </w:r>
      <w:r w:rsidDel="00000000" w:rsidR="00000000" w:rsidRPr="00000000">
        <w:rPr>
          <w:rFonts w:ascii="Google Sans" w:cs="Google Sans" w:eastAsia="Google Sans" w:hAnsi="Google Sans"/>
          <w:i w:val="1"/>
          <w:iCs w:val="1"/>
          <w:color w:val="1f1f1f"/>
          <w:rtl w:val="0"/>
        </w:rPr>
        <w:t xml:space="preserve">Aplicação da Pesquisa Operacional para otimização do ganho nutricional nas refeições dos alunos de uma instituição de ensino</w:t>
      </w:r>
      <w:r w:rsidDel="00000000" w:rsidR="00000000" w:rsidRPr="00000000">
        <w:rPr>
          <w:rFonts w:ascii="Google Sans" w:cs="Google Sans" w:eastAsia="Google Sans" w:hAnsi="Google Sans"/>
          <w:color w:val="1f1f1f"/>
          <w:rtl w:val="0"/>
        </w:rPr>
        <w:t xml:space="preserve">. Tese Acadêmica. Instituto Federal de Minas Gerais, Bambuí, 2007.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DEMIR, H. Optimization of caper drying using response surface methodology and artificial neural networks for energy efficiency characteristics. </w:t>
      </w:r>
      <w:r w:rsidDel="00000000" w:rsidR="00000000" w:rsidRPr="00000000">
        <w:rPr>
          <w:rFonts w:ascii="Google Sans" w:cs="Google Sans" w:eastAsia="Google Sans" w:hAnsi="Google Sans"/>
          <w:i w:val="1"/>
          <w:iCs w:val="1"/>
          <w:color w:val="1f1f1f"/>
          <w:rtl w:val="0"/>
        </w:rPr>
        <w:t xml:space="preserve">Energies</w:t>
      </w:r>
      <w:r w:rsidDel="00000000" w:rsidR="00000000" w:rsidRPr="00000000">
        <w:rPr>
          <w:rFonts w:ascii="Google Sans" w:cs="Google Sans" w:eastAsia="Google Sans" w:hAnsi="Google Sans"/>
          <w:color w:val="1f1f1f"/>
          <w:rtl w:val="0"/>
        </w:rPr>
        <w:t xml:space="preserve">, v. 16, 2023.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DHOLVITAYAKHUN, A. Application of local search for optimal assignment of food exchange lists problem. </w:t>
      </w:r>
      <w:r w:rsidDel="00000000" w:rsidR="00000000" w:rsidRPr="00000000">
        <w:rPr>
          <w:rFonts w:ascii="Google Sans" w:cs="Google Sans" w:eastAsia="Google Sans" w:hAnsi="Google Sans"/>
          <w:i w:val="1"/>
          <w:iCs w:val="1"/>
          <w:color w:val="1f1f1f"/>
          <w:rtl w:val="0"/>
        </w:rPr>
        <w:t xml:space="preserve">International Journal of Computer Theory and Engineering</w:t>
      </w:r>
      <w:r w:rsidDel="00000000" w:rsidR="00000000" w:rsidRPr="00000000">
        <w:rPr>
          <w:rFonts w:ascii="Google Sans" w:cs="Google Sans" w:eastAsia="Google Sans" w:hAnsi="Google Sans"/>
          <w:color w:val="1f1f1f"/>
          <w:rtl w:val="0"/>
        </w:rPr>
        <w:t xml:space="preserve">, v. 6, p. 189, 2014.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DOGANIS, P.; SARIMVEIS, H. Optimal scheduling in a yogurt production line based on mixed integer linear programming. </w:t>
      </w:r>
      <w:r w:rsidDel="00000000" w:rsidR="00000000" w:rsidRPr="00000000">
        <w:rPr>
          <w:rFonts w:ascii="Google Sans" w:cs="Google Sans" w:eastAsia="Google Sans" w:hAnsi="Google Sans"/>
          <w:i w:val="1"/>
          <w:iCs w:val="1"/>
          <w:color w:val="1f1f1f"/>
          <w:rtl w:val="0"/>
        </w:rPr>
        <w:t xml:space="preserve">Journal of Food Engineering</w:t>
      </w:r>
      <w:r w:rsidDel="00000000" w:rsidR="00000000" w:rsidRPr="00000000">
        <w:rPr>
          <w:rFonts w:ascii="Google Sans" w:cs="Google Sans" w:eastAsia="Google Sans" w:hAnsi="Google Sans"/>
          <w:color w:val="1f1f1f"/>
          <w:rtl w:val="0"/>
        </w:rPr>
        <w:t xml:space="preserve">, v. 80, p. 445-453, 2007.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EVANGELISTA, J. </w:t>
      </w:r>
      <w:r w:rsidDel="00000000" w:rsidR="00000000" w:rsidRPr="00000000">
        <w:rPr>
          <w:rFonts w:ascii="Google Sans" w:cs="Google Sans" w:eastAsia="Google Sans" w:hAnsi="Google Sans"/>
          <w:i w:val="1"/>
          <w:iCs w:val="1"/>
          <w:color w:val="1f1f1f"/>
          <w:rtl w:val="0"/>
        </w:rPr>
        <w:t xml:space="preserve">Alimentos: um estudo abrangente</w:t>
      </w:r>
      <w:r w:rsidDel="00000000" w:rsidR="00000000" w:rsidRPr="00000000">
        <w:rPr>
          <w:rFonts w:ascii="Google Sans" w:cs="Google Sans" w:eastAsia="Google Sans" w:hAnsi="Google Sans"/>
          <w:color w:val="1f1f1f"/>
          <w:rtl w:val="0"/>
        </w:rPr>
        <w:t xml:space="preserve">. São Paulo: Atheneu, 2005.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GREENBERG, H. J. A Mathematical Programming System for Food Management Applications. </w:t>
      </w:r>
      <w:r w:rsidDel="00000000" w:rsidR="00000000" w:rsidRPr="00000000">
        <w:rPr>
          <w:rFonts w:ascii="Google Sans" w:cs="Google Sans" w:eastAsia="Google Sans" w:hAnsi="Google Sans"/>
          <w:i w:val="1"/>
          <w:iCs w:val="1"/>
          <w:color w:val="1f1f1f"/>
          <w:rtl w:val="0"/>
        </w:rPr>
        <w:t xml:space="preserve">Interfaces</w:t>
      </w:r>
      <w:r w:rsidDel="00000000" w:rsidR="00000000" w:rsidRPr="00000000">
        <w:rPr>
          <w:rFonts w:ascii="Google Sans" w:cs="Google Sans" w:eastAsia="Google Sans" w:hAnsi="Google Sans"/>
          <w:color w:val="1f1f1f"/>
          <w:rtl w:val="0"/>
        </w:rPr>
        <w:t xml:space="preserve">, v. 6, n. 1, p. 13-31, 1992.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GUE, R. L. A Reformulation of the Menu Planning Problem. </w:t>
      </w:r>
      <w:r w:rsidDel="00000000" w:rsidR="00000000" w:rsidRPr="00000000">
        <w:rPr>
          <w:rFonts w:ascii="Google Sans" w:cs="Google Sans" w:eastAsia="Google Sans" w:hAnsi="Google Sans"/>
          <w:i w:val="1"/>
          <w:iCs w:val="1"/>
          <w:color w:val="1f1f1f"/>
          <w:rtl w:val="0"/>
        </w:rPr>
        <w:t xml:space="preserve">IIE Transactions</w:t>
      </w:r>
      <w:r w:rsidDel="00000000" w:rsidR="00000000" w:rsidRPr="00000000">
        <w:rPr>
          <w:rFonts w:ascii="Google Sans" w:cs="Google Sans" w:eastAsia="Google Sans" w:hAnsi="Google Sans"/>
          <w:color w:val="1f1f1f"/>
          <w:rtl w:val="0"/>
        </w:rPr>
        <w:t xml:space="preserve">, v. 1, n. 2, p. 146-149, 1969.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HUI, Y. et al. Método para programação inteira de cardápios para pacientes com hipertensão arterial. </w:t>
      </w:r>
      <w:r w:rsidDel="00000000" w:rsidR="00000000" w:rsidRPr="00000000">
        <w:rPr>
          <w:rFonts w:ascii="Google Sans" w:cs="Google Sans" w:eastAsia="Google Sans" w:hAnsi="Google Sans"/>
          <w:i w:val="1"/>
          <w:iCs w:val="1"/>
          <w:color w:val="1f1f1f"/>
          <w:rtl w:val="0"/>
        </w:rPr>
        <w:t xml:space="preserve">Pesquisa Operacional Aplicada</w:t>
      </w:r>
      <w:r w:rsidDel="00000000" w:rsidR="00000000" w:rsidRPr="00000000">
        <w:rPr>
          <w:rFonts w:ascii="Google Sans" w:cs="Google Sans" w:eastAsia="Google Sans" w:hAnsi="Google Sans"/>
          <w:color w:val="1f1f1f"/>
          <w:rtl w:val="0"/>
        </w:rPr>
        <w:t xml:space="preserve">, 2021.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KILIC, O. A. et al. Intermediate product selection and blending in the food processing industry. </w:t>
      </w:r>
      <w:r w:rsidDel="00000000" w:rsidR="00000000" w:rsidRPr="00000000">
        <w:rPr>
          <w:rFonts w:ascii="Google Sans" w:cs="Google Sans" w:eastAsia="Google Sans" w:hAnsi="Google Sans"/>
          <w:i w:val="1"/>
          <w:iCs w:val="1"/>
          <w:color w:val="1f1f1f"/>
          <w:rtl w:val="0"/>
        </w:rPr>
        <w:t xml:space="preserve">International Journal of Production Research</w:t>
      </w:r>
      <w:r w:rsidDel="00000000" w:rsidR="00000000" w:rsidRPr="00000000">
        <w:rPr>
          <w:rFonts w:ascii="Google Sans" w:cs="Google Sans" w:eastAsia="Google Sans" w:hAnsi="Google Sans"/>
          <w:color w:val="1f1f1f"/>
          <w:rtl w:val="0"/>
        </w:rPr>
        <w:t xml:space="preserve">, v. 51, n. 1, p. 26-42, 2013.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KLEIN, A. et al. O desperdício de alimentos e suas soluções para as UANs. </w:t>
      </w:r>
      <w:r w:rsidDel="00000000" w:rsidR="00000000" w:rsidRPr="00000000">
        <w:rPr>
          <w:rFonts w:ascii="Google Sans" w:cs="Google Sans" w:eastAsia="Google Sans" w:hAnsi="Google Sans"/>
          <w:i w:val="1"/>
          <w:iCs w:val="1"/>
          <w:color w:val="1f1f1f"/>
          <w:rtl w:val="0"/>
        </w:rPr>
        <w:t xml:space="preserve">Research, Society and Development</w:t>
      </w:r>
      <w:r w:rsidDel="00000000" w:rsidR="00000000" w:rsidRPr="00000000">
        <w:rPr>
          <w:rFonts w:ascii="Google Sans" w:cs="Google Sans" w:eastAsia="Google Sans" w:hAnsi="Google Sans"/>
          <w:color w:val="1f1f1f"/>
          <w:rtl w:val="0"/>
        </w:rPr>
        <w:t xml:space="preserve">, v. 10, n. 12, 2021.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LANCASTER, K. A mathematical model of diet problem. </w:t>
      </w:r>
      <w:r w:rsidDel="00000000" w:rsidR="00000000" w:rsidRPr="00000000">
        <w:rPr>
          <w:rFonts w:ascii="Google Sans" w:cs="Google Sans" w:eastAsia="Google Sans" w:hAnsi="Google Sans"/>
          <w:i w:val="1"/>
          <w:iCs w:val="1"/>
          <w:color w:val="1f1f1f"/>
          <w:rtl w:val="0"/>
        </w:rPr>
        <w:t xml:space="preserve">Operations Research Literature</w:t>
      </w:r>
      <w:r w:rsidDel="00000000" w:rsidR="00000000" w:rsidRPr="00000000">
        <w:rPr>
          <w:rFonts w:ascii="Google Sans" w:cs="Google Sans" w:eastAsia="Google Sans" w:hAnsi="Google Sans"/>
          <w:color w:val="1f1f1f"/>
          <w:rtl w:val="0"/>
        </w:rPr>
        <w:t xml:space="preserve">, 1992.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MAKOWSKI, M. </w:t>
      </w:r>
      <w:r w:rsidDel="00000000" w:rsidR="00000000" w:rsidRPr="00000000">
        <w:rPr>
          <w:rFonts w:ascii="Google Sans" w:cs="Google Sans" w:eastAsia="Google Sans" w:hAnsi="Google Sans"/>
          <w:i w:val="1"/>
          <w:iCs w:val="1"/>
          <w:color w:val="1f1f1f"/>
          <w:rtl w:val="0"/>
        </w:rPr>
        <w:t xml:space="preserve">Methodology and a quantitative tool for multi-criteria analysis</w:t>
      </w:r>
      <w:r w:rsidDel="00000000" w:rsidR="00000000" w:rsidRPr="00000000">
        <w:rPr>
          <w:rFonts w:ascii="Google Sans" w:cs="Google Sans" w:eastAsia="Google Sans" w:hAnsi="Google Sans"/>
          <w:color w:val="1f1f1f"/>
          <w:rtl w:val="0"/>
        </w:rPr>
        <w:t xml:space="preserve">. Working Paper. IIASA, Laxenburg, 1994.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MARRERO, A. et al. A Memetic Decomposition-Based Multi-Objective Evolutionary Algorithm Applied to a Constrained Menu Planning Problem. </w:t>
      </w:r>
      <w:r w:rsidDel="00000000" w:rsidR="00000000" w:rsidRPr="00000000">
        <w:rPr>
          <w:rFonts w:ascii="Google Sans" w:cs="Google Sans" w:eastAsia="Google Sans" w:hAnsi="Google Sans"/>
          <w:i w:val="1"/>
          <w:iCs w:val="1"/>
          <w:color w:val="1f1f1f"/>
          <w:rtl w:val="0"/>
        </w:rPr>
        <w:t xml:space="preserve">Mathematics</w:t>
      </w:r>
      <w:r w:rsidDel="00000000" w:rsidR="00000000" w:rsidRPr="00000000">
        <w:rPr>
          <w:rFonts w:ascii="Google Sans" w:cs="Google Sans" w:eastAsia="Google Sans" w:hAnsi="Google Sans"/>
          <w:color w:val="1f1f1f"/>
          <w:rtl w:val="0"/>
        </w:rPr>
        <w:t xml:space="preserve">, v. 8, n. 11, p. 1960, 2020.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MARTOS-BARRACHINA, F. </w:t>
      </w:r>
      <w:r w:rsidDel="00000000" w:rsidR="00000000" w:rsidRPr="00000000">
        <w:rPr>
          <w:rFonts w:ascii="Google Sans" w:cs="Google Sans" w:eastAsia="Google Sans" w:hAnsi="Google Sans"/>
          <w:i w:val="1"/>
          <w:iCs w:val="1"/>
          <w:color w:val="1f1f1f"/>
          <w:rtl w:val="0"/>
        </w:rPr>
        <w:t xml:space="preserve">A re-examination of the MPP from a multiobjective optimization perspective</w:t>
      </w:r>
      <w:r w:rsidDel="00000000" w:rsidR="00000000" w:rsidRPr="00000000">
        <w:rPr>
          <w:rFonts w:ascii="Google Sans" w:cs="Google Sans" w:eastAsia="Google Sans" w:hAnsi="Google Sans"/>
          <w:color w:val="1f1f1f"/>
          <w:rtl w:val="0"/>
        </w:rPr>
        <w:t xml:space="preserve">. Tese de Doutorado – Universidad de Málaga, Málaga, 2025.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MELO, G. D.; CARMO, C. R. S. Otimização no suporte à tomada de decisões na seleção de carnes in natura em UANs. </w:t>
      </w:r>
      <w:r w:rsidDel="00000000" w:rsidR="00000000" w:rsidRPr="00000000">
        <w:rPr>
          <w:rFonts w:ascii="Google Sans" w:cs="Google Sans" w:eastAsia="Google Sans" w:hAnsi="Google Sans"/>
          <w:i w:val="1"/>
          <w:iCs w:val="1"/>
          <w:color w:val="1f1f1f"/>
          <w:rtl w:val="0"/>
        </w:rPr>
        <w:t xml:space="preserve">Latin American Journal of Business Management</w:t>
      </w:r>
      <w:r w:rsidDel="00000000" w:rsidR="00000000" w:rsidRPr="00000000">
        <w:rPr>
          <w:rFonts w:ascii="Google Sans" w:cs="Google Sans" w:eastAsia="Google Sans" w:hAnsi="Google Sans"/>
          <w:color w:val="1f1f1f"/>
          <w:rtl w:val="0"/>
        </w:rPr>
        <w:t xml:space="preserve">, Uberlândia, v. 11, 2021.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MOREIRA, M. C. O. et al. </w:t>
      </w:r>
      <w:r w:rsidDel="00000000" w:rsidR="00000000" w:rsidRPr="00000000">
        <w:rPr>
          <w:rFonts w:ascii="Google Sans" w:cs="Google Sans" w:eastAsia="Google Sans" w:hAnsi="Google Sans"/>
          <w:i w:val="1"/>
          <w:iCs w:val="1"/>
          <w:color w:val="1f1f1f"/>
          <w:rtl w:val="0"/>
        </w:rPr>
        <w:t xml:space="preserve">Algoritmos para o problema da geração de cardápios</w:t>
      </w:r>
      <w:r w:rsidDel="00000000" w:rsidR="00000000" w:rsidRPr="00000000">
        <w:rPr>
          <w:rFonts w:ascii="Google Sans" w:cs="Google Sans" w:eastAsia="Google Sans" w:hAnsi="Google Sans"/>
          <w:color w:val="1f1f1f"/>
          <w:rtl w:val="0"/>
        </w:rPr>
        <w:t xml:space="preserve">. Relatório de Pesquisa – Universidade Federal de Lavras, Lavras, 2018.</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NUTRIENTS. Eating Healthy, Growing Healthy: Outcome Evaluation of the Nutrition Education Program Optimizing the Nutritional Value of Preschool Menus, Poland. </w:t>
      </w:r>
      <w:r w:rsidDel="00000000" w:rsidR="00000000" w:rsidRPr="00000000">
        <w:rPr>
          <w:rFonts w:ascii="Google Sans" w:cs="Google Sans" w:eastAsia="Google Sans" w:hAnsi="Google Sans"/>
          <w:i w:val="1"/>
          <w:iCs w:val="1"/>
          <w:color w:val="1f1f1f"/>
          <w:rtl w:val="0"/>
        </w:rPr>
        <w:t xml:space="preserve">Nutrients</w:t>
      </w:r>
      <w:r w:rsidDel="00000000" w:rsidR="00000000" w:rsidRPr="00000000">
        <w:rPr>
          <w:rFonts w:ascii="Google Sans" w:cs="Google Sans" w:eastAsia="Google Sans" w:hAnsi="Google Sans"/>
          <w:color w:val="1f1f1f"/>
          <w:rtl w:val="0"/>
        </w:rPr>
        <w:t xml:space="preserve">, v. 11, p. 2438, 2019.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ONLINE. </w:t>
      </w:r>
      <w:r w:rsidDel="00000000" w:rsidR="00000000" w:rsidRPr="00000000">
        <w:rPr>
          <w:rFonts w:ascii="Google Sans" w:cs="Google Sans" w:eastAsia="Google Sans" w:hAnsi="Google Sans"/>
          <w:i w:val="1"/>
          <w:iCs w:val="1"/>
          <w:color w:val="1f1f1f"/>
          <w:rtl w:val="0"/>
        </w:rPr>
        <w:t xml:space="preserve">Robust flexible menu planning</w:t>
      </w:r>
      <w:r w:rsidDel="00000000" w:rsidR="00000000" w:rsidRPr="00000000">
        <w:rPr>
          <w:rFonts w:ascii="Google Sans" w:cs="Google Sans" w:eastAsia="Google Sans" w:hAnsi="Google Sans"/>
          <w:color w:val="1f1f1f"/>
          <w:rtl w:val="0"/>
        </w:rPr>
        <w:t xml:space="preserve">. E-print. Optimization Online Archive, abr. 2025.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ORUÇOĞLU, B. et al. Green hospitals: Mitigating water footprint and greenhouse gas emissions through sustainable menu planning. </w:t>
      </w:r>
      <w:r w:rsidDel="00000000" w:rsidR="00000000" w:rsidRPr="00000000">
        <w:rPr>
          <w:rFonts w:ascii="Google Sans" w:cs="Google Sans" w:eastAsia="Google Sans" w:hAnsi="Google Sans"/>
          <w:i w:val="1"/>
          <w:iCs w:val="1"/>
          <w:color w:val="1f1f1f"/>
          <w:rtl w:val="0"/>
        </w:rPr>
        <w:t xml:space="preserve">Food Science &amp; Nutrition</w:t>
      </w:r>
      <w:r w:rsidDel="00000000" w:rsidR="00000000" w:rsidRPr="00000000">
        <w:rPr>
          <w:rFonts w:ascii="Google Sans" w:cs="Google Sans" w:eastAsia="Google Sans" w:hAnsi="Google Sans"/>
          <w:color w:val="1f1f1f"/>
          <w:rtl w:val="0"/>
        </w:rPr>
        <w:t xml:space="preserve">, v. 12, n. 8, p. 5966-5978, 2024.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PERRIGNON, M. et al. The multi-objective data-driven approach: A route to drive performance optimization in the food industry. </w:t>
      </w:r>
      <w:r w:rsidDel="00000000" w:rsidR="00000000" w:rsidRPr="00000000">
        <w:rPr>
          <w:rFonts w:ascii="Google Sans" w:cs="Google Sans" w:eastAsia="Google Sans" w:hAnsi="Google Sans"/>
          <w:i w:val="1"/>
          <w:iCs w:val="1"/>
          <w:color w:val="1f1f1f"/>
          <w:rtl w:val="0"/>
        </w:rPr>
        <w:t xml:space="preserve">Trends in Food Science &amp; Technology</w:t>
      </w:r>
      <w:r w:rsidDel="00000000" w:rsidR="00000000" w:rsidRPr="00000000">
        <w:rPr>
          <w:rFonts w:ascii="Google Sans" w:cs="Google Sans" w:eastAsia="Google Sans" w:hAnsi="Google Sans"/>
          <w:color w:val="1f1f1f"/>
          <w:rtl w:val="0"/>
        </w:rPr>
        <w:t xml:space="preserve">, v. 152, 2024.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SELJAK, B. </w:t>
      </w:r>
      <w:r w:rsidDel="00000000" w:rsidR="00000000" w:rsidRPr="00000000">
        <w:rPr>
          <w:rFonts w:ascii="Google Sans" w:cs="Google Sans" w:eastAsia="Google Sans" w:hAnsi="Google Sans"/>
          <w:i w:val="1"/>
          <w:iCs w:val="1"/>
          <w:color w:val="1f1f1f"/>
          <w:rtl w:val="0"/>
        </w:rPr>
        <w:t xml:space="preserve">Computer-based dietary menu planning</w:t>
      </w:r>
      <w:r w:rsidDel="00000000" w:rsidR="00000000" w:rsidRPr="00000000">
        <w:rPr>
          <w:rFonts w:ascii="Google Sans" w:cs="Google Sans" w:eastAsia="Google Sans" w:hAnsi="Google Sans"/>
          <w:color w:val="1f1f1f"/>
          <w:rtl w:val="0"/>
        </w:rPr>
        <w:t xml:space="preserve">. Tese de Doutorado – Universidade de Ljubljana, Liubliana, 2009.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SILVA, R. et al. Otimização Multiobjetivo Aplicada ao Problema da Dieta para Portadores de Diabetes. </w:t>
      </w:r>
      <w:r w:rsidDel="00000000" w:rsidR="00000000" w:rsidRPr="00000000">
        <w:rPr>
          <w:rFonts w:ascii="Google Sans" w:cs="Google Sans" w:eastAsia="Google Sans" w:hAnsi="Google Sans"/>
          <w:i w:val="1"/>
          <w:iCs w:val="1"/>
          <w:color w:val="1f1f1f"/>
          <w:rtl w:val="0"/>
        </w:rPr>
        <w:t xml:space="preserve">Pesquisa Operacional</w:t>
      </w:r>
      <w:r w:rsidDel="00000000" w:rsidR="00000000" w:rsidRPr="00000000">
        <w:rPr>
          <w:rFonts w:ascii="Google Sans" w:cs="Google Sans" w:eastAsia="Google Sans" w:hAnsi="Google Sans"/>
          <w:color w:val="1f1f1f"/>
          <w:rtl w:val="0"/>
        </w:rPr>
        <w:t xml:space="preserve">, 2017.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SPAK, M. D. S. University restaurants menu planning using mathematical modeling. </w:t>
      </w:r>
      <w:r w:rsidDel="00000000" w:rsidR="00000000" w:rsidRPr="00000000">
        <w:rPr>
          <w:rFonts w:ascii="Google Sans" w:cs="Google Sans" w:eastAsia="Google Sans" w:hAnsi="Google Sans"/>
          <w:i w:val="1"/>
          <w:iCs w:val="1"/>
          <w:color w:val="1f1f1f"/>
          <w:rtl w:val="0"/>
        </w:rPr>
        <w:t xml:space="preserve">Journal of Food and Nutrition Research</w:t>
      </w:r>
      <w:r w:rsidDel="00000000" w:rsidR="00000000" w:rsidRPr="00000000">
        <w:rPr>
          <w:rFonts w:ascii="Google Sans" w:cs="Google Sans" w:eastAsia="Google Sans" w:hAnsi="Google Sans"/>
          <w:color w:val="1f1f1f"/>
          <w:rtl w:val="0"/>
        </w:rPr>
        <w:t xml:space="preserve">, v. 60, n. 1, p. 38-48, 2021.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TEMPELMEIER, H. Simultaneous lotsizing and scheduling problems: a classification and review of models. </w:t>
      </w:r>
      <w:r w:rsidDel="00000000" w:rsidR="00000000" w:rsidRPr="00000000">
        <w:rPr>
          <w:rFonts w:ascii="Google Sans" w:cs="Google Sans" w:eastAsia="Google Sans" w:hAnsi="Google Sans"/>
          <w:i w:val="1"/>
          <w:iCs w:val="1"/>
          <w:color w:val="1f1f1f"/>
          <w:rtl w:val="0"/>
        </w:rPr>
        <w:t xml:space="preserve">OR Spectrum</w:t>
      </w:r>
      <w:r w:rsidDel="00000000" w:rsidR="00000000" w:rsidRPr="00000000">
        <w:rPr>
          <w:rFonts w:ascii="Google Sans" w:cs="Google Sans" w:eastAsia="Google Sans" w:hAnsi="Google Sans"/>
          <w:color w:val="1f1f1f"/>
          <w:rtl w:val="0"/>
        </w:rPr>
        <w:t xml:space="preserve">, v. 39, p. 1-64, 2017.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TUFTS UNIVERSITY. Improving school lunch menus with multi-objective optimization: nutrition, cost, consumption and environmental impacts. </w:t>
      </w:r>
      <w:r w:rsidDel="00000000" w:rsidR="00000000" w:rsidRPr="00000000">
        <w:rPr>
          <w:rFonts w:ascii="Google Sans" w:cs="Google Sans" w:eastAsia="Google Sans" w:hAnsi="Google Sans"/>
          <w:i w:val="1"/>
          <w:iCs w:val="1"/>
          <w:color w:val="1f1f1f"/>
          <w:rtl w:val="0"/>
        </w:rPr>
        <w:t xml:space="preserve">Public Health Nutrition</w:t>
      </w:r>
      <w:r w:rsidDel="00000000" w:rsidR="00000000" w:rsidRPr="00000000">
        <w:rPr>
          <w:rFonts w:ascii="Google Sans" w:cs="Google Sans" w:eastAsia="Google Sans" w:hAnsi="Google Sans"/>
          <w:color w:val="1f1f1f"/>
          <w:rtl w:val="0"/>
        </w:rPr>
        <w:t xml:space="preserve">, Boston, v. 26, n. 1, 2023.</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WANG, R. et al. Province-specific sustainable diets in China considering nutrition, environment, affordability, and acceptability. </w:t>
      </w:r>
      <w:r w:rsidDel="00000000" w:rsidR="00000000" w:rsidRPr="00000000">
        <w:rPr>
          <w:rFonts w:ascii="Google Sans" w:cs="Google Sans" w:eastAsia="Google Sans" w:hAnsi="Google Sans"/>
          <w:i w:val="1"/>
          <w:iCs w:val="1"/>
          <w:color w:val="1f1f1f"/>
          <w:rtl w:val="0"/>
        </w:rPr>
        <w:t xml:space="preserve">Journal of Cleaner Production</w:t>
      </w:r>
      <w:r w:rsidDel="00000000" w:rsidR="00000000" w:rsidRPr="00000000">
        <w:rPr>
          <w:rFonts w:ascii="Google Sans" w:cs="Google Sans" w:eastAsia="Google Sans" w:hAnsi="Google Sans"/>
          <w:color w:val="1f1f1f"/>
          <w:rtl w:val="0"/>
        </w:rPr>
        <w:t xml:space="preserve">, v. 468, 2024.</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WILLIAMSON, C. Do the math: manage food waste with measurements. </w:t>
      </w:r>
      <w:r w:rsidDel="00000000" w:rsidR="00000000" w:rsidRPr="00000000">
        <w:rPr>
          <w:rFonts w:ascii="Google Sans" w:cs="Google Sans" w:eastAsia="Google Sans" w:hAnsi="Google Sans"/>
          <w:i w:val="1"/>
          <w:iCs w:val="1"/>
          <w:color w:val="1f1f1f"/>
          <w:rtl w:val="0"/>
        </w:rPr>
        <w:t xml:space="preserve">Food Safety News</w:t>
      </w:r>
      <w:r w:rsidDel="00000000" w:rsidR="00000000" w:rsidRPr="00000000">
        <w:rPr>
          <w:rFonts w:ascii="Google Sans" w:cs="Google Sans" w:eastAsia="Google Sans" w:hAnsi="Google Sans"/>
          <w:color w:val="1f1f1f"/>
          <w:rtl w:val="0"/>
        </w:rPr>
        <w:t xml:space="preserve">, 2016.</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XAVIER, L. et al. Dietas de baixa caloria e Otimização Inteira Não Linear. </w:t>
      </w:r>
      <w:r w:rsidDel="00000000" w:rsidR="00000000" w:rsidRPr="00000000">
        <w:rPr>
          <w:rFonts w:ascii="Google Sans" w:cs="Google Sans" w:eastAsia="Google Sans" w:hAnsi="Google Sans"/>
          <w:i w:val="1"/>
          <w:iCs w:val="1"/>
          <w:color w:val="1f1f1f"/>
          <w:rtl w:val="0"/>
        </w:rPr>
        <w:t xml:space="preserve">Sistemas e Gestão</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YILMAZ, S. et al. Reducing Food Waste in Campus Dining: A Data-Driven Approach to Demand Prediction and Sustainability. </w:t>
      </w:r>
      <w:r w:rsidDel="00000000" w:rsidR="00000000" w:rsidRPr="00000000">
        <w:rPr>
          <w:rFonts w:ascii="Google Sans" w:cs="Google Sans" w:eastAsia="Google Sans" w:hAnsi="Google Sans"/>
          <w:i w:val="1"/>
          <w:iCs w:val="1"/>
          <w:color w:val="1f1f1f"/>
          <w:rtl w:val="0"/>
        </w:rPr>
        <w:t xml:space="preserve">Sustainability</w:t>
      </w:r>
      <w:r w:rsidDel="00000000" w:rsidR="00000000" w:rsidRPr="00000000">
        <w:rPr>
          <w:rFonts w:ascii="Google Sans" w:cs="Google Sans" w:eastAsia="Google Sans" w:hAnsi="Google Sans"/>
          <w:color w:val="1f1f1f"/>
          <w:rtl w:val="0"/>
        </w:rPr>
        <w:t xml:space="preserve">, v. 17, n. 2, p. 379,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38.png"/><Relationship Id="rId41" Type="http://schemas.openxmlformats.org/officeDocument/2006/relationships/image" Target="media/image40.png"/><Relationship Id="rId44" Type="http://schemas.openxmlformats.org/officeDocument/2006/relationships/image" Target="media/image23.png"/><Relationship Id="rId43" Type="http://schemas.openxmlformats.org/officeDocument/2006/relationships/image" Target="media/image32.png"/><Relationship Id="rId46" Type="http://schemas.openxmlformats.org/officeDocument/2006/relationships/image" Target="media/image12.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46.png"/><Relationship Id="rId47" Type="http://schemas.openxmlformats.org/officeDocument/2006/relationships/image" Target="media/image33.pn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2.png"/><Relationship Id="rId8" Type="http://schemas.openxmlformats.org/officeDocument/2006/relationships/image" Target="media/image28.png"/><Relationship Id="rId31" Type="http://schemas.openxmlformats.org/officeDocument/2006/relationships/image" Target="media/image15.png"/><Relationship Id="rId30" Type="http://schemas.openxmlformats.org/officeDocument/2006/relationships/image" Target="media/image18.png"/><Relationship Id="rId33" Type="http://schemas.openxmlformats.org/officeDocument/2006/relationships/image" Target="media/image10.png"/><Relationship Id="rId32" Type="http://schemas.openxmlformats.org/officeDocument/2006/relationships/image" Target="media/image35.png"/><Relationship Id="rId35" Type="http://schemas.openxmlformats.org/officeDocument/2006/relationships/image" Target="media/image6.png"/><Relationship Id="rId34" Type="http://schemas.openxmlformats.org/officeDocument/2006/relationships/image" Target="media/image4.png"/><Relationship Id="rId37" Type="http://schemas.openxmlformats.org/officeDocument/2006/relationships/image" Target="media/image5.png"/><Relationship Id="rId36" Type="http://schemas.openxmlformats.org/officeDocument/2006/relationships/image" Target="media/image7.png"/><Relationship Id="rId39" Type="http://schemas.openxmlformats.org/officeDocument/2006/relationships/image" Target="media/image24.png"/><Relationship Id="rId38" Type="http://schemas.openxmlformats.org/officeDocument/2006/relationships/image" Target="media/image21.png"/><Relationship Id="rId20" Type="http://schemas.openxmlformats.org/officeDocument/2006/relationships/image" Target="media/image44.png"/><Relationship Id="rId22" Type="http://schemas.openxmlformats.org/officeDocument/2006/relationships/image" Target="media/image17.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19.png"/><Relationship Id="rId26" Type="http://schemas.openxmlformats.org/officeDocument/2006/relationships/image" Target="media/image16.png"/><Relationship Id="rId25" Type="http://schemas.openxmlformats.org/officeDocument/2006/relationships/image" Target="media/image27.png"/><Relationship Id="rId28" Type="http://schemas.openxmlformats.org/officeDocument/2006/relationships/image" Target="media/image8.png"/><Relationship Id="rId27" Type="http://schemas.openxmlformats.org/officeDocument/2006/relationships/image" Target="media/image14.png"/><Relationship Id="rId29" Type="http://schemas.openxmlformats.org/officeDocument/2006/relationships/image" Target="media/image11.png"/><Relationship Id="rId51" Type="http://schemas.openxmlformats.org/officeDocument/2006/relationships/image" Target="media/image36.png"/><Relationship Id="rId50" Type="http://schemas.openxmlformats.org/officeDocument/2006/relationships/image" Target="media/image34.png"/><Relationship Id="rId11" Type="http://schemas.openxmlformats.org/officeDocument/2006/relationships/image" Target="media/image31.png"/><Relationship Id="rId10" Type="http://schemas.openxmlformats.org/officeDocument/2006/relationships/image" Target="media/image26.png"/><Relationship Id="rId13" Type="http://schemas.openxmlformats.org/officeDocument/2006/relationships/image" Target="media/image37.png"/><Relationship Id="rId12" Type="http://schemas.openxmlformats.org/officeDocument/2006/relationships/image" Target="media/image29.png"/><Relationship Id="rId15" Type="http://schemas.openxmlformats.org/officeDocument/2006/relationships/image" Target="media/image41.png"/><Relationship Id="rId14" Type="http://schemas.openxmlformats.org/officeDocument/2006/relationships/image" Target="media/image9.png"/><Relationship Id="rId17" Type="http://schemas.openxmlformats.org/officeDocument/2006/relationships/image" Target="media/image20.png"/><Relationship Id="rId16" Type="http://schemas.openxmlformats.org/officeDocument/2006/relationships/image" Target="media/image39.png"/><Relationship Id="rId19" Type="http://schemas.openxmlformats.org/officeDocument/2006/relationships/image" Target="media/image4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