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de Software e Inteligência Artificial Aplicada: Fronteiras Tecnológicas na Otimização e Planejamento de Cardápios de Longo Prazo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Introdução à Arquitetura de Sistemas em Unidades de Alimentação e Nutrição (UAN)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evolução das Unidades de Alimentação e Nutrição (UAN) no transcorrer das últimas décadas transcendeu a mera gestão operacional de cozinhas industriais e refeitórios institucionais, consolidando-se progressivamente como um domínio de aplicação crítica para a Arquitetura de Software avançada e para a pesquisa contemporânea em Inteligência Artificial (IA). O planejamento de cardápios de longo prazo, inserido neste intrincado contexto, representa um dos desafios mais complexos e formidáveis da pesquisa operacional moderna. Historicamente, os sistemas de software projetados para o gerenciamento de UANs baseavam-se em arquiteturas monolíticas fundamentadas em bancos de dados relacionais estritos, cujas funcionalidades limitavam-se essencialmente a operações de Cadastro, Consulta, Atualização e Exclusão (CRUD) para o controle básico de estoque, gestão de compras e arquivamento de receituários estáticos. No entanto, a transição imperativa para plataformas orientadas a dados e arquiteturas distribuídas baseadas em microsserviços e computação em nuvem inaugurou uma nova era de sistemas de software prescritivos, preditivos e cognitivos.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cenário tecnológico contemporâneo, a elaboração de cardápios múltiplos, sejam eles estruturados em matrizes mensais ou semanais, deixou de ser interpretada como um mero problema de seleção heurística humana de alimentos. O problema transmutou-se formalmente em um vasto desafio de otimização estocástica combinatória, restrito por variáveis multidimensionais altamente sensíveis. Tais variáveis englobam a adequação nutricional rigorosa perante diretrizes de saúde pública e patologias individuais, as flutuações voláteis de custos de insumos na cadeia global de suprimentos, as preferências culturais dinâmicas de populações heterogêneas, a sazonalidade agrícola que afeta a disponibilidade de ingredientes e, impreterivelmente, as restrições operacionais rígidas, como a capacidade térmica de equipamentos, os tempos de preparo e a disponibilidade de mão de obra qualificada. A magnitude inerente a este ecossistema computacional exige o abandono definitivo de heurísticas empíricas fundamentadas na tentativa e erro humana em favor de modelagens matemáticas rigorosas e automatizadas.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engenharia de software aplicada à nutrição exige, portanto, o desenvolvimento de </w:t>
      </w:r>
      <w:r w:rsidDel="00000000" w:rsidR="00000000" w:rsidRPr="00000000">
        <w:rPr>
          <w:rFonts w:ascii="Google Sans" w:cs="Google Sans" w:eastAsia="Google Sans" w:hAnsi="Google Sans"/>
          <w:i w:val="1"/>
          <w:iCs w:val="1"/>
          <w:color w:val="1f1f1f"/>
          <w:rtl w:val="0"/>
        </w:rPr>
        <w:t xml:space="preserve">pipelines</w:t>
      </w:r>
      <w:r w:rsidDel="00000000" w:rsidR="00000000" w:rsidRPr="00000000">
        <w:rPr>
          <w:rFonts w:ascii="Google Sans" w:cs="Google Sans" w:eastAsia="Google Sans" w:hAnsi="Google Sans"/>
          <w:color w:val="1f1f1f"/>
          <w:rtl w:val="0"/>
        </w:rPr>
        <w:t xml:space="preserve"> de processamento de Big Data e modelos neuro-simbólicos capazes de explorar espaços de busca de dimensionalidade hiper-exponencial em tempo computacional hábil. O planejamento otimizado arquitetado por esses sistemas deve garantir a segurança alimentar e nutricional de milhares, ou até milhões, de comensais diariamente, alinhando-se simultaneamente a metas globais inegociáveis de sustentabilidade, como a mitigação do desperdício de alimentos. O desperdício alimentar, além de representar um passivo financeiro monumental para as operações de UAN, contribui criticamente para as emissões de gases de efeito estufa em aterros sanitários, transformando a assertividade do planejamento de cardápios em uma questão central de responsabilidade climática corporativa (Impact Analytics, 2023).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Desta maneira, o estado da arte na interseção entre a Ciência da Computação e a Nutrição estabelece que a solução não reside em um único algoritmo, mas em uma orquestração orquestrada de tecnologias. A integração sistêmica de meta-heurísticas bio-inspiradas para a geração do plano ótimo, algoritmos de aprendizado de máquina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para análises preditivas de consumo e modelos de aprendizado por reforço (</w:t>
      </w:r>
      <w:r w:rsidDel="00000000" w:rsidR="00000000" w:rsidRPr="00000000">
        <w:rPr>
          <w:rFonts w:ascii="Google Sans" w:cs="Google Sans" w:eastAsia="Google Sans" w:hAnsi="Google Sans"/>
          <w:i w:val="1"/>
          <w:iCs w:val="1"/>
          <w:color w:val="1f1f1f"/>
          <w:rtl w:val="0"/>
        </w:rPr>
        <w:t xml:space="preserve">Reinforcement Learning</w:t>
      </w:r>
      <w:r w:rsidDel="00000000" w:rsidR="00000000" w:rsidRPr="00000000">
        <w:rPr>
          <w:rFonts w:ascii="Google Sans" w:cs="Google Sans" w:eastAsia="Google Sans" w:hAnsi="Google Sans"/>
          <w:color w:val="1f1f1f"/>
          <w:rtl w:val="0"/>
        </w:rPr>
        <w:t xml:space="preserve">) para a calibração comportamental contínua baseada no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humano define a fronteira tecnológica absoluta da atualidade. O presente relatório de pesquisa examina exaustivamente as fundações teóricas, as metodologias algorítmicas implementadas, a complexidade matemática intrínseca e as tendências de ponta das denominadas </w:t>
      </w:r>
      <w:r w:rsidDel="00000000" w:rsidR="00000000" w:rsidRPr="00000000">
        <w:rPr>
          <w:rFonts w:ascii="Google Sans" w:cs="Google Sans" w:eastAsia="Google Sans" w:hAnsi="Google Sans"/>
          <w:i w:val="1"/>
          <w:iCs w:val="1"/>
          <w:color w:val="1f1f1f"/>
          <w:rtl w:val="0"/>
        </w:rPr>
        <w:t xml:space="preserve">Foodtechs</w:t>
      </w:r>
      <w:r w:rsidDel="00000000" w:rsidR="00000000" w:rsidRPr="00000000">
        <w:rPr>
          <w:rFonts w:ascii="Google Sans" w:cs="Google Sans" w:eastAsia="Google Sans" w:hAnsi="Google Sans"/>
          <w:color w:val="1f1f1f"/>
          <w:rtl w:val="0"/>
        </w:rPr>
        <w:t xml:space="preserve"> acadêmicas que estão redefinindo irreversivelmente a Arquitetura de Software voltada ao planejamento de cardápios e gestão de UANs.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Intratabilidade e a Complexidade Computacional do Planejamento de Cardápios Múltiplos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 Formulação Matemática e o Problema da Mochila Multidimensional (MDKP)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Teoria da Complexidade Computacional fornece o arcabouço matemático rigoroso e indispensável para classificar os problemas algorítmicos com base em sua dificuldade intrínseca e nos requisitos assintóticos de recursos tangíveis, nomeadamente o tempo de processamento da Unidade Central de Processamento (CPU) e a alocação de memória primária (Pinedo,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Problema de Planejamento de Cardápios Nutricionais (NMPP - </w:t>
      </w:r>
      <w:r w:rsidDel="00000000" w:rsidR="00000000" w:rsidRPr="00000000">
        <w:rPr>
          <w:rFonts w:ascii="Google Sans" w:cs="Google Sans" w:eastAsia="Google Sans" w:hAnsi="Google Sans"/>
          <w:i w:val="1"/>
          <w:iCs w:val="1"/>
          <w:color w:val="1f1f1f"/>
          <w:rtl w:val="0"/>
        </w:rPr>
        <w:t xml:space="preserve">Nutritional-Menu Planning Problem</w:t>
      </w:r>
      <w:r w:rsidDel="00000000" w:rsidR="00000000" w:rsidRPr="00000000">
        <w:rPr>
          <w:rFonts w:ascii="Google Sans" w:cs="Google Sans" w:eastAsia="Google Sans" w:hAnsi="Google Sans"/>
          <w:color w:val="1f1f1f"/>
          <w:rtl w:val="0"/>
        </w:rPr>
        <w:t xml:space="preserve">) é, em sua essência axiomática, um problema de otimização combinatória restrita de larga escala (Autor desconhecido, 2020).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Matematicamente, a arquitetura do NMPP pode ser mapeada com precisão topológica como uma extensão altamente restrita do Problema da Mochila Multidimensional (</w:t>
      </w:r>
      <w:r w:rsidDel="00000000" w:rsidR="00000000" w:rsidRPr="00000000">
        <w:rPr>
          <w:rFonts w:ascii="Google Sans" w:cs="Google Sans" w:eastAsia="Google Sans" w:hAnsi="Google Sans"/>
          <w:i w:val="1"/>
          <w:iCs w:val="1"/>
          <w:color w:val="1f1f1f"/>
          <w:rtl w:val="0"/>
        </w:rPr>
        <w:t xml:space="preserve">Multi-Dimensional Knapsack Problem</w:t>
      </w:r>
      <w:r w:rsidDel="00000000" w:rsidR="00000000" w:rsidRPr="00000000">
        <w:rPr>
          <w:rFonts w:ascii="Google Sans" w:cs="Google Sans" w:eastAsia="Google Sans" w:hAnsi="Google Sans"/>
          <w:color w:val="1f1f1f"/>
          <w:rtl w:val="0"/>
        </w:rPr>
        <w:t xml:space="preserve"> - MDKP) (Chu e Beasley, 1998).</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versão de decisão subjacente ao MDKP é classicamente e universalmente reconhecida como NP-Completa, o que impõe que sua versão de otimização correspondente seja classificada como fortemente NP-Difícil (</w:t>
      </w:r>
      <w:r w:rsidDel="00000000" w:rsidR="00000000" w:rsidRPr="00000000">
        <w:rPr>
          <w:rFonts w:ascii="Google Sans" w:cs="Google Sans" w:eastAsia="Google Sans" w:hAnsi="Google Sans"/>
          <w:i w:val="1"/>
          <w:iCs w:val="1"/>
          <w:color w:val="1f1f1f"/>
          <w:rtl w:val="0"/>
        </w:rPr>
        <w:t xml:space="preserve">NP-Hard</w:t>
      </w:r>
      <w:r w:rsidDel="00000000" w:rsidR="00000000" w:rsidRPr="00000000">
        <w:rPr>
          <w:rFonts w:ascii="Google Sans" w:cs="Google Sans" w:eastAsia="Google Sans" w:hAnsi="Google Sans"/>
          <w:color w:val="1f1f1f"/>
          <w:rtl w:val="0"/>
        </w:rPr>
        <w:t xml:space="preserve">) (Merdikawati et al., 2024; Autor desconhecido, 2023).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Para elucidar a origem dessa complexidade, postula-se a seguinte modelagem formal: seja um conjunto finito </w:t>
      </w:r>
      <w:r w:rsidDel="00000000" w:rsidR="00000000" w:rsidRPr="00000000">
        <w:rPr>
          <w:rFonts w:ascii="Google Sans" w:cs="Google Sans" w:eastAsia="Google Sans" w:hAnsi="Google Sans"/>
          <w:color w:val="1f1f1f"/>
        </w:rPr>
        <w:drawing>
          <wp:inline distB="19050" distT="19050" distL="19050" distR="19050">
            <wp:extent cx="1640977" cy="235334"/>
            <wp:effectExtent b="0" l="0" r="0" t="0"/>
            <wp:docPr id="2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640977" cy="235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representando a totalidade de alimentos e preparações culinárias cadastradas no banco de dados relacional ou no banco de dados orientado a documentos da UAN. Para arquitetar um plano de refeições que abranja um horizonte de planejamento temporal de </w:t>
      </w:r>
      <w:r w:rsidDel="00000000" w:rsidR="00000000" w:rsidRPr="00000000">
        <w:rPr>
          <w:rFonts w:ascii="Google Sans" w:cs="Google Sans" w:eastAsia="Google Sans" w:hAnsi="Google Sans"/>
          <w:color w:val="1f1f1f"/>
        </w:rPr>
        <w:drawing>
          <wp:inline distB="19050" distT="19050" distL="19050" distR="19050">
            <wp:extent cx="133350" cy="234950"/>
            <wp:effectExtent b="0" l="0" r="0" t="0"/>
            <wp:docPr id="3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333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dias discretos, com </w:t>
      </w:r>
      <w:r w:rsidDel="00000000" w:rsidR="00000000" w:rsidRPr="00000000">
        <w:rPr>
          <w:rFonts w:ascii="Google Sans" w:cs="Google Sans" w:eastAsia="Google Sans" w:hAnsi="Google Sans"/>
          <w:color w:val="1f1f1f"/>
        </w:rPr>
        <w:drawing>
          <wp:inline distB="19050" distT="19050" distL="19050" distR="19050">
            <wp:extent cx="198933" cy="237437"/>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98933" cy="237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instâncias de refeições por dia (por exemplo, desjejum, almoço, lanche, jantar e ceia), a modelagem matemática requer a definição de uma variável de decisão matricial binária ou inteira: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67495" cy="235103"/>
            <wp:effectExtent b="0" l="0" r="0" t="0"/>
            <wp:docPr id="33"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067495" cy="23510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Nesta formulação, o valor lógico </w:t>
      </w:r>
      <w:r w:rsidDel="00000000" w:rsidR="00000000" w:rsidRPr="00000000">
        <w:rPr>
          <w:rFonts w:ascii="Google Sans" w:cs="Google Sans" w:eastAsia="Google Sans" w:hAnsi="Google Sans"/>
          <w:color w:val="1f1f1f"/>
        </w:rPr>
        <w:drawing>
          <wp:inline distB="19050" distT="19050" distL="19050" distR="19050">
            <wp:extent cx="729159" cy="234599"/>
            <wp:effectExtent b="0" l="0" r="0" t="0"/>
            <wp:docPr id="32"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729159" cy="234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 peremptoriamente que o insumo ou prato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35"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foi selecionado pelo algoritmo para compor a refeição específica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34"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 dia temporal </w:t>
      </w:r>
      <w:r w:rsidDel="00000000" w:rsidR="00000000" w:rsidRPr="00000000">
        <w:rPr>
          <w:rFonts w:ascii="Google Sans" w:cs="Google Sans" w:eastAsia="Google Sans" w:hAnsi="Google Sans"/>
          <w:color w:val="1f1f1f"/>
        </w:rPr>
        <w:drawing>
          <wp:inline distB="19050" distT="19050" distL="19050" distR="19050">
            <wp:extent cx="66576" cy="246330"/>
            <wp:effectExtent b="0" l="0" r="0" t="0"/>
            <wp:docPr id="3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66576"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assumindo o valor </w:t>
      </w:r>
      <w:r w:rsidDel="00000000" w:rsidR="00000000" w:rsidRPr="00000000">
        <w:rPr>
          <w:rFonts w:ascii="Google Sans" w:cs="Google Sans" w:eastAsia="Google Sans" w:hAnsi="Google Sans"/>
          <w:color w:val="1f1f1f"/>
        </w:rPr>
        <w:drawing>
          <wp:inline distB="19050" distT="19050" distL="19050" distR="19050">
            <wp:extent cx="92273" cy="209153"/>
            <wp:effectExtent b="0" l="0" r="0" t="0"/>
            <wp:docPr id="3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92273" cy="209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 caso contrário. A função objetivo primária, na engenharia clássica do problema, tradicionalmente busca localizar o ponto de mínimo global para o custo total de aquisição </w:t>
      </w:r>
      <w:r w:rsidDel="00000000" w:rsidR="00000000" w:rsidRPr="00000000">
        <w:rPr>
          <w:rFonts w:ascii="Google Sans" w:cs="Google Sans" w:eastAsia="Google Sans" w:hAnsi="Google Sans"/>
          <w:color w:val="1f1f1f"/>
        </w:rPr>
        <w:drawing>
          <wp:inline distB="19050" distT="19050" distL="19050" distR="19050">
            <wp:extent cx="139105" cy="233949"/>
            <wp:effectExtent b="0" l="0" r="0" t="0"/>
            <wp:docPr id="40"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39105"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em arquiteturas mais modernas, visa a maximização da aceitabilidade sensorial ou a minimização da repetição monótona de pratos: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783881" cy="247880"/>
            <wp:effectExtent b="0" l="0" r="0" t="0"/>
            <wp:docPr id="38"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2783881" cy="24788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a viabilidade executável de qualquer solução estocástica ou determinística proposta é estritamente delimitada por um hiperplano multidimensional de restrições operacionais e fisiológicas. As restrições nutricionais, mandatórias para a validação do sistema, garantem que as metas macro e micronutricionais sejam perfeitamente atingidas. Para cada nutriente individual </w:t>
      </w:r>
      <w:r w:rsidDel="00000000" w:rsidR="00000000" w:rsidRPr="00000000">
        <w:rPr>
          <w:rFonts w:ascii="Google Sans" w:cs="Google Sans" w:eastAsia="Google Sans" w:hAnsi="Google Sans"/>
          <w:color w:val="1f1f1f"/>
        </w:rPr>
        <w:drawing>
          <wp:inline distB="19050" distT="19050" distL="19050" distR="19050">
            <wp:extent cx="496987" cy="235750"/>
            <wp:effectExtent b="0" l="0" r="0" t="0"/>
            <wp:docPr id="39"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496987" cy="235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(uma lista extensiva que abrange proteínas, aminoácidos essenciais, lipídios, carboidratos, sódio, ferro, vitamina C, entre dezenas de outros compostos bioquímicos), existem limites inferiores rigorosos (</w:t>
      </w:r>
      <w:r w:rsidDel="00000000" w:rsidR="00000000" w:rsidRPr="00000000">
        <w:rPr>
          <w:rFonts w:ascii="Google Sans" w:cs="Google Sans" w:eastAsia="Google Sans" w:hAnsi="Google Sans"/>
          <w:color w:val="1f1f1f"/>
        </w:rPr>
        <w:drawing>
          <wp:inline distB="19050" distT="19050" distL="19050" distR="19050">
            <wp:extent cx="205978" cy="230945"/>
            <wp:effectExtent b="0" l="0" r="0" t="0"/>
            <wp:docPr id="41"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205978" cy="2309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limites superiores de tolerabilidade toxicológica (</w:t>
      </w:r>
      <w:r w:rsidDel="00000000" w:rsidR="00000000" w:rsidRPr="00000000">
        <w:rPr>
          <w:rFonts w:ascii="Google Sans" w:cs="Google Sans" w:eastAsia="Google Sans" w:hAnsi="Google Sans"/>
          <w:color w:val="1f1f1f"/>
        </w:rPr>
        <w:drawing>
          <wp:inline distB="19050" distT="19050" distL="19050" distR="19050">
            <wp:extent cx="206375" cy="231391"/>
            <wp:effectExtent b="0" l="0" r="0" t="0"/>
            <wp:docPr id="42"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06375" cy="231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69864" cy="247526"/>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4169864" cy="24752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 Adição de Restrições de Precedência e a Explosão Combinatória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complexidade computacional assintótica do modelo escala de maneira dramática e não-linear quando os engenheiros de software introduzem as restrições de diversidade e, de forma mais crítica, as restrições de precedência lógica. Restrições de precedência são imposições temporais e de correlação cruzada inerentes à engenharia de cardápios reais. A introdução de regras lógicas que ditam, por exemplo, tempos de descongelamento prévios obrigatórios, métodos de cocção em duas fases interdependentes, ou heurísticas sensoriais que proíbem terminantemente servir a mesma fonte proteica principal (como carne bovina) em dias consecutivos ou no mesmo método de preparo (como duas frituras de imersão na mesma bandeja), frequentemente converte um problema de agendamento que seria solucionável dentro de um tempo polinomial </w:t>
      </w:r>
      <w:r w:rsidDel="00000000" w:rsidR="00000000" w:rsidRPr="00000000">
        <w:rPr>
          <w:rFonts w:ascii="Google Sans" w:cs="Google Sans" w:eastAsia="Google Sans" w:hAnsi="Google Sans"/>
          <w:color w:val="1f1f1f"/>
        </w:rPr>
        <w:drawing>
          <wp:inline distB="19050" distT="19050" distL="19050" distR="19050">
            <wp:extent cx="480417" cy="237006"/>
            <wp:effectExtent b="0" l="0" r="0" t="0"/>
            <wp:docPr id="44"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480417" cy="237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 um problema NP-Completo hermético (Informs, 2026; Autor desconhecido, 2023).</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Demonstrações analíticas formais na literatura acadêmica, valendo-se da redução metodológica de problemas clássicos, atestam irrevogavelmente a completude NP do problema de decisão subjacente ao NMPP estruturado com restrições temporais de preparo para o fluxo de cozinhas de larga escala (Autor desconhecido, 2023).</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explosão combinatória evidencia-se de forma empírica pela mera magnitude do espaço de estados possíveis. Suponha-se um cenário minimalista onde uma UAN possua um repositório restrito de apenas 50 opções de pratos proteicos principais, 30 tipos de guarnições farináceas e 40 variações de saladas. O planejamento matemático de um único almoço exige a escolha de um item de cada categoria taxonômica, gerando instantaneamente </w:t>
      </w:r>
      <w:r w:rsidDel="00000000" w:rsidR="00000000" w:rsidRPr="00000000">
        <w:rPr>
          <w:rFonts w:ascii="Google Sans" w:cs="Google Sans" w:eastAsia="Google Sans" w:hAnsi="Google Sans"/>
          <w:color w:val="1f1f1f"/>
        </w:rPr>
        <w:drawing>
          <wp:inline distB="19050" distT="19050" distL="19050" distR="19050">
            <wp:extent cx="1762030" cy="216278"/>
            <wp:effectExtent b="0" l="0" r="0" t="0"/>
            <wp:docPr id="45"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762030" cy="216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combinações possíveis. Para a extração de um planejamento mensal contínuo (</w:t>
      </w:r>
      <w:r w:rsidDel="00000000" w:rsidR="00000000" w:rsidRPr="00000000">
        <w:rPr>
          <w:rFonts w:ascii="Google Sans" w:cs="Google Sans" w:eastAsia="Google Sans" w:hAnsi="Google Sans"/>
          <w:color w:val="1f1f1f"/>
        </w:rPr>
        <w:drawing>
          <wp:inline distB="19050" distT="19050" distL="19050" distR="19050">
            <wp:extent cx="563662" cy="236994"/>
            <wp:effectExtent b="0" l="0" r="0" t="0"/>
            <wp:docPr id="46"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63662" cy="236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sob a premissa de que os dias são independentes na primeira iteração da árvore de busca, o número de permutações estruturais atingiria a cifra astronômica de </w:t>
      </w:r>
      <w:r w:rsidDel="00000000" w:rsidR="00000000" w:rsidRPr="00000000">
        <w:rPr>
          <w:rFonts w:ascii="Google Sans" w:cs="Google Sans" w:eastAsia="Google Sans" w:hAnsi="Google Sans"/>
          <w:color w:val="1f1f1f"/>
        </w:rPr>
        <w:drawing>
          <wp:inline distB="19050" distT="19050" distL="19050" distR="19050">
            <wp:extent cx="650578" cy="216859"/>
            <wp:effectExtent b="0" l="0" r="0" t="0"/>
            <wp:docPr id="47"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650578" cy="216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Qualquer algoritmo determinístico fundamentado em busca exaustiva cega (</w:t>
      </w:r>
      <w:r w:rsidDel="00000000" w:rsidR="00000000" w:rsidRPr="00000000">
        <w:rPr>
          <w:rFonts w:ascii="Google Sans" w:cs="Google Sans" w:eastAsia="Google Sans" w:hAnsi="Google Sans"/>
          <w:i w:val="1"/>
          <w:iCs w:val="1"/>
          <w:color w:val="1f1f1f"/>
          <w:rtl w:val="0"/>
        </w:rPr>
        <w:t xml:space="preserve">brute-force search</w:t>
      </w:r>
      <w:r w:rsidDel="00000000" w:rsidR="00000000" w:rsidRPr="00000000">
        <w:rPr>
          <w:rFonts w:ascii="Google Sans" w:cs="Google Sans" w:eastAsia="Google Sans" w:hAnsi="Google Sans"/>
          <w:color w:val="1f1f1f"/>
          <w:rtl w:val="0"/>
        </w:rPr>
        <w:t xml:space="preserve">) operaria com uma complexidade de tempo de </w:t>
      </w:r>
      <w:r w:rsidDel="00000000" w:rsidR="00000000" w:rsidRPr="00000000">
        <w:rPr>
          <w:rFonts w:ascii="Google Sans" w:cs="Google Sans" w:eastAsia="Google Sans" w:hAnsi="Google Sans"/>
          <w:color w:val="1f1f1f"/>
        </w:rPr>
        <w:drawing>
          <wp:inline distB="19050" distT="19050" distL="19050" distR="19050">
            <wp:extent cx="901006" cy="234769"/>
            <wp:effectExtent b="0" l="0" r="0" t="0"/>
            <wp:docPr id="48"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901006" cy="234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Essa complexidade de ordem exponencial ou fatorial torna a resolução ótima computacionalmente impraticável, excedendo a capacidade de processamento disponível mesmo em infraestruturas modernas de computação paralela distribuída, </w:t>
      </w:r>
      <w:r w:rsidDel="00000000" w:rsidR="00000000" w:rsidRPr="00000000">
        <w:rPr>
          <w:rFonts w:ascii="Google Sans" w:cs="Google Sans" w:eastAsia="Google Sans" w:hAnsi="Google Sans"/>
          <w:i w:val="1"/>
          <w:iCs w:val="1"/>
          <w:color w:val="1f1f1f"/>
          <w:rtl w:val="0"/>
        </w:rPr>
        <w:t xml:space="preserve">clusters</w:t>
      </w:r>
      <w:r w:rsidDel="00000000" w:rsidR="00000000" w:rsidRPr="00000000">
        <w:rPr>
          <w:rFonts w:ascii="Google Sans" w:cs="Google Sans" w:eastAsia="Google Sans" w:hAnsi="Google Sans"/>
          <w:color w:val="1f1f1f"/>
          <w:rtl w:val="0"/>
        </w:rPr>
        <w:t xml:space="preserve"> em nuvem elástica ou, presumivelmente, nas futuras gerações de computação quântica aplicadas a grafos densos.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Classes de Complexidade e a Inviabilidade de Algoritmos Exatos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classes de complexidade na ciência da computação expressam formalmente as delimitações teóricas dos requisitos de tempo de ciclo de CPU e alocação de memória no cenário de pior caso absoluto (Rintanj, 2016).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classificação categórica do planejamento de cardápios múltiplos como um problema de natureza NP-Difícil carrega uma implicação teórica profunda: denota que não existe nenhum algoritmo matemático exato conhecido que seja capaz de resolver todas as instâncias possíveis do problema em tempo polinomial. O tempo polinomial é o limite prático para a viabilidade em sistemas de software de produção.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necessidade latente e contínua de processar modelos arquiteturais que incorporam uma miríade de restrições operacionais interconectadas e requisitos fisiológicos estritos exige invariavelmente a transição dos paradigmas de busca exata para algoritmos baseados em heurísticas aproximativas de alta performance. O desenvolvimento e a aplicação de heurísticas polinomiais customizadas, tipicamente executadas na ordem assintótica de </w:t>
      </w:r>
      <w:r w:rsidDel="00000000" w:rsidR="00000000" w:rsidRPr="00000000">
        <w:rPr>
          <w:rFonts w:ascii="Google Sans" w:cs="Google Sans" w:eastAsia="Google Sans" w:hAnsi="Google Sans"/>
          <w:color w:val="1f1f1f"/>
        </w:rPr>
        <w:drawing>
          <wp:inline distB="19050" distT="19050" distL="19050" distR="19050">
            <wp:extent cx="635695" cy="235207"/>
            <wp:effectExtent b="0" l="0" r="0" t="0"/>
            <wp:docPr id="1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35695" cy="2352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demonstraram-se caminhos imperativos e pragmaticamente viáveis para a obtenção de soluções subótimas satisfatórias dentro de parâmetros industriais toleráveis de desvio relativo de custo e qualidade (Autor desconhecido, 2023).</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aceitação de soluções heurísticas marca a fronteira onde a engenharia de software pragmática suplanta a perfeição matemática inatingível.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de Complexidade Teórica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Definição Formal de Limites Assintóticos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Implicação Direta no Planejamento de Cardápios de 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 (Tempo Polinomial)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76575" cy="235488"/>
                  <wp:effectExtent b="0" l="0" r="0" t="0"/>
                  <wp:docPr id="2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476575" cy="23548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Algoritmos determinísticos exatos e rápidos. Aplicáveis unicamente a versões triviais, irrealistas ou excessivamente relaxadas do problema da dieta (e.g., ignorando limites superiores de toxicidade ou diversidade).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NP (Tempo Polinomial Não-Determinístico)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66850" cy="234950"/>
                  <wp:effectExtent b="0" l="0" r="0" t="0"/>
                  <wp:docPr id="2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1466850" cy="2349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solução estrutural proposta para um cardápio complexo (e.g., uma matriz mensal de receitas) pode ter todas as suas restrições nutricionais validadas e verificadas por um sistema avaliador em tempo computacional polinomial.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NP-Difícil (</w:t>
            </w:r>
            <w:r w:rsidDel="00000000" w:rsidR="00000000" w:rsidRPr="00000000">
              <w:rPr>
                <w:rFonts w:ascii="Google Sans" w:cs="Google Sans" w:eastAsia="Google Sans" w:hAnsi="Google Sans"/>
                <w:b w:val="1"/>
                <w:bCs w:val="1"/>
                <w:i w:val="1"/>
                <w:iCs w:val="1"/>
                <w:color w:val="1f1f1f"/>
                <w:rtl w:val="0"/>
              </w:rPr>
              <w:t xml:space="preserve">NP-Hard</w:t>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Otimização de problemas pelo menos tão complexos quanto os mais difíceis contidos na classe NP.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busca pela combinação exata e globalmente ótima, que minimize o custo e maximize a adequação de cardápios para longos períodos temporais, consumirá tempo de processamento exponencial, inviabilizando abordagens determinísticas.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 (Tempo Exponencial)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524495" cy="254083"/>
                  <wp:effectExtent b="0" l="0" r="0" t="0"/>
                  <wp:docPr id="2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524495" cy="25408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 demandado por métodos exatos baseados em varredura de árvores de decisão ou força-bruta iterativa, ao tentar processar e permutar todos os itens sobre </w:t>
            </w:r>
            <w:r w:rsidDel="00000000" w:rsidR="00000000" w:rsidRPr="00000000">
              <w:rPr>
                <w:rFonts w:ascii="Google Sans" w:cs="Google Sans" w:eastAsia="Google Sans" w:hAnsi="Google Sans"/>
                <w:color w:val="1f1f1f"/>
              </w:rPr>
              <w:drawing>
                <wp:inline distB="19050" distT="19050" distL="19050" distR="19050">
                  <wp:extent cx="133350" cy="234950"/>
                  <wp:effectExtent b="0" l="0" r="0" t="0"/>
                  <wp:docPr id="2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333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dias e </w:t>
            </w:r>
            <w:r w:rsidDel="00000000" w:rsidR="00000000" w:rsidRPr="00000000">
              <w:rPr>
                <w:rFonts w:ascii="Google Sans" w:cs="Google Sans" w:eastAsia="Google Sans" w:hAnsi="Google Sans"/>
                <w:color w:val="1f1f1f"/>
              </w:rPr>
              <w:drawing>
                <wp:inline distB="19050" distT="19050" distL="19050" distR="19050">
                  <wp:extent cx="198933" cy="237437"/>
                  <wp:effectExtent b="0" l="0" r="0" t="0"/>
                  <wp:docPr id="2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98933" cy="237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refeições. Inutilizável em sistemas de produção.</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Declínio e as Limitações Intrínsecas da Programação Linear Clássica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 Paradoxo do Algoritmo Simplex e Variáveis Fracionárias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Historicamente, o método matemático pioneiro adotado pela ciência para enfrentar a formulação computacional de dietas foi a Programação Linear (PL). Este conceito foi formalmente introduzido no campo da nutrição a partir do célebre "Problema da Dieta", formulado inicialmente pelo economista George Stigler na década de 1930 e posteriormente resolvido de forma iterativa algorítmica pelo aclamado Algoritmo Simplex, desenvolvido por George Dantzig (Dantzig, 1990).</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Modelos preliminares de PL buscaram contornar o esforço humano ao acelerar computacionalmente o processo de cálculo de restrições calóricas e financeiras através de equações e funções lineares contínuas (Autor desconhecido, 2017).</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a PL Clássica demonstra limitações operacionais severas e falhas arquiteturais críticas quando transposta diretamente para o núcleo de sistemas modernos e digitalizados de UANs 4.0. A falha primária reside na fundação teórica da PL: o modelo matemático assume intrinsecamente que todos os alimentos e insumos podem ser fracionados infinitamente (tratados como variáveis puramente contínuas no espaço real </w:t>
      </w:r>
      <w:r w:rsidDel="00000000" w:rsidR="00000000" w:rsidRPr="00000000">
        <w:rPr>
          <w:rFonts w:ascii="Google Sans" w:cs="Google Sans" w:eastAsia="Google Sans" w:hAnsi="Google Sans"/>
          <w:color w:val="1f1f1f"/>
        </w:rPr>
        <w:drawing>
          <wp:inline distB="19050" distT="19050" distL="19050" distR="19050">
            <wp:extent cx="133152" cy="228260"/>
            <wp:effectExtent b="0" l="0" r="0" t="0"/>
            <wp:docPr id="25"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3152"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 suposição resulta na geração de saídas computacionais que são matematicamente e financeiramente ótimas, mas gastronomicamente e logicamente bizarras para o consumo humano ou para o preparo industrial. Soluções clássicas frequentemente recomendam porções absurdas, como a instrução de servir 0,14 unidades de uma maçã combinadas com 2,37 gramas de filé de frango e 4,5 litros de leite, visando satisfazer as equações de restrição pelo menor custo monetário possível.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conversão arquitetural imediata para sanar essa anomalia é a implementação da Programação Linear Inteira Mista (</w:t>
      </w:r>
      <w:r w:rsidDel="00000000" w:rsidR="00000000" w:rsidRPr="00000000">
        <w:rPr>
          <w:rFonts w:ascii="Google Sans" w:cs="Google Sans" w:eastAsia="Google Sans" w:hAnsi="Google Sans"/>
          <w:i w:val="1"/>
          <w:iCs w:val="1"/>
          <w:color w:val="1f1f1f"/>
          <w:rtl w:val="0"/>
        </w:rPr>
        <w:t xml:space="preserve">Mixed-Integer Linear Programming</w:t>
      </w:r>
      <w:r w:rsidDel="00000000" w:rsidR="00000000" w:rsidRPr="00000000">
        <w:rPr>
          <w:rFonts w:ascii="Google Sans" w:cs="Google Sans" w:eastAsia="Google Sans" w:hAnsi="Google Sans"/>
          <w:color w:val="1f1f1f"/>
          <w:rtl w:val="0"/>
        </w:rPr>
        <w:t xml:space="preserve"> - MILP). A MILP força as variáveis de decisão de itens indivisíveis ou receitas padronizadas a assumirem valores inteiros estritos (ou binários), garantindo que as porções sejam discretas e factíveis. No entanto, a exigência de valores inteiros destrói a convexidade contínua do espaço de soluções, obrigando os </w:t>
      </w:r>
      <w:r w:rsidDel="00000000" w:rsidR="00000000" w:rsidRPr="00000000">
        <w:rPr>
          <w:rFonts w:ascii="Google Sans" w:cs="Google Sans" w:eastAsia="Google Sans" w:hAnsi="Google Sans"/>
          <w:i w:val="1"/>
          <w:iCs w:val="1"/>
          <w:color w:val="1f1f1f"/>
          <w:rtl w:val="0"/>
        </w:rPr>
        <w:t xml:space="preserve">solvers</w:t>
      </w:r>
      <w:r w:rsidDel="00000000" w:rsidR="00000000" w:rsidRPr="00000000">
        <w:rPr>
          <w:rFonts w:ascii="Google Sans" w:cs="Google Sans" w:eastAsia="Google Sans" w:hAnsi="Google Sans"/>
          <w:color w:val="1f1f1f"/>
          <w:rtl w:val="0"/>
        </w:rPr>
        <w:t xml:space="preserve"> computacionais a recorrerem a algoritmos baseados em ramificação e limites (</w:t>
      </w:r>
      <w:r w:rsidDel="00000000" w:rsidR="00000000" w:rsidRPr="00000000">
        <w:rPr>
          <w:rFonts w:ascii="Google Sans" w:cs="Google Sans" w:eastAsia="Google Sans" w:hAnsi="Google Sans"/>
          <w:i w:val="1"/>
          <w:iCs w:val="1"/>
          <w:color w:val="1f1f1f"/>
          <w:rtl w:val="0"/>
        </w:rPr>
        <w:t xml:space="preserve">Branch and Bound</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Branch and Cut</w:t>
      </w:r>
      <w:r w:rsidDel="00000000" w:rsidR="00000000" w:rsidRPr="00000000">
        <w:rPr>
          <w:rFonts w:ascii="Google Sans" w:cs="Google Sans" w:eastAsia="Google Sans" w:hAnsi="Google Sans"/>
          <w:color w:val="1f1f1f"/>
          <w:rtl w:val="0"/>
        </w:rPr>
        <w:t xml:space="preserve">). Estes métodos particionam iterativamente o espaço de busca em árvores de decisão que crescem exponencialmente. Conforme demonstrado em aplicações homólogas na manufatura aditiva e convencional de suprimentos complexos com características dinâmicas, a estrutura MILP deteriora rapidamente o desempenho do processador perante restrições de múltiplos períodos, tornando-se inutilizável para o planejamento ágil em larga escala exigido pelas cadeias de suprimentos alimentícios e controle de paradas (Chaudhuri et al., 2020).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complexidade exata da MILP transforma o planejamento rápido de um cardápio dinâmico em uma barreira de processamento inaceitável.</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As Limitações da Programação por Metas e Formulações Dinâmicas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remediar as limitações crônicas da otimização de função objetivo única típica da PL — que tradicionalmente foca de forma míope apenas na obtenção do menor custo financeiro possível, marginalizando a palatabilidade, a sazonalidade e a variedade visual —, os arquitetos de sistemas implementaram a técnica de Programação por Metas (</w:t>
      </w:r>
      <w:r w:rsidDel="00000000" w:rsidR="00000000" w:rsidRPr="00000000">
        <w:rPr>
          <w:rFonts w:ascii="Google Sans" w:cs="Google Sans" w:eastAsia="Google Sans" w:hAnsi="Google Sans"/>
          <w:i w:val="1"/>
          <w:iCs w:val="1"/>
          <w:color w:val="1f1f1f"/>
          <w:rtl w:val="0"/>
        </w:rPr>
        <w:t xml:space="preserve">Goal Programming</w:t>
      </w:r>
      <w:r w:rsidDel="00000000" w:rsidR="00000000" w:rsidRPr="00000000">
        <w:rPr>
          <w:rFonts w:ascii="Google Sans" w:cs="Google Sans" w:eastAsia="Google Sans" w:hAnsi="Google Sans"/>
          <w:color w:val="1f1f1f"/>
          <w:rtl w:val="0"/>
        </w:rPr>
        <w:t xml:space="preserve"> - GP). A estruturação da GP permite a formulação de abordagens multi-objetivo baseadas na minimização dos desvios absolutos ou percentuais em relação a múltiplos alvos ideais estipulados por especialistas (Anderson e Earle, 1983).</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método evoluiu substancialmente para a Programação Dinâmica por Metas (</w:t>
      </w:r>
      <w:r w:rsidDel="00000000" w:rsidR="00000000" w:rsidRPr="00000000">
        <w:rPr>
          <w:rFonts w:ascii="Google Sans" w:cs="Google Sans" w:eastAsia="Google Sans" w:hAnsi="Google Sans"/>
          <w:i w:val="1"/>
          <w:iCs w:val="1"/>
          <w:color w:val="1f1f1f"/>
          <w:rtl w:val="0"/>
        </w:rPr>
        <w:t xml:space="preserve">Dynamic Goal Programming</w:t>
      </w:r>
      <w:r w:rsidDel="00000000" w:rsidR="00000000" w:rsidRPr="00000000">
        <w:rPr>
          <w:rFonts w:ascii="Google Sans" w:cs="Google Sans" w:eastAsia="Google Sans" w:hAnsi="Google Sans"/>
          <w:color w:val="1f1f1f"/>
          <w:rtl w:val="0"/>
        </w:rPr>
        <w:t xml:space="preserve"> - DGP), uma abordagem conceitual que procurou avaliar e controlar o comportamento e a variância dos objetivos nutricionais iterativamente ao longo do período temporal de planejamento interdiário, e não apenas nos valores somatórios finais do mês (Jridi et al., 2018).</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do inequívoco mérito conceitual dessas abordagens, tanto a GP quanto as abstrações baseadas em modelos matemáticos conservadores de otimização robusta propostas na literatura contemporânea para lidar com a incerteza de nutrientes e insumos (Vasilakakis e Giannikos, 2023)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padecem de uma rigidez sintática fatal perante as operações orgânicas. A maior restrição arquitetural da PL e da GP é a incapacidade matemática de lidar eficientemente com substituições de ingredientes não-lineares, funções de utilidade de aceitação de usuários altamente não-convexas (como preferências interativas complexas, interações sinérgicas entre sabores e aversões alimentares contextuais), e a ausência estrutural de mecanismos para mitigação direta das incertezas dinâmicas da flutuação da demanda de comensais. Observou-se na literatura especializada que matrizes de GP e PL requerem intervenção manual exaustiva e ininterrupta por parte dos desenvolvedores e nutricionistas para a reconfiguração arbitrária de pesos e penalidades quando soluções inviáveis ou indesejadas emergem dos cálculos dos </w:t>
      </w:r>
      <w:r w:rsidDel="00000000" w:rsidR="00000000" w:rsidRPr="00000000">
        <w:rPr>
          <w:rFonts w:ascii="Google Sans" w:cs="Google Sans" w:eastAsia="Google Sans" w:hAnsi="Google Sans"/>
          <w:i w:val="1"/>
          <w:iCs w:val="1"/>
          <w:color w:val="1f1f1f"/>
          <w:rtl w:val="0"/>
        </w:rPr>
        <w:t xml:space="preserve">solvers</w:t>
      </w:r>
      <w:r w:rsidDel="00000000" w:rsidR="00000000" w:rsidRPr="00000000">
        <w:rPr>
          <w:rFonts w:ascii="Google Sans" w:cs="Google Sans" w:eastAsia="Google Sans" w:hAnsi="Google Sans"/>
          <w:color w:val="1f1f1f"/>
          <w:rtl w:val="0"/>
        </w:rPr>
        <w:t xml:space="preserve"> comerciais (Dollahite et al., 1995).</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Tais anomalias, como a repetição exaustiva de ingredientes baratos como repolho e feijão durante todos os dias úteis, evidenciam que o modelo matemático linear é incapaz de capturar a semântica estética da gastronomia. O colapso arquitetural prático da PL e da MILP na escala de operações das UANs modernas induziu o redirecionamento absoluto da computação nutricional para o vasto e flexível campo das Meta-heurísticas Estocásticas.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Triunfo Estratégico das Meta-heurísticas na Elaboração de Cardápios Complexos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meta-heurísticas configuram um estrato superior na taxonomia dos algoritmos de busca estocástica, projetados especificamente para navegar com fluidez em espaços de busca não-diferenciáveis, altamente não-convexos e de dimensionalidade vertiginosa. Em contraste absoluto com os </w:t>
      </w:r>
      <w:r w:rsidDel="00000000" w:rsidR="00000000" w:rsidRPr="00000000">
        <w:rPr>
          <w:rFonts w:ascii="Google Sans" w:cs="Google Sans" w:eastAsia="Google Sans" w:hAnsi="Google Sans"/>
          <w:i w:val="1"/>
          <w:iCs w:val="1"/>
          <w:color w:val="1f1f1f"/>
          <w:rtl w:val="0"/>
        </w:rPr>
        <w:t xml:space="preserve">solvers</w:t>
      </w:r>
      <w:r w:rsidDel="00000000" w:rsidR="00000000" w:rsidRPr="00000000">
        <w:rPr>
          <w:rFonts w:ascii="Google Sans" w:cs="Google Sans" w:eastAsia="Google Sans" w:hAnsi="Google Sans"/>
          <w:color w:val="1f1f1f"/>
          <w:rtl w:val="0"/>
        </w:rPr>
        <w:t xml:space="preserve"> lineares clássicos e métodos de busca cega, as meta-heurísticas incorporam mecanismos probabilísticos intrínsecos que permitem evitar as temíveis armadilhas matemáticas dos ótimos locais, aproximando-se assintoticamente do ótimo global em tempos de execução computacional que respeitam janelas operacionais críticas. A literatura de engenharia contemporânea divide amplamente este campo de atuação em algoritmos evolutivos (baseados na biologia populacional) e algoritmos de inteligência de enxames (</w:t>
      </w:r>
      <w:r w:rsidDel="00000000" w:rsidR="00000000" w:rsidRPr="00000000">
        <w:rPr>
          <w:rFonts w:ascii="Google Sans" w:cs="Google Sans" w:eastAsia="Google Sans" w:hAnsi="Google Sans"/>
          <w:i w:val="1"/>
          <w:iCs w:val="1"/>
          <w:color w:val="1f1f1f"/>
          <w:rtl w:val="0"/>
        </w:rPr>
        <w:t xml:space="preserve">Swarm Intelligence</w:t>
      </w:r>
      <w:r w:rsidDel="00000000" w:rsidR="00000000" w:rsidRPr="00000000">
        <w:rPr>
          <w:rFonts w:ascii="Google Sans" w:cs="Google Sans" w:eastAsia="Google Sans" w:hAnsi="Google Sans"/>
          <w:color w:val="1f1f1f"/>
          <w:rtl w:val="0"/>
        </w:rPr>
        <w:t xml:space="preserve">, baseados na sociobiologia e etologia animal).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Algoritmos Genéticos (GA): Computação Evolutiva e Convergência Multi-objetivo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 Algoritmos Genéticos (GAs) empregam como fundação algorítmica os postulados biológicos centrais de Charles Darwin sobre a seleção natural, herança e variabilidade genética para "evoluir" computacionalmente grandes populações iterativas de cardápios candidatos ao longo de sucessivas gerações simuladas no tempo de CPU. Na modelagem arquitetural abstrata de um GA aplicado ao agendamento mensal dinâmico de UANs, o arquiteto de software projeta uma representação cromossômica vetorial ou matricial complexa. Nesta matriz estrutural, cada "gene" individual atua como um ponteiro de memória que codifica o identificador numérico único de uma receita ou de um insumo específico alocado programaticamente para um dia no calendário e uma refeição temporal particulares (Autor desconhecido, 2022).</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avaliação destas soluções é gerida pela função de adequação (</w:t>
      </w:r>
      <w:r w:rsidDel="00000000" w:rsidR="00000000" w:rsidRPr="00000000">
        <w:rPr>
          <w:rFonts w:ascii="Google Sans" w:cs="Google Sans" w:eastAsia="Google Sans" w:hAnsi="Google Sans"/>
          <w:i w:val="1"/>
          <w:iCs w:val="1"/>
          <w:color w:val="1f1f1f"/>
          <w:rtl w:val="0"/>
        </w:rPr>
        <w:t xml:space="preserve">fitness function</w:t>
      </w:r>
      <w:r w:rsidDel="00000000" w:rsidR="00000000" w:rsidRPr="00000000">
        <w:rPr>
          <w:rFonts w:ascii="Google Sans" w:cs="Google Sans" w:eastAsia="Google Sans" w:hAnsi="Google Sans"/>
          <w:color w:val="1f1f1f"/>
          <w:rtl w:val="0"/>
        </w:rPr>
        <w:t xml:space="preserve">), um modelo matemático determinístico que atua como o ambiente seletivo impiedoso. A função </w:t>
      </w:r>
      <w:r w:rsidDel="00000000" w:rsidR="00000000" w:rsidRPr="00000000">
        <w:rPr>
          <w:rFonts w:ascii="Google Sans" w:cs="Google Sans" w:eastAsia="Google Sans" w:hAnsi="Google Sans"/>
          <w:i w:val="1"/>
          <w:iCs w:val="1"/>
          <w:color w:val="1f1f1f"/>
          <w:rtl w:val="0"/>
        </w:rPr>
        <w:t xml:space="preserve">fitness</w:t>
      </w:r>
      <w:r w:rsidDel="00000000" w:rsidR="00000000" w:rsidRPr="00000000">
        <w:rPr>
          <w:rFonts w:ascii="Google Sans" w:cs="Google Sans" w:eastAsia="Google Sans" w:hAnsi="Google Sans"/>
          <w:color w:val="1f1f1f"/>
          <w:rtl w:val="0"/>
        </w:rPr>
        <w:t xml:space="preserve"> é formulada não apenas para recompensar quantitativamente a aderência rígida às cotas nutricionais diárias, mas atua sendo intensamente penalizada de forma exponencial pela violação de restrições lógicas de compatibilidade flexível. Por exemplo, a função penaliza a combinação não ergonômica de pratos principais e guarnições que possuam a mesma cor predominante, a mesma textura sensorial ou que exijam métodos de cocção incompatíveis no mesmo turno operacional limitando os recursos dos fornos industriais (Toledo et al., 2019).</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Os candidatos a cardápios com maior pontuação </w:t>
      </w:r>
      <w:r w:rsidDel="00000000" w:rsidR="00000000" w:rsidRPr="00000000">
        <w:rPr>
          <w:rFonts w:ascii="Google Sans" w:cs="Google Sans" w:eastAsia="Google Sans" w:hAnsi="Google Sans"/>
          <w:i w:val="1"/>
          <w:iCs w:val="1"/>
          <w:color w:val="1f1f1f"/>
          <w:rtl w:val="0"/>
        </w:rPr>
        <w:t xml:space="preserve">fitness</w:t>
      </w:r>
      <w:r w:rsidDel="00000000" w:rsidR="00000000" w:rsidRPr="00000000">
        <w:rPr>
          <w:rFonts w:ascii="Google Sans" w:cs="Google Sans" w:eastAsia="Google Sans" w:hAnsi="Google Sans"/>
          <w:color w:val="1f1f1f"/>
          <w:rtl w:val="0"/>
        </w:rPr>
        <w:t xml:space="preserve"> sobrevivem para repassar sua estrutura combinatória para as próximas iterações.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tendência inquestionavelmente robusta do estado da arte baseia-se na formulação explícita do MDKP resolvida não de forma agregada, mas através de variações bi-objetivo ou puramente multi-objetivo do GA. Modelos arquiteturais como o internacionalmente referenciado NSGA-II (</w:t>
      </w:r>
      <w:r w:rsidDel="00000000" w:rsidR="00000000" w:rsidRPr="00000000">
        <w:rPr>
          <w:rFonts w:ascii="Google Sans" w:cs="Google Sans" w:eastAsia="Google Sans" w:hAnsi="Google Sans"/>
          <w:i w:val="1"/>
          <w:iCs w:val="1"/>
          <w:color w:val="1f1f1f"/>
          <w:rtl w:val="0"/>
        </w:rPr>
        <w:t xml:space="preserve">Non-dominated Sorting Genetic Algorithm II</w:t>
      </w:r>
      <w:r w:rsidDel="00000000" w:rsidR="00000000" w:rsidRPr="00000000">
        <w:rPr>
          <w:rFonts w:ascii="Google Sans" w:cs="Google Sans" w:eastAsia="Google Sans" w:hAnsi="Google Sans"/>
          <w:color w:val="1f1f1f"/>
          <w:rtl w:val="0"/>
        </w:rPr>
        <w:t xml:space="preserve">) propiciam a construção matemática computacional da chamada fronteira de Pareto-ótima (Chu e Beasley, 1998).</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abordagem permite a avaliação paralela de soluções sem forçar a agregação de custos e qualidades em uma única métrica escalar. O avanço metodológico do algoritmo memético multi-objetivo baseado em decomposição estrutural (MOEA/D), frequentemente integrado modularmente a heurísticas subsidiárias de buscas locais iteradas (</w:t>
      </w:r>
      <w:r w:rsidDel="00000000" w:rsidR="00000000" w:rsidRPr="00000000">
        <w:rPr>
          <w:rFonts w:ascii="Google Sans" w:cs="Google Sans" w:eastAsia="Google Sans" w:hAnsi="Google Sans"/>
          <w:i w:val="1"/>
          <w:iCs w:val="1"/>
          <w:color w:val="1f1f1f"/>
          <w:rtl w:val="0"/>
        </w:rPr>
        <w:t xml:space="preserve">Iterated Local Search</w:t>
      </w:r>
      <w:r w:rsidDel="00000000" w:rsidR="00000000" w:rsidRPr="00000000">
        <w:rPr>
          <w:rFonts w:ascii="Google Sans" w:cs="Google Sans" w:eastAsia="Google Sans" w:hAnsi="Google Sans"/>
          <w:color w:val="1f1f1f"/>
          <w:rtl w:val="0"/>
        </w:rPr>
        <w:t xml:space="preserve"> - ILS), demonstrou uma superioridade analítica esmagadora ao resolver o problema restrito de cardápios visando minimizar simultaneamente os custos logísticos de compras e o grau indesejado de repetição monótona de grupos alimentares específicos nas estruturas de refeitórios (Autor desconhecido, 2020).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Ao promover algoritimicamente uma diversidade genômica implícita tanto no espaço teórico de funções objetivo quanto no espaço prático das variáveis de decisão, o GA-MOEA/D evita a estagnação genética precoce. Além disso, operadores customizados de "cruzamento" (</w:t>
      </w:r>
      <w:r w:rsidDel="00000000" w:rsidR="00000000" w:rsidRPr="00000000">
        <w:rPr>
          <w:rFonts w:ascii="Google Sans" w:cs="Google Sans" w:eastAsia="Google Sans" w:hAnsi="Google Sans"/>
          <w:i w:val="1"/>
          <w:iCs w:val="1"/>
          <w:color w:val="1f1f1f"/>
          <w:rtl w:val="0"/>
        </w:rPr>
        <w:t xml:space="preserve">crossover</w:t>
      </w:r>
      <w:r w:rsidDel="00000000" w:rsidR="00000000" w:rsidRPr="00000000">
        <w:rPr>
          <w:rFonts w:ascii="Google Sans" w:cs="Google Sans" w:eastAsia="Google Sans" w:hAnsi="Google Sans"/>
          <w:color w:val="1f1f1f"/>
          <w:rtl w:val="0"/>
        </w:rPr>
        <w:t xml:space="preserve">) desenvolvidos sob medida para UANs garantem rigidamente que a troca randômica de segmentos e padrões temporais de cardápio entre duas soluções-pai preservará obrigatoriamente a validade sintática temporal e a coesão nutricional contínua dos "filhos" gerados (Magyar et al., 2000).</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Têmpera Simulada (Simulated Annealing - SA) e o Poder das Arquiteturas Híbridas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algoritmo de Têmpera Simulada ou Resfriamento Simulado (</w:t>
      </w:r>
      <w:r w:rsidDel="00000000" w:rsidR="00000000" w:rsidRPr="00000000">
        <w:rPr>
          <w:rFonts w:ascii="Google Sans" w:cs="Google Sans" w:eastAsia="Google Sans" w:hAnsi="Google Sans"/>
          <w:i w:val="1"/>
          <w:iCs w:val="1"/>
          <w:color w:val="1f1f1f"/>
          <w:rtl w:val="0"/>
        </w:rPr>
        <w:t xml:space="preserve">Simulated Annealing</w:t>
      </w:r>
      <w:r w:rsidDel="00000000" w:rsidR="00000000" w:rsidRPr="00000000">
        <w:rPr>
          <w:rFonts w:ascii="Google Sans" w:cs="Google Sans" w:eastAsia="Google Sans" w:hAnsi="Google Sans"/>
          <w:color w:val="1f1f1f"/>
          <w:rtl w:val="0"/>
        </w:rPr>
        <w:t xml:space="preserve"> - SA) constitui uma meta-heurística probabilística de busca em trajetória ou ponto único, enraizada nos fundamentos conceituais da mecânica estatística e na termodinâmica física. O algoritmo mimetiza o processo metalúrgico real de resfriamento lento e controlado de cristais e metais fluídos para alcançar configurações moleculares alinhadas de mínima energia estrutural e máxima integridade. Quando transposto para o domínio semântico do planejamento automatizado de cardápios, o estado de "energia" de um sistema de variáveis corresponde ao valor de retorno da função de custo daquele arranjo alimentar específico avaliado. A imensa vantagem matemática e tática do SA sobre abordagens de gradiente estrito como o </w:t>
      </w:r>
      <w:r w:rsidDel="00000000" w:rsidR="00000000" w:rsidRPr="00000000">
        <w:rPr>
          <w:rFonts w:ascii="Google Sans" w:cs="Google Sans" w:eastAsia="Google Sans" w:hAnsi="Google Sans"/>
          <w:i w:val="1"/>
          <w:iCs w:val="1"/>
          <w:color w:val="1f1f1f"/>
          <w:rtl w:val="0"/>
        </w:rPr>
        <w:t xml:space="preserve">Hill Climbing</w:t>
      </w:r>
      <w:r w:rsidDel="00000000" w:rsidR="00000000" w:rsidRPr="00000000">
        <w:rPr>
          <w:rFonts w:ascii="Google Sans" w:cs="Google Sans" w:eastAsia="Google Sans" w:hAnsi="Google Sans"/>
          <w:color w:val="1f1f1f"/>
          <w:rtl w:val="0"/>
        </w:rPr>
        <w:t xml:space="preserve"> puramente ganancioso — embora este último também seja frequentemente hibridizado metodologicamente com o GA visando otimização local contínua (Yuan et al., 2008)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 é a capacidade do SA de permitir a aceitação probabilística contínua de soluções adjacentes momentaneamente piores ou inferiores. Este é um mecanismo essencial concebido estritamente para escapar da gravidade matemática dos temíveis ótimos locais. A probabilidade analítica de aceitação computacional de uma alteração piorada e não-estrita no fluxo do cardápio (quando a variação de energia gerada é positiva, </w:t>
      </w:r>
      <w:r w:rsidDel="00000000" w:rsidR="00000000" w:rsidRPr="00000000">
        <w:rPr>
          <w:rFonts w:ascii="Google Sans" w:cs="Google Sans" w:eastAsia="Google Sans" w:hAnsi="Google Sans"/>
          <w:color w:val="1f1f1f"/>
        </w:rPr>
        <w:drawing>
          <wp:inline distB="19050" distT="19050" distL="19050" distR="19050">
            <wp:extent cx="638572" cy="236272"/>
            <wp:effectExtent b="0" l="0" r="0" t="0"/>
            <wp:docPr id="26"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638572" cy="2362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ditada rigorosamente pelo Critério estocástico de Metropolis-Hastings: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110883" cy="329627"/>
            <wp:effectExtent b="0" l="0" r="0" t="0"/>
            <wp:docPr id="27"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2110883" cy="32962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o parâmetro </w:t>
      </w:r>
      <w:r w:rsidDel="00000000" w:rsidR="00000000" w:rsidRPr="00000000">
        <w:rPr>
          <w:rFonts w:ascii="Google Sans" w:cs="Google Sans" w:eastAsia="Google Sans" w:hAnsi="Google Sans"/>
          <w:color w:val="1f1f1f"/>
        </w:rPr>
        <w:drawing>
          <wp:inline distB="19050" distT="19050" distL="19050" distR="19050">
            <wp:extent cx="188119" cy="232013"/>
            <wp:effectExtent b="0" l="0" r="0" t="0"/>
            <wp:docPr id="28"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188119" cy="232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o limiar de "temperatura" do sistema abstrato no passo computacional discreto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9"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variável esta que decresce progressivamente ditada por um esquema ou cronograma de resfriamento (</w:t>
      </w:r>
      <w:r w:rsidDel="00000000" w:rsidR="00000000" w:rsidRPr="00000000">
        <w:rPr>
          <w:rFonts w:ascii="Google Sans" w:cs="Google Sans" w:eastAsia="Google Sans" w:hAnsi="Google Sans"/>
          <w:i w:val="1"/>
          <w:iCs w:val="1"/>
          <w:color w:val="1f1f1f"/>
          <w:rtl w:val="0"/>
        </w:rPr>
        <w:t xml:space="preserve">cooling schedule</w:t>
      </w:r>
      <w:r w:rsidDel="00000000" w:rsidR="00000000" w:rsidRPr="00000000">
        <w:rPr>
          <w:rFonts w:ascii="Google Sans" w:cs="Google Sans" w:eastAsia="Google Sans" w:hAnsi="Google Sans"/>
          <w:color w:val="1f1f1f"/>
          <w:rtl w:val="0"/>
        </w:rPr>
        <w:t xml:space="preserve">) rigorosamente parametrizado pelos cientistas de dados.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vanguarda metodológica da engenharia de otimização prioriza, na atualidade, o uso de algoritmos híbridos em detrimento das abordagens isoladas. A formulação do Algoritmo Híbrido Genético-Simulated Annealing (HGSA), por exemplo, integra o mecanismo robusto de regulação hormonal (análogo ao esquema de resfriamento do SA) diretamente operando no escopo das mutações e cruzamentos populacionais do GA. Baterias de testes exaustivos computacionais em complexos problemas de </w:t>
      </w:r>
      <w:r w:rsidDel="00000000" w:rsidR="00000000" w:rsidRPr="00000000">
        <w:rPr>
          <w:rFonts w:ascii="Google Sans" w:cs="Google Sans" w:eastAsia="Google Sans" w:hAnsi="Google Sans"/>
          <w:i w:val="1"/>
          <w:iCs w:val="1"/>
          <w:color w:val="1f1f1f"/>
          <w:rtl w:val="0"/>
        </w:rPr>
        <w:t xml:space="preserve">flow shop scheduling</w:t>
      </w:r>
      <w:r w:rsidDel="00000000" w:rsidR="00000000" w:rsidRPr="00000000">
        <w:rPr>
          <w:rFonts w:ascii="Google Sans" w:cs="Google Sans" w:eastAsia="Google Sans" w:hAnsi="Google Sans"/>
          <w:color w:val="1f1f1f"/>
          <w:rtl w:val="0"/>
        </w:rPr>
        <w:t xml:space="preserve"> — estruturas lógico-matemáticas que são comprovadamente homomórficas e isomórficas ao agendamento logístico de restrições em cozinhas industriais de larga escala, um conceito originalmente proposto de forma abstrata por Johnson (1954) — atestaram categoricamente a supremacia operacional da hibridização inteligente na otimização de matrizes operacionais altamente restritivas (Autor desconhecido, 2018).</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Outra inovação arquitetônica formidável e disruptiva observada no estado da arte reside na integração simbiótica da Otimização por Enxame de Partículas (</w:t>
      </w:r>
      <w:r w:rsidDel="00000000" w:rsidR="00000000" w:rsidRPr="00000000">
        <w:rPr>
          <w:rFonts w:ascii="Google Sans" w:cs="Google Sans" w:eastAsia="Google Sans" w:hAnsi="Google Sans"/>
          <w:i w:val="1"/>
          <w:iCs w:val="1"/>
          <w:color w:val="1f1f1f"/>
          <w:rtl w:val="0"/>
        </w:rPr>
        <w:t xml:space="preserve">Particle Swarm Optimization</w:t>
      </w:r>
      <w:r w:rsidDel="00000000" w:rsidR="00000000" w:rsidRPr="00000000">
        <w:rPr>
          <w:rFonts w:ascii="Google Sans" w:cs="Google Sans" w:eastAsia="Google Sans" w:hAnsi="Google Sans"/>
          <w:color w:val="1f1f1f"/>
          <w:rtl w:val="0"/>
        </w:rPr>
        <w:t xml:space="preserve"> - PSO) acoplada dinamicamente com o SA, originando o PSO-SA. Aplicada na delicada interface matemática do Processo de Hierarquia Analítica (AHP) — um método extensivamente utilizado para modelar e estruturar decisões nutricionais subjetivas multi-critério, envolvendo condições de saúde, limitações culturais e orçamentos flexíveis —, a arquitetura heurística híbrida do PSO-SA funde a capacidade expansiva de varredura global espacial do enxame de partículas cinéticas com a busca local detalhada, minuciosa e resiliente do resfriamento simulado probabilístico. Essa fusão tecnológica contorna efetivamente o desafio histórico crônico da inconsistência matemática presente nas matrizes de peso e pontuação propostas e preenchidas por nutricionistas humanos, elevando a precisão da intervenção dietética automatizada a patamares inéditos de conformidade e aceitação (Autor desconhecido, 2024).</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Otimização por Colônia de Formigas (Ant Colony Optimization - ACO) e Grafos Nutricionais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modelagem estigmérgica, definida biologica e conceitualmente como a comunicação indireta assíncrona orientada por modificação residual do ambiente, é derivada dos padrões cognitivos de forrageamento de insetos eusociais. Ela consolida o algoritmo </w:t>
      </w:r>
      <w:r w:rsidDel="00000000" w:rsidR="00000000" w:rsidRPr="00000000">
        <w:rPr>
          <w:rFonts w:ascii="Google Sans" w:cs="Google Sans" w:eastAsia="Google Sans" w:hAnsi="Google Sans"/>
          <w:i w:val="1"/>
          <w:iCs w:val="1"/>
          <w:color w:val="1f1f1f"/>
          <w:rtl w:val="0"/>
        </w:rPr>
        <w:t xml:space="preserve">Ant Colony Optimization</w:t>
      </w:r>
      <w:r w:rsidDel="00000000" w:rsidR="00000000" w:rsidRPr="00000000">
        <w:rPr>
          <w:rFonts w:ascii="Google Sans" w:cs="Google Sans" w:eastAsia="Google Sans" w:hAnsi="Google Sans"/>
          <w:color w:val="1f1f1f"/>
          <w:rtl w:val="0"/>
        </w:rPr>
        <w:t xml:space="preserve"> (ACO) como uma das meta-heurísticas populacionais focadas em caminhos e travessias em grafos mais poderosas conhecidas na Ciência da Computação moderna, introduzida seminalmente por Marco Dorigo (1992).</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 processo do planejamento sequencial temporal de um cardápio UAN é matematicamente mapeado como um intrincado problema de roteamento e interconectividade onde a seleção determinística de um sub-componente nutricional viável, prato ou insumo dentro do enorme grafo direcional relacional constitui um passo vetorial na construção estocástica interativa da solução global.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limitação amplamente relatada na literatura técnica pertinente ao ACO tradicional quando aplicado de forma bruta a espaços estocásticos gigantescos é a exasperante lentidão da convergência inicial associada a uma exploração predominantemente cega e heurística não-refinada nos primeiros estágios da travessia dos grafos (Autor desconhecido, 2024).</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Para obliterar permanentemente essas deficiências arquiteturais na camada de software, </w:t>
      </w:r>
      <w:r w:rsidDel="00000000" w:rsidR="00000000" w:rsidRPr="00000000">
        <w:rPr>
          <w:rFonts w:ascii="Google Sans" w:cs="Google Sans" w:eastAsia="Google Sans" w:hAnsi="Google Sans"/>
          <w:i w:val="1"/>
          <w:iCs w:val="1"/>
          <w:color w:val="1f1f1f"/>
          <w:rtl w:val="0"/>
        </w:rPr>
        <w:t xml:space="preserve">frameworks</w:t>
      </w:r>
      <w:r w:rsidDel="00000000" w:rsidR="00000000" w:rsidRPr="00000000">
        <w:rPr>
          <w:rFonts w:ascii="Google Sans" w:cs="Google Sans" w:eastAsia="Google Sans" w:hAnsi="Google Sans"/>
          <w:color w:val="1f1f1f"/>
          <w:rtl w:val="0"/>
        </w:rPr>
        <w:t xml:space="preserve"> computacionais avançados propõem na literatura o algoritmo modificado conhecido como ACO Inteligentemente Aprimorado (IEACO). As arquiteturas baseadas no padrão IEACO implementam estrategicamente distribuições de feromônio inicial computacional não-uniformes, aplicando ajustes dinâmicos, contínuos e adaptativos das constantes e hiperparâmetros heurísticos clássicos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1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(controle da influência histórica do feromônio residual) e </w:t>
      </w:r>
      <w:r w:rsidDel="00000000" w:rsidR="00000000" w:rsidRPr="00000000">
        <w:rPr>
          <w:rFonts w:ascii="Google Sans" w:cs="Google Sans" w:eastAsia="Google Sans" w:hAnsi="Google Sans"/>
          <w:color w:val="1f1f1f"/>
        </w:rPr>
        <w:drawing>
          <wp:inline distB="19050" distT="19050" distL="19050" distR="19050">
            <wp:extent cx="114102" cy="234543"/>
            <wp:effectExtent b="0" l="0" r="0" t="0"/>
            <wp:docPr id="11"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14102" cy="234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(controle da visibilidade heurística local imediata). Além disso, integram regras probabilísticas baseadas em </w:t>
      </w:r>
      <w:r w:rsidDel="00000000" w:rsidR="00000000" w:rsidRPr="00000000">
        <w:rPr>
          <w:rFonts w:ascii="Google Sans" w:cs="Google Sans" w:eastAsia="Google Sans" w:hAnsi="Google Sans"/>
          <w:color w:val="1f1f1f"/>
        </w:rPr>
        <w:drawing>
          <wp:inline distB="19050" distT="19050" distL="19050" distR="19050">
            <wp:extent cx="74910" cy="230973"/>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74910" cy="230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-greedy e uma estratégia multi-objetivo paramétrica </w:t>
      </w:r>
      <w:r w:rsidDel="00000000" w:rsidR="00000000" w:rsidRPr="00000000">
        <w:rPr>
          <w:rFonts w:ascii="Google Sans" w:cs="Google Sans" w:eastAsia="Google Sans" w:hAnsi="Google Sans"/>
          <w:color w:val="1f1f1f"/>
        </w:rPr>
        <w:drawing>
          <wp:inline distB="19050" distT="19050" distL="19050" distR="19050">
            <wp:extent cx="205879" cy="230834"/>
            <wp:effectExtent b="0" l="0" r="0" t="0"/>
            <wp:docPr id="13"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205879" cy="230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atua como vetor direcionador das "formigas" agentes artificiais de software. O algoritmo guia os </w:t>
      </w:r>
      <w:r w:rsidDel="00000000" w:rsidR="00000000" w:rsidRPr="00000000">
        <w:rPr>
          <w:rFonts w:ascii="Google Sans" w:cs="Google Sans" w:eastAsia="Google Sans" w:hAnsi="Google Sans"/>
          <w:i w:val="1"/>
          <w:iCs w:val="1"/>
          <w:color w:val="1f1f1f"/>
          <w:rtl w:val="0"/>
        </w:rPr>
        <w:t xml:space="preserve">crawlers</w:t>
      </w:r>
      <w:r w:rsidDel="00000000" w:rsidR="00000000" w:rsidRPr="00000000">
        <w:rPr>
          <w:rFonts w:ascii="Google Sans" w:cs="Google Sans" w:eastAsia="Google Sans" w:hAnsi="Google Sans"/>
          <w:color w:val="1f1f1f"/>
          <w:rtl w:val="0"/>
        </w:rPr>
        <w:t xml:space="preserve"> na seleção de nós (neste contexto, alimentos) baseando-se não meramente na recompensa ou qualidade nutricional temporal imediata, mas processando e avaliando profundamente as sinergias organolépticas prospectivas a longo prazo de toda a trajetória do plano alimentar, prevenindo eficazmente a convergência algorítmica prematura e perniciosa a um cardápio distorcido ou hiper-repetitivo (Autor desconhecido, 2025).</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desses aprimoramentos intrínsecos, inovações arquiteturais estruturais mais profundas originaram o paradigma do </w:t>
      </w:r>
      <w:r w:rsidDel="00000000" w:rsidR="00000000" w:rsidRPr="00000000">
        <w:rPr>
          <w:rFonts w:ascii="Google Sans" w:cs="Google Sans" w:eastAsia="Google Sans" w:hAnsi="Google Sans"/>
          <w:i w:val="1"/>
          <w:iCs w:val="1"/>
          <w:color w:val="1f1f1f"/>
          <w:rtl w:val="0"/>
        </w:rPr>
        <w:t xml:space="preserve">ACO Heterogêneo Hierárquico</w:t>
      </w:r>
      <w:r w:rsidDel="00000000" w:rsidR="00000000" w:rsidRPr="00000000">
        <w:rPr>
          <w:rFonts w:ascii="Google Sans" w:cs="Google Sans" w:eastAsia="Google Sans" w:hAnsi="Google Sans"/>
          <w:color w:val="1f1f1f"/>
          <w:rtl w:val="0"/>
        </w:rPr>
        <w:t xml:space="preserve">, um modelo projetado especificamente e estruturado no nível lógico da camada de microsserviços para conceber cronogramas interconectados de planos automatizados de alimentação maciça. A topologia desse algoritmo consiste em dois estratos de processamento autônomos e interconectados computacionalmente: no nível primário de execução, legiões de formigas "trabalhadoras" vasculham ambientes isolados independentes do espaço de solução aplicando vetores de operadores de limitação e transmutação rigorosos (tais como remoção paramétrica, modificação estrutural, e mutações decrescentes controladas focadas em itens recentemente selecionados em limites máximos); em paralelo, num segundo nível estratégico supervisor superior, instâncias computacionais de formigas "gerentes" ou "orquestradoras" monitoram os resultados parciais assíncronos das dezenas de enxames de grupos trabalhadores subjacentes. A formiga gerente agrega então ativamente os planos dietéticos e módulos de cardápio parciais ótimos, validando as restrições globais não processadas pelos trabalhadores e gerando um cronograma global final que atinge a excelência qualitativa e nutricional em fração do tempo de abordagens lineares clássicas (Rusin e Zaitseva, 2012).</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Ademais, essas estratégias refinadas multi-agentes modulares, acompanhadas de variações complexas avançadas como a formulação algorítmica ACO Voador Aprimorado (EFACO) — arquitetura inovadora que acopla intrinsecamente a probabilidade de transição matemática diretamente aos requisitos exigentes de QoS (Qualidade de Serviço ou </w:t>
      </w:r>
      <w:r w:rsidDel="00000000" w:rsidR="00000000" w:rsidRPr="00000000">
        <w:rPr>
          <w:rFonts w:ascii="Google Sans" w:cs="Google Sans" w:eastAsia="Google Sans" w:hAnsi="Google Sans"/>
          <w:i w:val="1"/>
          <w:iCs w:val="1"/>
          <w:color w:val="1f1f1f"/>
          <w:rtl w:val="0"/>
        </w:rPr>
        <w:t xml:space="preserve">Quality of Service</w:t>
      </w:r>
      <w:r w:rsidDel="00000000" w:rsidR="00000000" w:rsidRPr="00000000">
        <w:rPr>
          <w:rFonts w:ascii="Google Sans" w:cs="Google Sans" w:eastAsia="Google Sans" w:hAnsi="Google Sans"/>
          <w:color w:val="1f1f1f"/>
          <w:rtl w:val="0"/>
        </w:rPr>
        <w:t xml:space="preserve">, métricas transpostas como segurança, confiabilidade temporal e tempo de resposta) em infraestruturas distribuídas orientadas a serviços da nuvem (WSC) vinculadas ao banco de dados contendo perfis nutricionais detalhados — comprovam analiticamente que a categoria ACO detém competitividade e resiliência analítica superior, por vezes superando com ampla margem os algoritmos evolucionários genéticos clássicos. O ACO estabeleceu definitivamente o estado da arte e o novo referencial técnico indispensável para a composição dinâmica veloz, escalável e segura de fluxos diários nas arquiteturas de software de UANs complexas e heterogêneas globais (Dahan et al., 2021).</w:t>
      </w:r>
      <w:r w:rsidDel="00000000" w:rsidR="00000000" w:rsidRPr="00000000">
        <w:rPr>
          <w:rFonts w:ascii="Google Sans" w:cs="Google Sans" w:eastAsia="Google Sans" w:hAnsi="Google Sans"/>
          <w:color w:val="444746"/>
          <w:sz w:val="24"/>
          <w:szCs w:val="24"/>
          <w:vertAlign w:val="superscript"/>
          <w:rtl w:val="0"/>
        </w:rPr>
        <w:t xml:space="preserve">27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 Meta-heurística Avaliativa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Algoritmo Genético Clássico e Memético (GA)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Têmpera Simulada probabilística (SA)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Otimização estigmérgica por Colônia de Formigas (ACO)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Inspiração Teórica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Princípios evolutivos de seleção natural, genômica computacional e cruzamento cromossômico.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Transições físicas de estado e mecânica termodinâmica dos materiais de rede cristalina.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Comportamento eusocial de forrageamento cooperativo e comunicação indireta por estigmergia.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Abordagem Central de Busca Algorítmica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Processamento paralelo baseado em conjuntos e manipulação de populações massivas no </w:t>
            </w:r>
            <w:r w:rsidDel="00000000" w:rsidR="00000000" w:rsidRPr="00000000">
              <w:rPr>
                <w:rFonts w:ascii="Google Sans" w:cs="Google Sans" w:eastAsia="Google Sans" w:hAnsi="Google Sans"/>
                <w:i w:val="1"/>
                <w:iCs w:val="1"/>
                <w:color w:val="1f1f1f"/>
                <w:rtl w:val="0"/>
              </w:rPr>
              <w:t xml:space="preserve">heap</w:t>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Execução linear baseada em trajetória individual contínua, análise em profundidade de um ponto único no grafo.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Multi-agente autônoma estocástica baseada inteiramente na construção de grafos ponderados probabilísticos.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 intrínseco para Fuga de Ótimos Locais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Aleatoriedade controlada injetada por mutação heurística arbitrária sobre genes da matriz e cruzamento de pais distantes.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Probabilidade rigorosa baseada na distribuição de Boltzmann de aceitação de estados temporários degenerados ou piores (</w:t>
            </w:r>
            <w:r w:rsidDel="00000000" w:rsidR="00000000" w:rsidRPr="00000000">
              <w:rPr>
                <w:rFonts w:ascii="Google Sans" w:cs="Google Sans" w:eastAsia="Google Sans" w:hAnsi="Google Sans"/>
                <w:i w:val="1"/>
                <w:iCs w:val="1"/>
                <w:color w:val="1f1f1f"/>
                <w:rtl w:val="0"/>
              </w:rPr>
              <w:t xml:space="preserve">hill climbing</w:t>
            </w:r>
            <w:r w:rsidDel="00000000" w:rsidR="00000000" w:rsidRPr="00000000">
              <w:rPr>
                <w:rFonts w:ascii="Google Sans" w:cs="Google Sans" w:eastAsia="Google Sans" w:hAnsi="Google Sans"/>
                <w:color w:val="1f1f1f"/>
                <w:rtl w:val="0"/>
              </w:rPr>
              <w:t xml:space="preserve"> decrescente).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 contínuo de evaporação temporal e atualização diferencial dinâmica penalizada das densidades espaciais de taxas de feromônios heurísticos.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Melhor Aplicação Pragmática no contexto de Software UAN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Ampla diversificação visual e operacional de cardápios via extração de superfícies </w:t>
            </w:r>
            <w:r w:rsidDel="00000000" w:rsidR="00000000" w:rsidRPr="00000000">
              <w:rPr>
                <w:rFonts w:ascii="Google Sans" w:cs="Google Sans" w:eastAsia="Google Sans" w:hAnsi="Google Sans"/>
                <w:i w:val="1"/>
                <w:iCs w:val="1"/>
                <w:color w:val="1f1f1f"/>
                <w:rtl w:val="0"/>
              </w:rPr>
              <w:t xml:space="preserve">pareto-front</w:t>
            </w:r>
            <w:r w:rsidDel="00000000" w:rsidR="00000000" w:rsidRPr="00000000">
              <w:rPr>
                <w:rFonts w:ascii="Google Sans" w:cs="Google Sans" w:eastAsia="Google Sans" w:hAnsi="Google Sans"/>
                <w:color w:val="1f1f1f"/>
                <w:rtl w:val="0"/>
              </w:rPr>
              <w:t xml:space="preserve"> conflitantes multi-objetivos (custo financeiro vs monoticidade dietética).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Implementação de hibridização fina para ajuste de hiperparâmetros, sintonia crítica da política e superação matemática rigorosa de inconsistências do modelo matricial AHP em prescrições patológicas individuais.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Mapeamento relacional matricial semântico de forte aderência, excelência inigualável na composição sequencial contínua diária de </w:t>
            </w:r>
            <w:r w:rsidDel="00000000" w:rsidR="00000000" w:rsidRPr="00000000">
              <w:rPr>
                <w:rFonts w:ascii="Google Sans" w:cs="Google Sans" w:eastAsia="Google Sans" w:hAnsi="Google Sans"/>
                <w:i w:val="1"/>
                <w:iCs w:val="1"/>
                <w:color w:val="1f1f1f"/>
                <w:rtl w:val="0"/>
              </w:rPr>
              <w:t xml:space="preserve">workflows</w:t>
            </w:r>
            <w:r w:rsidDel="00000000" w:rsidR="00000000" w:rsidRPr="00000000">
              <w:rPr>
                <w:rFonts w:ascii="Google Sans" w:cs="Google Sans" w:eastAsia="Google Sans" w:hAnsi="Google Sans"/>
                <w:color w:val="1f1f1f"/>
                <w:rtl w:val="0"/>
              </w:rPr>
              <w:t xml:space="preserve"> de componentes combinados dietéticos e pratos complementares interdependentes.</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Integração de Machine Learning e Predictive Analytics no Micro-Ajuste de UANs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o planejamento estratégico macroestrutural gerado com vigor computacional pelas meta-heurísticas produz um cardápio complexo teoricamente imaculado nos vetores nutricionais e custos logísticos, a implacável realidade operacional impõe um entrave adicional gravíssimo: a imprevisibilidade contínua intrínseca à psicologia e ao comportamento reativo humano que subverte a perfeição da teoria formulada na execução de software através da severa flutuação não-linear da demanda efetiva diária de comensais. Historicamente na indústria da nutrição, os painéis e métricas dos sistemas corporativos analógicos baseavam-se maciçamente no conceito obsoleto de análises retroativas e relatórios empíricos descritivos focados em dados frios do fechamento operacional, evidenciando tardiamente o que já havia ocorrido e perpetuando ciclos intermináveis de cenários meramente reativos, incapazes de intervir antes do prejuízo ocorrer.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integração metodológica profunda dos domínios da Inteligência Artificial baseados em modelos estatísticos de Aprendizado de Máquina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 ML) modernizou fundamentalmente os pilares de infraestrutura industrial e da pesquisa laboratorial de dados de cozinhas, direcionando a governança técnica maciça no desenvolvimento de ferramentas de inteligência analítica focadas em </w:t>
      </w:r>
      <w:r w:rsidDel="00000000" w:rsidR="00000000" w:rsidRPr="00000000">
        <w:rPr>
          <w:rFonts w:ascii="Google Sans" w:cs="Google Sans" w:eastAsia="Google Sans" w:hAnsi="Google Sans"/>
          <w:i w:val="1"/>
          <w:iCs w:val="1"/>
          <w:color w:val="1f1f1f"/>
          <w:rtl w:val="0"/>
        </w:rPr>
        <w:t xml:space="preserve">Predictive Analytics</w:t>
      </w:r>
      <w:r w:rsidDel="00000000" w:rsidR="00000000" w:rsidRPr="00000000">
        <w:rPr>
          <w:rFonts w:ascii="Google Sans" w:cs="Google Sans" w:eastAsia="Google Sans" w:hAnsi="Google Sans"/>
          <w:color w:val="1f1f1f"/>
          <w:rtl w:val="0"/>
        </w:rPr>
        <w:t xml:space="preserve"> ou análise preditiva baseada em padrões contínuos. Tais camadas cognitivas algorítmicas de aprendizado convertem montanhas ociosas de dados e registros brutos transacionais originados de repositórios de histórico de vendas, relatórios de estoques operacionais contábeis e leituras de acessos por catracas físicas em arquiteturas de inferência, consolidando e extraindo lógicas que viabilizam a formulação prévia de estratégias comportamentais proativas, dinâmicas e incrivelmente precisas (Livelytics, 2024).</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Modelagem Preditiva de Demanda: Algoritmos de Machine Learning e Engenharia de Features Complexas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previsão exata e apurada do volume de demanda latente por composições, preparações e alimentos específicos de um menu tem impactos econômicos diretos e colossais na gestão fluida das planilhas e volumes de inventário de perecíveis em toda a cadeia. Ela possui a missão crítica e implacável de evadir permanentemente o erro humano de superdimensionamento sistemático nos canais e armazéns da cadeia de suprimentos de conservação nas temperaturas de frio e seco. Uma cadeia eficiente impede categoricamente a consequente degradação orgânica em massa e a liberação massiva gerada no apodrecimento alimentar de potentes moléculas de metano — que representam um imperativo global inegociável de sustentabilidade existencial que hoje transcende e suplementa agressivamente o tradicional aspecto das finanças institucionais, e engloba severos mandatos normativos governamentais pautados ativamente na radical mitigação do efeito estufa mundial na atmosfera (Impact Analytics, 2023).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Sob o estrito escopo analítico-acadêmico focado nesse entrave estrutural e logístico, as técnicas e metodologias da arquitetura para a modelagem preditiva aplicadas diretamente nos ecossistemas controlados como refeitórios universitários globais, escolas e as complexas redes de cozinhas institucionais em vastas metrópoles têm evoluído com agressividade inaudita na atual década. A comunidade computacional científica encarregada avalia sistematicamente e publicamente as disparidades estatísticas colossais de desempenho em métricas como o Erro Quadrático Médio (MSE). Eles comparam sistematicamente o desempenho basal simplório decorrente de regressões lineares simples e ingênuas, outrora o padrão ouro, contraponto-as abertamente a um conjunto de algoritmos formidáveis dotados e arquitetados no aprendizado iterativo não-linear subjacente ao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profundo de dados (Aci e Yergök, 2023).</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de infraestrutura do moderno processamento escalável de engenharia unifica com eficácia o processo vital analítico cognitivo denominado </w:t>
      </w:r>
      <w:r w:rsidDel="00000000" w:rsidR="00000000" w:rsidRPr="00000000">
        <w:rPr>
          <w:rFonts w:ascii="Google Sans" w:cs="Google Sans" w:eastAsia="Google Sans" w:hAnsi="Google Sans"/>
          <w:i w:val="1"/>
          <w:iCs w:val="1"/>
          <w:color w:val="1f1f1f"/>
          <w:rtl w:val="0"/>
        </w:rPr>
        <w:t xml:space="preserve">Feature Engineering</w:t>
      </w:r>
      <w:r w:rsidDel="00000000" w:rsidR="00000000" w:rsidRPr="00000000">
        <w:rPr>
          <w:rFonts w:ascii="Google Sans" w:cs="Google Sans" w:eastAsia="Google Sans" w:hAnsi="Google Sans"/>
          <w:color w:val="1f1f1f"/>
          <w:rtl w:val="0"/>
        </w:rPr>
        <w:t xml:space="preserve"> (extração e construção iterativa minuciosa de matrizes de variáveis preditivas latentes ou recursos computacionais correlatos). Este sofisticado estágio do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modela não unicamente as métricas frias de contagem de comensais ativas no volume temporal histórico subjacente, mas incorpora ininterruptamente dezenas de covariáveis temporais que injetam complexidade informacional rica e dinâmica na matriz para propiciar capacidade de antecipação contínua aos tensores analíticos. As matrizes modernas e robustas processadas nas UANs englobam ativamente, via integrações RESTful de Interfaces de Programação (APIs) síncronas a provedores externos de microsserviços, variáveis incrivelmente sutis como os complexos atributos meteorológicos telemétricos granulares (como precipitações horárias, umidade relativa ou predições térmicas), vetores e efeitos latentes exógenos inerentes a restrições sistêmicas do calendário humano corporativo secularizado global (datas festivas móveis feriados locais variados ou súbitos recessos imprevistos e epidêmicos), distribuições probabilísticas modeladas estatisticamente da diversidade nos amplos e estratificados perfis base sociodemográficos interconectados da clientela local e macro tendências estendidas no </w:t>
      </w:r>
      <w:r w:rsidDel="00000000" w:rsidR="00000000" w:rsidRPr="00000000">
        <w:rPr>
          <w:rFonts w:ascii="Google Sans" w:cs="Google Sans" w:eastAsia="Google Sans" w:hAnsi="Google Sans"/>
          <w:i w:val="1"/>
          <w:iCs w:val="1"/>
          <w:color w:val="1f1f1f"/>
          <w:rtl w:val="0"/>
        </w:rPr>
        <w:t xml:space="preserve">timeframe</w:t>
      </w:r>
      <w:r w:rsidDel="00000000" w:rsidR="00000000" w:rsidRPr="00000000">
        <w:rPr>
          <w:rFonts w:ascii="Google Sans" w:cs="Google Sans" w:eastAsia="Google Sans" w:hAnsi="Google Sans"/>
          <w:color w:val="1f1f1f"/>
          <w:rtl w:val="0"/>
        </w:rPr>
        <w:t xml:space="preserve"> correlatas diretamente à sazonalidade econômica e do nicho da colheita interativa e agrícola orgânica do portfólio restrito de ingredientes vitais de cardápios globais.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modo notável e determinante nas inferências computacionais preditivas contínuas do fluxo de massas em refeitórios contemporâneos, a inserção sistêmica de inovadoras métricas binárias e de taxas estatísticas paramétricas relativas ao índice temporal probabilístico contínuo modelado na flutuação variável interativa de ausência denominada nas </w:t>
      </w:r>
      <w:r w:rsidDel="00000000" w:rsidR="00000000" w:rsidRPr="00000000">
        <w:rPr>
          <w:rFonts w:ascii="Google Sans" w:cs="Google Sans" w:eastAsia="Google Sans" w:hAnsi="Google Sans"/>
          <w:i w:val="1"/>
          <w:iCs w:val="1"/>
          <w:color w:val="1f1f1f"/>
          <w:rtl w:val="0"/>
        </w:rPr>
        <w:t xml:space="preserve">features</w:t>
      </w:r>
      <w:r w:rsidDel="00000000" w:rsidR="00000000" w:rsidRPr="00000000">
        <w:rPr>
          <w:rFonts w:ascii="Google Sans" w:cs="Google Sans" w:eastAsia="Google Sans" w:hAnsi="Google Sans"/>
          <w:color w:val="1f1f1f"/>
          <w:rtl w:val="0"/>
        </w:rPr>
        <w:t xml:space="preserve"> como taxa transacional de </w:t>
      </w:r>
      <w:r w:rsidDel="00000000" w:rsidR="00000000" w:rsidRPr="00000000">
        <w:rPr>
          <w:rFonts w:ascii="Google Sans" w:cs="Google Sans" w:eastAsia="Google Sans" w:hAnsi="Google Sans"/>
          <w:i w:val="1"/>
          <w:iCs w:val="1"/>
          <w:color w:val="1f1f1f"/>
          <w:rtl w:val="0"/>
        </w:rPr>
        <w:t xml:space="preserve">show/no-show</w:t>
      </w:r>
      <w:r w:rsidDel="00000000" w:rsidR="00000000" w:rsidRPr="00000000">
        <w:rPr>
          <w:rFonts w:ascii="Google Sans" w:cs="Google Sans" w:eastAsia="Google Sans" w:hAnsi="Google Sans"/>
          <w:color w:val="1f1f1f"/>
          <w:rtl w:val="0"/>
        </w:rPr>
        <w:t xml:space="preserve"> de presenças esperadas alcançou taxas assombrosas. Essa métrica exógena, estritamente correlacionada e integrada com vetores transacionais dos imensos </w:t>
      </w:r>
      <w:r w:rsidDel="00000000" w:rsidR="00000000" w:rsidRPr="00000000">
        <w:rPr>
          <w:rFonts w:ascii="Google Sans" w:cs="Google Sans" w:eastAsia="Google Sans" w:hAnsi="Google Sans"/>
          <w:i w:val="1"/>
          <w:iCs w:val="1"/>
          <w:color w:val="1f1f1f"/>
          <w:rtl w:val="0"/>
        </w:rPr>
        <w:t xml:space="preserve">data lakes</w:t>
      </w:r>
      <w:r w:rsidDel="00000000" w:rsidR="00000000" w:rsidRPr="00000000">
        <w:rPr>
          <w:rFonts w:ascii="Google Sans" w:cs="Google Sans" w:eastAsia="Google Sans" w:hAnsi="Google Sans"/>
          <w:color w:val="1f1f1f"/>
          <w:rtl w:val="0"/>
        </w:rPr>
        <w:t xml:space="preserve"> dos sistemas ubíquos de plataformas </w:t>
      </w:r>
      <w:r w:rsidDel="00000000" w:rsidR="00000000" w:rsidRPr="00000000">
        <w:rPr>
          <w:rFonts w:ascii="Google Sans" w:cs="Google Sans" w:eastAsia="Google Sans" w:hAnsi="Google Sans"/>
          <w:i w:val="1"/>
          <w:iCs w:val="1"/>
          <w:color w:val="1f1f1f"/>
          <w:rtl w:val="0"/>
        </w:rPr>
        <w:t xml:space="preserve">mobile</w:t>
      </w:r>
      <w:r w:rsidDel="00000000" w:rsidR="00000000" w:rsidRPr="00000000">
        <w:rPr>
          <w:rFonts w:ascii="Google Sans" w:cs="Google Sans" w:eastAsia="Google Sans" w:hAnsi="Google Sans"/>
          <w:color w:val="1f1f1f"/>
          <w:rtl w:val="0"/>
        </w:rPr>
        <w:t xml:space="preserve"> responsivas, atinge em tempo real o ápice arquitetônico preditivo nos motores de recomendações autônomas interconectadas (Faezirad et al., 2021).</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incorporação destas matrizes na modelagem reduziu ativamente e irreversivelmente o desperdício histórico das perdas em vastos ambientes corporativos controlados chegando rotineiramente na taxa de excelência formidável atingindo o notável teto empírico máximo mensurado cientificamente pela fronteira literária fixado em até expressivos e determinantes 79%.</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Adentrando de forma perene no limiar extremo correspondente da vanguarda absoluta de aprendizado baseada ativamente nas inauditas infraestruturas gráficas contínuas tensoras do limite do processamento global computacional contínuo da predição extrema e precisa, as implementações massivas em arquitetura contínua de complexas redes e camadas interconectadas no modelo conhecido no processamento não linear autônomo pelas implementações conhecidas na sigla </w:t>
      </w:r>
      <w:r w:rsidDel="00000000" w:rsidR="00000000" w:rsidRPr="00000000">
        <w:rPr>
          <w:rFonts w:ascii="Google Sans" w:cs="Google Sans" w:eastAsia="Google Sans" w:hAnsi="Google Sans"/>
          <w:i w:val="1"/>
          <w:iCs w:val="1"/>
          <w:color w:val="1f1f1f"/>
          <w:rtl w:val="0"/>
        </w:rPr>
        <w:t xml:space="preserve">Deep Neural Networks</w:t>
      </w:r>
      <w:r w:rsidDel="00000000" w:rsidR="00000000" w:rsidRPr="00000000">
        <w:rPr>
          <w:rFonts w:ascii="Google Sans" w:cs="Google Sans" w:eastAsia="Google Sans" w:hAnsi="Google Sans"/>
          <w:color w:val="1f1f1f"/>
          <w:rtl w:val="0"/>
        </w:rPr>
        <w:t xml:space="preserve"> (Redes Neurais Profundas, denominadas de forma ubíqua como DNNs), foram rigorosamente projetadas nas engenharias paramétricas dos sistemas. As DNNs são projetadas matematicamente para atuar nos ecossistemas com propósitos sistêmicos de estendida classificação estocástica em múltiplas sub-camadas ativas autônomas subjacentes (</w:t>
      </w:r>
      <w:r w:rsidDel="00000000" w:rsidR="00000000" w:rsidRPr="00000000">
        <w:rPr>
          <w:rFonts w:ascii="Google Sans" w:cs="Google Sans" w:eastAsia="Google Sans" w:hAnsi="Google Sans"/>
          <w:i w:val="1"/>
          <w:iCs w:val="1"/>
          <w:color w:val="1f1f1f"/>
          <w:rtl w:val="0"/>
        </w:rPr>
        <w:t xml:space="preserve">multi-class classification</w:t>
      </w:r>
      <w:r w:rsidDel="00000000" w:rsidR="00000000" w:rsidRPr="00000000">
        <w:rPr>
          <w:rFonts w:ascii="Google Sans" w:cs="Google Sans" w:eastAsia="Google Sans" w:hAnsi="Google Sans"/>
          <w:color w:val="1f1f1f"/>
          <w:rtl w:val="0"/>
        </w:rPr>
        <w:t xml:space="preserve">) e avaliam ininterruptamente e concomitantemente milhares de possíveis padrões combinatórios dinâmicos. Quando programadas a processar conjuntos de 384 itens alimentícios independentes modelados individualmente e treinados em registros contendo as transações cronológicas registradas e indexadas referentes às vendas sazonais ao longo da amostragem extensa entre as temporadas relativas entre 2021 a 2023, juntamente da infusão cruzada massiva do monitoramento telemétrico exógeno detalhado na captação profunda contínua de telemetrias globais exógenas como o clima e temperatura externa, o sistema profundo solidificou taxas de aprendizado e performance inquestionáveis baseados nas perdas regressivas estatísticas contínuas e nos marcadores globais interconectados com coeficientes lineares preditivos correlacionais estritos nas redes neurais globais (Kim, 2025).</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metodologias robustas e experimentais atingiram, durante a convergência, a margem com os coeficientes avaliativos matemáticos de inter-relação estatística modelados como médias atestadas globalmente em precisas e irrefutáveis pontuações médias contínuas ativas dos Coeficientes temporais e paramétricos absolutos de </w:t>
      </w:r>
      <w:r w:rsidDel="00000000" w:rsidR="00000000" w:rsidRPr="00000000">
        <w:rPr>
          <w:rFonts w:ascii="Google Sans" w:cs="Google Sans" w:eastAsia="Google Sans" w:hAnsi="Google Sans"/>
          <w:i w:val="1"/>
          <w:iCs w:val="1"/>
          <w:color w:val="1f1f1f"/>
          <w:rtl w:val="0"/>
        </w:rPr>
        <w:t xml:space="preserve">Pearson</w:t>
      </w:r>
      <w:r w:rsidDel="00000000" w:rsidR="00000000" w:rsidRPr="00000000">
        <w:rPr>
          <w:rFonts w:ascii="Google Sans" w:cs="Google Sans" w:eastAsia="Google Sans" w:hAnsi="Google Sans"/>
          <w:color w:val="1f1f1f"/>
          <w:rtl w:val="0"/>
        </w:rPr>
        <w:t xml:space="preserve"> equivalendo formalmente o número cravado irrefutável na estatística de impressionantes </w:t>
      </w:r>
      <w:r w:rsidDel="00000000" w:rsidR="00000000" w:rsidRPr="00000000">
        <w:rPr>
          <w:rFonts w:ascii="Google Sans" w:cs="Google Sans" w:eastAsia="Google Sans" w:hAnsi="Google Sans"/>
          <w:color w:val="1f1f1f"/>
        </w:rPr>
        <w:drawing>
          <wp:inline distB="19050" distT="19050" distL="19050" distR="19050">
            <wp:extent cx="512366" cy="215067"/>
            <wp:effectExtent b="0" l="0" r="0" t="0"/>
            <wp:docPr id="1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12366" cy="215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corroborando estrita e inequivocamente, além de provar empiricamente que as estruturas na formidável arquitetura não-linear assimilaram no escopo latente cognitivo global de UANs as intrincadas conexões e interações semânticas imperceptíveis à capacidade e análise das heurísticas meramente estatísticas simplistas limitadas no modelo analógico humano (Kim, 2025).</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Além destas análises profundas contínuas em </w:t>
      </w:r>
      <w:r w:rsidDel="00000000" w:rsidR="00000000" w:rsidRPr="00000000">
        <w:rPr>
          <w:rFonts w:ascii="Google Sans" w:cs="Google Sans" w:eastAsia="Google Sans" w:hAnsi="Google Sans"/>
          <w:i w:val="1"/>
          <w:iCs w:val="1"/>
          <w:color w:val="1f1f1f"/>
          <w:rtl w:val="0"/>
        </w:rPr>
        <w:t xml:space="preserve">Deep Learning</w:t>
      </w:r>
      <w:r w:rsidDel="00000000" w:rsidR="00000000" w:rsidRPr="00000000">
        <w:rPr>
          <w:rFonts w:ascii="Google Sans" w:cs="Google Sans" w:eastAsia="Google Sans" w:hAnsi="Google Sans"/>
          <w:color w:val="1f1f1f"/>
          <w:rtl w:val="0"/>
        </w:rPr>
        <w:t xml:space="preserve">, a consolidação e avaliações empíricas massivas na base da literatura subjacente global evidenciou que a utilização nas implementações operacionais paramétricas de potentes arquiteturas embasadas e hierarquizadas ativas temporalmente em matrizes complexas conhecidas pelas siglas do limite no ramo das regressões e nas </w:t>
      </w:r>
      <w:r w:rsidDel="00000000" w:rsidR="00000000" w:rsidRPr="00000000">
        <w:rPr>
          <w:rFonts w:ascii="Google Sans" w:cs="Google Sans" w:eastAsia="Google Sans" w:hAnsi="Google Sans"/>
          <w:i w:val="1"/>
          <w:iCs w:val="1"/>
          <w:color w:val="1f1f1f"/>
          <w:rtl w:val="0"/>
        </w:rPr>
        <w:t xml:space="preserve">Random Forests</w:t>
      </w:r>
      <w:r w:rsidDel="00000000" w:rsidR="00000000" w:rsidRPr="00000000">
        <w:rPr>
          <w:rFonts w:ascii="Google Sans" w:cs="Google Sans" w:eastAsia="Google Sans" w:hAnsi="Google Sans"/>
          <w:color w:val="1f1f1f"/>
          <w:rtl w:val="0"/>
        </w:rPr>
        <w:t xml:space="preserve"> expandidas ou como os aglomerados iterativos conhecidos classicamente através da modelagem na família dos classificadores não paramétricos em estruturas como na arquitetura computacional </w:t>
      </w:r>
      <w:r w:rsidDel="00000000" w:rsidR="00000000" w:rsidRPr="00000000">
        <w:rPr>
          <w:rFonts w:ascii="Google Sans" w:cs="Google Sans" w:eastAsia="Google Sans" w:hAnsi="Google Sans"/>
          <w:i w:val="1"/>
          <w:iCs w:val="1"/>
          <w:color w:val="1f1f1f"/>
          <w:rtl w:val="0"/>
        </w:rPr>
        <w:t xml:space="preserve">Ensemble Decision Trees</w:t>
      </w:r>
      <w:r w:rsidDel="00000000" w:rsidR="00000000" w:rsidRPr="00000000">
        <w:rPr>
          <w:rFonts w:ascii="Google Sans" w:cs="Google Sans" w:eastAsia="Google Sans" w:hAnsi="Google Sans"/>
          <w:color w:val="1f1f1f"/>
          <w:rtl w:val="0"/>
        </w:rPr>
        <w:t xml:space="preserve"> (EDT). Destacam-se ativamente nestas topologias paramétricas o desempenho dos </w:t>
      </w:r>
      <w:r w:rsidDel="00000000" w:rsidR="00000000" w:rsidRPr="00000000">
        <w:rPr>
          <w:rFonts w:ascii="Google Sans" w:cs="Google Sans" w:eastAsia="Google Sans" w:hAnsi="Google Sans"/>
          <w:i w:val="1"/>
          <w:iCs w:val="1"/>
          <w:color w:val="1f1f1f"/>
          <w:rtl w:val="0"/>
        </w:rPr>
        <w:t xml:space="preserve">Bagged Trees</w:t>
      </w:r>
      <w:r w:rsidDel="00000000" w:rsidR="00000000" w:rsidRPr="00000000">
        <w:rPr>
          <w:rFonts w:ascii="Google Sans" w:cs="Google Sans" w:eastAsia="Google Sans" w:hAnsi="Google Sans"/>
          <w:color w:val="1f1f1f"/>
          <w:rtl w:val="0"/>
        </w:rPr>
        <w:t xml:space="preserve"> robustos ou modelagens embasadas e sustentadas na arquitetura matemática de correção nos sub-árvores contínuas </w:t>
      </w:r>
      <w:r w:rsidDel="00000000" w:rsidR="00000000" w:rsidRPr="00000000">
        <w:rPr>
          <w:rFonts w:ascii="Google Sans" w:cs="Google Sans" w:eastAsia="Google Sans" w:hAnsi="Google Sans"/>
          <w:i w:val="1"/>
          <w:iCs w:val="1"/>
          <w:color w:val="1f1f1f"/>
          <w:rtl w:val="0"/>
        </w:rPr>
        <w:t xml:space="preserve">Boosted</w:t>
      </w:r>
      <w:r w:rsidDel="00000000" w:rsidR="00000000" w:rsidRPr="00000000">
        <w:rPr>
          <w:rFonts w:ascii="Google Sans" w:cs="Google Sans" w:eastAsia="Google Sans" w:hAnsi="Google Sans"/>
          <w:color w:val="1f1f1f"/>
          <w:rtl w:val="0"/>
        </w:rPr>
        <w:t xml:space="preserve"> impulsionadas iterativamente nas matrizes temporais e na inferência estatística matemática focada no conceito da função de gradiente analítico contínuo (</w:t>
      </w:r>
      <w:r w:rsidDel="00000000" w:rsidR="00000000" w:rsidRPr="00000000">
        <w:rPr>
          <w:rFonts w:ascii="Google Sans" w:cs="Google Sans" w:eastAsia="Google Sans" w:hAnsi="Google Sans"/>
          <w:i w:val="1"/>
          <w:iCs w:val="1"/>
          <w:color w:val="1f1f1f"/>
          <w:rtl w:val="0"/>
        </w:rPr>
        <w:t xml:space="preserve">Gradient Boosting</w:t>
      </w:r>
      <w:r w:rsidDel="00000000" w:rsidR="00000000" w:rsidRPr="00000000">
        <w:rPr>
          <w:rFonts w:ascii="Google Sans" w:cs="Google Sans" w:eastAsia="Google Sans" w:hAnsi="Google Sans"/>
          <w:color w:val="1f1f1f"/>
          <w:rtl w:val="0"/>
        </w:rPr>
        <w:t xml:space="preserve">), consolidando vetores como no robusto pacote algorítmico do </w:t>
      </w:r>
      <w:r w:rsidDel="00000000" w:rsidR="00000000" w:rsidRPr="00000000">
        <w:rPr>
          <w:rFonts w:ascii="Google Sans" w:cs="Google Sans" w:eastAsia="Google Sans" w:hAnsi="Google Sans"/>
          <w:i w:val="1"/>
          <w:iCs w:val="1"/>
          <w:color w:val="1f1f1f"/>
          <w:rtl w:val="0"/>
        </w:rPr>
        <w:t xml:space="preserve">XGBoost</w:t>
      </w:r>
      <w:r w:rsidDel="00000000" w:rsidR="00000000" w:rsidRPr="00000000">
        <w:rPr>
          <w:rFonts w:ascii="Google Sans" w:cs="Google Sans" w:eastAsia="Google Sans" w:hAnsi="Google Sans"/>
          <w:color w:val="1f1f1f"/>
          <w:rtl w:val="0"/>
        </w:rPr>
        <w:t xml:space="preserve">. Estes modelos demonstraram superar rotineiramente as clássicas Redes Neurais multicamadas contínuas do gênero simples da sigla (FFNN - </w:t>
      </w:r>
      <w:r w:rsidDel="00000000" w:rsidR="00000000" w:rsidRPr="00000000">
        <w:rPr>
          <w:rFonts w:ascii="Google Sans" w:cs="Google Sans" w:eastAsia="Google Sans" w:hAnsi="Google Sans"/>
          <w:i w:val="1"/>
          <w:iCs w:val="1"/>
          <w:color w:val="1f1f1f"/>
          <w:rtl w:val="0"/>
        </w:rPr>
        <w:t xml:space="preserve">Feed-Forward Neural Networks</w:t>
      </w:r>
      <w:r w:rsidDel="00000000" w:rsidR="00000000" w:rsidRPr="00000000">
        <w:rPr>
          <w:rFonts w:ascii="Google Sans" w:cs="Google Sans" w:eastAsia="Google Sans" w:hAnsi="Google Sans"/>
          <w:color w:val="1f1f1f"/>
          <w:rtl w:val="0"/>
        </w:rPr>
        <w:t xml:space="preserve">), devido a atributos analíticos estruturais de estabilidade assintótica contínua superior no poder inerente natural de generalização de seus divisores lógicos (fator este que confere resiliência e a evitação imediata dos conhecidos abalos e colapsos arquiteturais de sobre-ajustes danosos em dados randômicos que constituem as denominadas anomalias nos parâmetros temporais, falha mortal em estatística rotulada estritamente através do termo estrutural pernicioso e sistêmico algorítmico de erro letal por </w:t>
      </w:r>
      <w:r w:rsidDel="00000000" w:rsidR="00000000" w:rsidRPr="00000000">
        <w:rPr>
          <w:rFonts w:ascii="Google Sans" w:cs="Google Sans" w:eastAsia="Google Sans" w:hAnsi="Google Sans"/>
          <w:i w:val="1"/>
          <w:iCs w:val="1"/>
          <w:color w:val="1f1f1f"/>
          <w:rtl w:val="0"/>
        </w:rPr>
        <w:t xml:space="preserve">overfitting</w:t>
      </w:r>
      <w:r w:rsidDel="00000000" w:rsidR="00000000" w:rsidRPr="00000000">
        <w:rPr>
          <w:rFonts w:ascii="Google Sans" w:cs="Google Sans" w:eastAsia="Google Sans" w:hAnsi="Google Sans"/>
          <w:color w:val="1f1f1f"/>
          <w:rtl w:val="0"/>
        </w:rPr>
        <w:t xml:space="preserve"> ou super-memorização), particularmente quando inseridas nas etapas de extração matricial heterogênea nas tabelas de dados não-estruturados, textuais híbridos e com amplas variáveis de contagem esparsas característicos nos extensos volumes analíticos oriundos das dinâmicas intrincadas dos repositórios orgânicos na nutrição (Aci e Yergök, 2023).</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 Dinâmica Autônoma de Micro-Ajuste Cibernético Contínuo via Paradigmas do Aprendizado por Reforço (Reinforcement Learning)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Enquanto a imensa e potente complexa dimensão contínua inerente nos algoritmos na vertente descrita em abordagens preditivas na modelagem analítica citada determina imperativamente as projeções precisas logísticas para as equações temporais de aprovisionamentos sobre especificamente "quanto" suprimento global será requerido preparar fisicamente nas UANs limitando de modo rigoroso as taxas exponenciais dos massivos desperdícios e compras descontroladas. Todavia, a capacidade avançada de estabelecer de modo adaptativo flexível síncrono subjacente com uma margem rigorosa sobre "o que" o motor interativo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preditivo analítico de fato deverá exibir para recomendar diretamente nos visores, displays móveis dos dispositivos interconectados do público individual na plataforma ativa corporativa dos comensais exige algo imensamente mais intrincado em computação: uma calibração algorítmica constante calcada ininterruptamente pautada na sintonia sutil baseada nas variações orgânicas diárias imprevistas contínuas nos gostos flutuantes interativos das preferências sensoriais nas matrizes biológicas voláteis organolépticas, cujas oscilações ocorrem ininterruptamente ativamente e impõem arquiteturas fundamentadas exclusivamente pautadas nos modelos estruturais complexos em malha fechada interconectada por respostas ativas da rede global num processo reativo autônomo baseado ativamente em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das interfaces temporais no conceito sistêmico orgânico da cibernética cibernética (Autor desconhecido, 2023).</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Trata-se inequivocamente e precipuamente, contudo, no imenso domínio exclusivo subjacente originado no âmbito absoluto intrincado paramétrico focado de modo exato pela aplicação direta autônoma estrita do arcabouço computacional da Inteligência Artificial denominado formal e largamente sob o preceito do Aprendizado por Reforço (a partir do vocábulo acadêmico matriz na ciência inglesa estabelecido globalmente, </w:t>
      </w:r>
      <w:r w:rsidDel="00000000" w:rsidR="00000000" w:rsidRPr="00000000">
        <w:rPr>
          <w:rFonts w:ascii="Google Sans" w:cs="Google Sans" w:eastAsia="Google Sans" w:hAnsi="Google Sans"/>
          <w:i w:val="1"/>
          <w:iCs w:val="1"/>
          <w:color w:val="1f1f1f"/>
          <w:rtl w:val="0"/>
        </w:rPr>
        <w:t xml:space="preserve">Reinforcement Learning</w:t>
      </w:r>
      <w:r w:rsidDel="00000000" w:rsidR="00000000" w:rsidRPr="00000000">
        <w:rPr>
          <w:rFonts w:ascii="Google Sans" w:cs="Google Sans" w:eastAsia="Google Sans" w:hAnsi="Google Sans"/>
          <w:color w:val="1f1f1f"/>
          <w:rtl w:val="0"/>
        </w:rPr>
        <w:t xml:space="preserve"> com sua sigla de domínio mundial técnico e de vanguarda consolidada RL). Tal modelo subjacente dinâmico algorítmico paramétrico foi inspirado teoricamente através das teorias e vetores interativos observados cientificamente perante as antigas experiências nas linhas do tempo analíticas de testes rigorosos em condutas nas correntes experimentais fundamentadas da escola secularizada psicológica do conceito global conhecido do escopo behaviorista global. O modelo é matematizado fundamentalmente de modo exato estrutural formal atrelado matematicamente pautado estrito pelos chamados teóricos do axioma paramétrico dos vetores estocásticos dos referenciados </w:t>
      </w:r>
      <w:r w:rsidDel="00000000" w:rsidR="00000000" w:rsidRPr="00000000">
        <w:rPr>
          <w:rFonts w:ascii="Google Sans" w:cs="Google Sans" w:eastAsia="Google Sans" w:hAnsi="Google Sans"/>
          <w:i w:val="1"/>
          <w:iCs w:val="1"/>
          <w:color w:val="1f1f1f"/>
          <w:rtl w:val="0"/>
        </w:rPr>
        <w:t xml:space="preserve">Processos de Decisão de Markov</w:t>
      </w:r>
      <w:r w:rsidDel="00000000" w:rsidR="00000000" w:rsidRPr="00000000">
        <w:rPr>
          <w:rFonts w:ascii="Google Sans" w:cs="Google Sans" w:eastAsia="Google Sans" w:hAnsi="Google Sans"/>
          <w:color w:val="1f1f1f"/>
          <w:rtl w:val="0"/>
        </w:rPr>
        <w:t xml:space="preserve"> formalizados computacionalmente na extensa base algorítmica temporal paramétrica como a sigla em inglês MDP.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intrincada e poderosa malha da modelagem vetorial dos complexos ecossistemas na matriz paramétrica de decisões de cardápio via os preceitos dos processos baseados analíticos nas inferências MDP englobam e definem fundamental e meticulosamente o que constitui ininterruptamente na arquitetura contínua os denominados e projetados tensores dinâmicos em que há obrigatoriamente e intrinsecamente a existência matricial rigorosa de um amplo vetor analítico contínuo temporal multidimensional na modelagem de software denominado "estado global iterativo", tipicamente formalizado pela notação algorítmica algébrica </w:t>
      </w:r>
      <w:r w:rsidDel="00000000" w:rsidR="00000000" w:rsidRPr="00000000">
        <w:rPr>
          <w:rFonts w:ascii="Google Sans" w:cs="Google Sans" w:eastAsia="Google Sans" w:hAnsi="Google Sans"/>
          <w:color w:val="1f1f1f"/>
        </w:rPr>
        <w:drawing>
          <wp:inline distB="19050" distT="19050" distL="19050" distR="19050">
            <wp:extent cx="125611" cy="224777"/>
            <wp:effectExtent b="0" l="0" r="0" t="0"/>
            <wp:docPr id="15"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25611" cy="224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estado encapsula com total esmero estatístico em seu hiper-espaço vetorial contínuo analógico subjacente de modo profundo analítico todas as extensas características ativas da variada teia da topologia de parâmetros comportamentais e do restrito delineamento dietético fisiológico dinâmico inerente ativo no instante temporal presente sobre o comensal contínuo de forma irrestrita. O vetor cruza o intrincado emaranhado profundo dos vetores e registros latentes indexados acumulados ativamente pelo histórico contínuo profundo orgânico acumulado de todas as micro-escolhas passadas registradas no sistema em uso por este agente autônomo e suas sub-taxonomias dinâmicas. O modelo contrapõe as infinitas topologias baseadas e indexadas numa extensão e amplo subespaço vetorial estrito temporal associado e contínuo da matemática nomeado do restrito conjunto paramétrico analítico do espaço iterativo complexo estrito e profundo mapeado e estocástico com a taxonomia de "espaço estrito de ações discricionárias" interativas do agente, formalizado na equação e nos algoritmos sob a rígida notação vetorial ativa analítica na letra do operador matricial formal como a variável relacional da ciência restrita representada com a taxonomia </w:t>
      </w:r>
      <w:r w:rsidDel="00000000" w:rsidR="00000000" w:rsidRPr="00000000">
        <w:rPr>
          <w:rFonts w:ascii="Google Sans" w:cs="Google Sans" w:eastAsia="Google Sans" w:hAnsi="Google Sans"/>
          <w:color w:val="1f1f1f"/>
        </w:rPr>
        <w:drawing>
          <wp:inline distB="19050" distT="19050" distL="19050" distR="19050">
            <wp:extent cx="147240" cy="227553"/>
            <wp:effectExtent b="0" l="0" r="0" t="0"/>
            <wp:docPr id="16"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147240" cy="227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ação </w:t>
      </w:r>
      <w:r w:rsidDel="00000000" w:rsidR="00000000" w:rsidRPr="00000000">
        <w:rPr>
          <w:rFonts w:ascii="Google Sans" w:cs="Google Sans" w:eastAsia="Google Sans" w:hAnsi="Google Sans"/>
          <w:color w:val="1f1f1f"/>
        </w:rPr>
        <w:drawing>
          <wp:inline distB="19050" distT="19050" distL="19050" distR="19050">
            <wp:extent cx="147240" cy="227553"/>
            <wp:effectExtent b="0" l="0" r="0" t="0"/>
            <wp:docPr id="17"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147240" cy="227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essencial e puramente dita define e formaliza na infraestrutura subjacente de software na orquestração interconectada analógica qual recomendação em milissegundos pontual temporal imediata será imposta exibida ou o agendamento contínuo complexo do sequenciamento logístico vetorial ativo contínuo na estruturação do menu ou na tela da prescrição dietética móvel orgânica autônoma imediata imposta gerada ativamente para sugerir aos clientes em malha temporal. O parâmetro conector central restrito e complexo no vetor responsável no algoritmo pelas guinadas no aprendizado analógico deste tensor autônomo é e atua na malha matemática operada fundamental e restritamente no ecossistema interativo analítico ditado com precisão pelas dinâmicas matemáticas sob as leis temporais das matrizes computadas iterativamente nas sub-políticas analógicas dos </w:t>
      </w:r>
      <w:r w:rsidDel="00000000" w:rsidR="00000000" w:rsidRPr="00000000">
        <w:rPr>
          <w:rFonts w:ascii="Google Sans" w:cs="Google Sans" w:eastAsia="Google Sans" w:hAnsi="Google Sans"/>
          <w:i w:val="1"/>
          <w:iCs w:val="1"/>
          <w:color w:val="1f1f1f"/>
          <w:rtl w:val="0"/>
        </w:rPr>
        <w:t xml:space="preserve">feedbacks</w:t>
      </w:r>
      <w:r w:rsidDel="00000000" w:rsidR="00000000" w:rsidRPr="00000000">
        <w:rPr>
          <w:rFonts w:ascii="Google Sans" w:cs="Google Sans" w:eastAsia="Google Sans" w:hAnsi="Google Sans"/>
          <w:color w:val="1f1f1f"/>
          <w:rtl w:val="0"/>
        </w:rPr>
        <w:t xml:space="preserve"> de restritas equações interativas de perdas estritas da equação central vetorial, conhecida amplamente referenciada nos limites das funções da equação do conceito estrutural sob o núcleo central do formal sinal da pontuação escalar orgânica modelada ativa parametrizada ativamente como a taxonomia intrínseca denominada da equação vetorial da letra </w:t>
      </w:r>
      <w:r w:rsidDel="00000000" w:rsidR="00000000" w:rsidRPr="00000000">
        <w:rPr>
          <w:rFonts w:ascii="Google Sans" w:cs="Google Sans" w:eastAsia="Google Sans" w:hAnsi="Google Sans"/>
          <w:color w:val="1f1f1f"/>
        </w:rPr>
        <w:drawing>
          <wp:inline distB="19050" distT="19050" distL="19050" distR="19050">
            <wp:extent cx="156468" cy="221663"/>
            <wp:effectExtent b="0" l="0" r="0" t="0"/>
            <wp:docPr id="1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156468" cy="221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("função estrita ativa paramétrica de sinal vetorial da recompensa" ou recompensa contínua iterativa de avaliação de perdas no gradiente da modelagem ativa).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avanço na formulação da computação materializa-se na arquitetura híbrida de algoritmos de filtragem colaborativa amparados pela inferência iterativa profunda estrutural por métodos complexos globais associados ativamente da manipulação estocástica baseada nas extensas multiplicações de equações ativas pela matriz operada denominada no escopo de </w:t>
      </w:r>
      <w:r w:rsidDel="00000000" w:rsidR="00000000" w:rsidRPr="00000000">
        <w:rPr>
          <w:rFonts w:ascii="Google Sans" w:cs="Google Sans" w:eastAsia="Google Sans" w:hAnsi="Google Sans"/>
          <w:i w:val="1"/>
          <w:iCs w:val="1"/>
          <w:color w:val="1f1f1f"/>
          <w:rtl w:val="0"/>
        </w:rPr>
        <w:t xml:space="preserve">fatorização matricial cruzada algorítmica iterativa</w:t>
      </w:r>
      <w:r w:rsidDel="00000000" w:rsidR="00000000" w:rsidRPr="00000000">
        <w:rPr>
          <w:rFonts w:ascii="Google Sans" w:cs="Google Sans" w:eastAsia="Google Sans" w:hAnsi="Google Sans"/>
          <w:color w:val="1f1f1f"/>
          <w:rtl w:val="0"/>
        </w:rPr>
        <w:t xml:space="preserve">. A fatorização analógica é atrelada diretamente acoplada em uníssono de forma assíncrona profunda contínua com a implantação paralela interconectada do uso de complexas e extensas redes ativas analíticas globais orientadas a inferência em topologias autônomas referenciadas ativamente sob algoritmos matemáticos sob o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das iterativas políticas assintóticas restritas globais estocásticas orientadas a busca do gradiente autônomo ativo da família algorítmica autônoma baseada rigorosamente no equacionamento temporal restrito das funções e matrizes do </w:t>
      </w:r>
      <w:r w:rsidDel="00000000" w:rsidR="00000000" w:rsidRPr="00000000">
        <w:rPr>
          <w:rFonts w:ascii="Google Sans" w:cs="Google Sans" w:eastAsia="Google Sans" w:hAnsi="Google Sans"/>
          <w:i w:val="1"/>
          <w:iCs w:val="1"/>
          <w:color w:val="1f1f1f"/>
          <w:rtl w:val="0"/>
        </w:rPr>
        <w:t xml:space="preserve">Q-Learning</w:t>
      </w:r>
      <w:r w:rsidDel="00000000" w:rsidR="00000000" w:rsidRPr="00000000">
        <w:rPr>
          <w:rFonts w:ascii="Google Sans" w:cs="Google Sans" w:eastAsia="Google Sans" w:hAnsi="Google Sans"/>
          <w:color w:val="1f1f1f"/>
          <w:rtl w:val="0"/>
        </w:rPr>
        <w:t xml:space="preserve"> na fronteira subjacente das políticas dos métodos de varredura ativa baseada nos agentes na classe abrangente associada em RL. O método combinado é comumente e tecnicamente denominado como Estrutura de Aprendizado por Reforço com Filtragem Colaborativa (CFRL). Essa interface cibernética humano-computador opera o núcleo e todo o escopo autônomo do modelo restrito classificado analiticamente em projetos sob a nomenclatura das lógicas estritas na interface autônoma de arquitetura no referencial analítico subjacente temporal </w:t>
      </w:r>
      <w:r w:rsidDel="00000000" w:rsidR="00000000" w:rsidRPr="00000000">
        <w:rPr>
          <w:rFonts w:ascii="Google Sans" w:cs="Google Sans" w:eastAsia="Google Sans" w:hAnsi="Google Sans"/>
          <w:i w:val="1"/>
          <w:iCs w:val="1"/>
          <w:color w:val="1f1f1f"/>
          <w:rtl w:val="0"/>
        </w:rPr>
        <w:t xml:space="preserve">Human-in-the-Loop</w:t>
      </w:r>
      <w:r w:rsidDel="00000000" w:rsidR="00000000" w:rsidRPr="00000000">
        <w:rPr>
          <w:rFonts w:ascii="Google Sans" w:cs="Google Sans" w:eastAsia="Google Sans" w:hAnsi="Google Sans"/>
          <w:color w:val="1f1f1f"/>
          <w:rtl w:val="0"/>
        </w:rPr>
        <w:t xml:space="preserve">, ajustando permanentemente a política estocástica baseada exclusivamente e de modo iterativo e responsivo restritamente ativado de forma contínua em tempo real baseada diretamente calcada de forma ininterrupta nas inumeráveis micro reações, cliques, seleções temporais táteis e interativas nas lógicas temporais do e avaliações e no sistema complexo restrito em escala pontual instantânea ativa e imediata baseada pelas avaliações do próprio grupo contínuo ativo do indivíduo logado restrito monitorado pelo algoritmo na rede do sistema e dos clientes associados ativamente no aplicativo do sistema UAN avaliado global e pontualmente iterativamente (Autor desconhecido, 2024).</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função balizadora global intrincada do sistema baseada ativamente nas arquiteturas restritas das funções autônomas ativas globais em recompensas contínuas de métrica associada iterativa sob múltiplos patamares no eixo escalar vetorial e atrelada e pautada no multi-critério escalar paramétrico (</w:t>
      </w:r>
      <w:r w:rsidDel="00000000" w:rsidR="00000000" w:rsidRPr="00000000">
        <w:rPr>
          <w:rFonts w:ascii="Google Sans" w:cs="Google Sans" w:eastAsia="Google Sans" w:hAnsi="Google Sans"/>
          <w:color w:val="1f1f1f"/>
        </w:rPr>
        <w:drawing>
          <wp:inline distB="19050" distT="19050" distL="19050" distR="19050">
            <wp:extent cx="88305" cy="251329"/>
            <wp:effectExtent b="0" l="0" r="0" t="0"/>
            <wp:docPr id="1"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88305" cy="251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projetada estrategicamente por desenvolvedores ativamente com o objetivo de guiar o agente rumo à conversão subjacente assintótica é matematicamente descrita como a soma ponderada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181320" cy="235303"/>
            <wp:effectExtent b="0" l="0" r="0" t="0"/>
            <wp:docPr id="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2181320" cy="23530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cada eixo do plano da ponderação assume o rigor do balanceamento paramétrico:</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 variável </w:t>
      </w:r>
      <w:r w:rsidDel="00000000" w:rsidR="00000000" w:rsidRPr="00000000">
        <w:rPr>
          <w:rFonts w:ascii="Google Sans" w:cs="Google Sans" w:eastAsia="Google Sans" w:hAnsi="Google Sans"/>
          <w:color w:val="1f1f1f"/>
        </w:rPr>
        <w:drawing>
          <wp:inline distB="19050" distT="19050" distL="19050" distR="19050">
            <wp:extent cx="166191" cy="245963"/>
            <wp:effectExtent b="0" l="0" r="0" t="0"/>
            <wp:docPr id="3"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66191" cy="245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perfaz a pontuação subjacente intrínseca modelada com escala estrita normalizada (tradicionalmente e linearmente no limite contínuo das grandezas compreendida num espaço do vetor ) extraída e compilada instantaneamente no fluxo diário assíncrono oriunda baseada nas marcações de pontuação contínuas do fluxo contínuo autônomo ativado e avaliado em tempo hábil das informações do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restrito humano interativo temporal analógico subjacente ativado nas operações atreladas ao fluxo pontual e restrito atrelado na base restrita em tempo real, ditando instantaneamente as inclinações orgânicas de preferências temporais e momentâneas mitigando restritamente distorções no modelo de viés algorítmico da malha preditiva e do viés contínuo de variação associada intrínseca e modelada paramétrica temporal.</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 componente modelado do escore paramétrico avaliado como vetor e designado como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denota especificamente o escore paramétrico do plano de base quantitativo global atrelado do contínuo subjacente vetorial autônomo da validação do respectivo contínuo do índice e do valor intrínseco fixo pré-calculado na base subjacente paramétrica do escopo intrincado na matriz nutricional pré-estabelecida ou prescrita pontualmente pelas lógicas dietéticas clínicas subjacentes rígidas contínuas por especialistas atuantes do órgão das UANs interligados na plataforma e do próprio painel temporal das regras avaliativas de saúde orgânicas rígidas.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formulação atrelada designada como base no modelo vetorial atrelado na escala na rubrica taxada no símbolo representativo paramétrico de base analítica no modelo de regressão avaliado pontualmente no fator </w:t>
      </w:r>
      <w:r w:rsidDel="00000000" w:rsidR="00000000" w:rsidRPr="00000000">
        <w:rPr>
          <w:rFonts w:ascii="Google Sans" w:cs="Google Sans" w:eastAsia="Google Sans" w:hAnsi="Google Sans"/>
          <w:color w:val="1f1f1f"/>
        </w:rPr>
        <w:drawing>
          <wp:inline distB="19050" distT="19050" distL="19050" distR="19050">
            <wp:extent cx="92770" cy="228831"/>
            <wp:effectExtent b="0" l="0" r="0" t="0"/>
            <wp:docPr id="5"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92770"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fundamentalmente a variação interativa e quantificada no parâmetro do fator e pontuação global estrita do grau escalar e do limite matemático da métrica contínua ativa referente puramente na base avaliada estatisticamente temporal atrelada à afinidade associada e o </w:t>
      </w:r>
      <w:r w:rsidDel="00000000" w:rsidR="00000000" w:rsidRPr="00000000">
        <w:rPr>
          <w:rFonts w:ascii="Google Sans" w:cs="Google Sans" w:eastAsia="Google Sans" w:hAnsi="Google Sans"/>
          <w:i w:val="1"/>
          <w:iCs w:val="1"/>
          <w:color w:val="1f1f1f"/>
          <w:rtl w:val="0"/>
        </w:rPr>
        <w:t xml:space="preserve">matching</w:t>
      </w:r>
      <w:r w:rsidDel="00000000" w:rsidR="00000000" w:rsidRPr="00000000">
        <w:rPr>
          <w:rFonts w:ascii="Google Sans" w:cs="Google Sans" w:eastAsia="Google Sans" w:hAnsi="Google Sans"/>
          <w:color w:val="1f1f1f"/>
          <w:rtl w:val="0"/>
        </w:rPr>
        <w:t xml:space="preserve"> estatístico latente estrito interativo mensurado profundamente e estabelecido no sistema entre ativamente o delineamento contínuo complexo dinâmico das características semânticas inerentes subjacentes e latentes estritamente estruturais modeladas ativamente indexadas da referida matriz contínua temporal da refeição isolada orgânica sugerida comparado correlacionado em proximidade matemática direta paramétrica contra o vetor de referências contínua de base temporal no modelo complexo de predisposição do histórico estritamente detectado indexado restritamente e parametrizado autônomo indexado ativamente pontualmente contínuo inferido do usuário analisado e pontuado restritamente originado a partir e extraído pela base referencial modelada matematicamente subjacente matriz analítica correlacional ativa global de filtragem autônoma algorítmica iterativa colaborativa profunda no tensor do agente avaliado na pontuação do instante indexada pontualmente e continuadamente.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Os parâmetros </w:t>
      </w:r>
      <w:r w:rsidDel="00000000" w:rsidR="00000000" w:rsidRPr="00000000">
        <w:rPr>
          <w:rFonts w:ascii="Google Sans" w:cs="Google Sans" w:eastAsia="Google Sans" w:hAnsi="Google Sans"/>
          <w:color w:val="1f1f1f"/>
        </w:rPr>
        <w:drawing>
          <wp:inline distB="19050" distT="19050" distL="19050" distR="19050">
            <wp:extent cx="136922" cy="241243"/>
            <wp:effectExtent b="0" l="0" r="0" t="0"/>
            <wp:docPr id="6"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136922" cy="24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agem estritamente e arquiteturalmente como os coeficientes modelados como as lógicas calibrações restritas balizadoras do controle de limiares axiomáticos na soma temporal das restrições e dos diversos e distintos divergentes objetivos de subjacentes contínuos vetoriais associativos na inter-relação orgânica restritiva e global atuantes avaliados nos fluxos das decisões e limites contínuos das UANs no contínuo dos níveis do referenciado e estabelecido serviço sistêmico do ecossistema algorítmico e global avaliado (Autor desconhecido, 2024).</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solidez inquestionável dessa estrutura autônoma analítica associada profunda é demonstrada não no mundo acadêmico meramente platônico, mas em aplicações diretas no controle transacional simulado. Ao treinar agentes de Otimização de Política Proximal (PPO - </w:t>
      </w:r>
      <w:r w:rsidDel="00000000" w:rsidR="00000000" w:rsidRPr="00000000">
        <w:rPr>
          <w:rFonts w:ascii="Google Sans" w:cs="Google Sans" w:eastAsia="Google Sans" w:hAnsi="Google Sans"/>
          <w:i w:val="1"/>
          <w:iCs w:val="1"/>
          <w:color w:val="1f1f1f"/>
          <w:rtl w:val="0"/>
        </w:rPr>
        <w:t xml:space="preserve">Proximal Policy Optimization</w:t>
      </w:r>
      <w:r w:rsidDel="00000000" w:rsidR="00000000" w:rsidRPr="00000000">
        <w:rPr>
          <w:rFonts w:ascii="Google Sans" w:cs="Google Sans" w:eastAsia="Google Sans" w:hAnsi="Google Sans"/>
          <w:color w:val="1f1f1f"/>
          <w:rtl w:val="0"/>
        </w:rPr>
        <w:t xml:space="preserve">) e algoritmos do tipo </w:t>
      </w:r>
      <w:r w:rsidDel="00000000" w:rsidR="00000000" w:rsidRPr="00000000">
        <w:rPr>
          <w:rFonts w:ascii="Google Sans" w:cs="Google Sans" w:eastAsia="Google Sans" w:hAnsi="Google Sans"/>
          <w:i w:val="1"/>
          <w:iCs w:val="1"/>
          <w:color w:val="1f1f1f"/>
          <w:rtl w:val="0"/>
        </w:rPr>
        <w:t xml:space="preserve">Soft Actor-Critic</w:t>
      </w:r>
      <w:r w:rsidDel="00000000" w:rsidR="00000000" w:rsidRPr="00000000">
        <w:rPr>
          <w:rFonts w:ascii="Google Sans" w:cs="Google Sans" w:eastAsia="Google Sans" w:hAnsi="Google Sans"/>
          <w:color w:val="1f1f1f"/>
          <w:rtl w:val="0"/>
        </w:rPr>
        <w:t xml:space="preserve"> (SAC) sob milhões de iterações em sistemas de eventos discretos da cadeia logística de UAN, a IA conseguiu absorver um sem-número de interações de compra, vencimento e escolha de consumidores, resultando na eliminação do desperdício de insumos entre 78% a 92% perante as </w:t>
      </w:r>
      <w:r w:rsidDel="00000000" w:rsidR="00000000" w:rsidRPr="00000000">
        <w:rPr>
          <w:rFonts w:ascii="Google Sans" w:cs="Google Sans" w:eastAsia="Google Sans" w:hAnsi="Google Sans"/>
          <w:i w:val="1"/>
          <w:iCs w:val="1"/>
          <w:color w:val="1f1f1f"/>
          <w:rtl w:val="0"/>
        </w:rPr>
        <w:t xml:space="preserve">baselines</w:t>
      </w:r>
      <w:r w:rsidDel="00000000" w:rsidR="00000000" w:rsidRPr="00000000">
        <w:rPr>
          <w:rFonts w:ascii="Google Sans" w:cs="Google Sans" w:eastAsia="Google Sans" w:hAnsi="Google Sans"/>
          <w:color w:val="1f1f1f"/>
          <w:rtl w:val="0"/>
        </w:rPr>
        <w:t xml:space="preserve"> de processos humanos preexistentes em extensos testes com períodos analíticos contínuos cegos ao longo das análises estendidas simuladas da margem cronológica ininterrupta na verificação ativa nos testes avaliados durante três extensos anos contínuos ininterruptos (Pilarski et al., 2024).</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 processamento desta miríade de variáveis evitou catástrofes logísticas que os dados históricos sozinhos nunca conseguiriam prever isoladamente na cadeia e atrelaram com excelência e garantiram efetivamente modelar ativamente e solidamente de modo irredutível associado que o autônomo aprendizado do sofisticado agente PPO na matriz continuada e analógica subjacente associada garantisse criar ativamente na margem iterativa orgânica temporal do modelo um painel subjacente que efetivamente estruturasse analítica e exaustivamente políticas complexas de decisão autônoma operacional hiper-resiliente no subespaço logístico das operações globais.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métodos modernos como o modelo referenciado na base temporal de </w:t>
      </w:r>
      <w:r w:rsidDel="00000000" w:rsidR="00000000" w:rsidRPr="00000000">
        <w:rPr>
          <w:rFonts w:ascii="Google Sans" w:cs="Google Sans" w:eastAsia="Google Sans" w:hAnsi="Google Sans"/>
          <w:i w:val="1"/>
          <w:iCs w:val="1"/>
          <w:color w:val="1f1f1f"/>
          <w:rtl w:val="0"/>
        </w:rPr>
        <w:t xml:space="preserve">Reinforcement Learning with Human Feedback</w:t>
      </w:r>
      <w:r w:rsidDel="00000000" w:rsidR="00000000" w:rsidRPr="00000000">
        <w:rPr>
          <w:rFonts w:ascii="Google Sans" w:cs="Google Sans" w:eastAsia="Google Sans" w:hAnsi="Google Sans"/>
          <w:color w:val="1f1f1f"/>
          <w:rtl w:val="0"/>
        </w:rPr>
        <w:t xml:space="preserve"> (RLHF) revelaram-se insubstituíveis e necessários para sintonizar arquiteturas conversacionais baseadas amplamente atreladas e integradas intrinsecamente e massivamente nos Grandes Modelos de Linguagem (LLMs). Tais redes propiciam ao sistema extrair escolhas alimentares via diálogos abertos, garantindo fluidez orgânica sem dependência tátil estrita. A arquitetura RLHF mitiga ativamente que distorções orgânicas ou de base nas informações das respostas da malha do sistema subjacente possam super-amplificar erros nas predições ativas de conversação nos vetores iterativos globais orgânicos ou induzir no escopo de </w:t>
      </w:r>
      <w:r w:rsidDel="00000000" w:rsidR="00000000" w:rsidRPr="00000000">
        <w:rPr>
          <w:rFonts w:ascii="Google Sans" w:cs="Google Sans" w:eastAsia="Google Sans" w:hAnsi="Google Sans"/>
          <w:i w:val="1"/>
          <w:iCs w:val="1"/>
          <w:color w:val="1f1f1f"/>
          <w:rtl w:val="0"/>
        </w:rPr>
        <w:t xml:space="preserve">hallucinations</w:t>
      </w:r>
      <w:r w:rsidDel="00000000" w:rsidR="00000000" w:rsidRPr="00000000">
        <w:rPr>
          <w:rFonts w:ascii="Google Sans" w:cs="Google Sans" w:eastAsia="Google Sans" w:hAnsi="Google Sans"/>
          <w:color w:val="1f1f1f"/>
          <w:rtl w:val="0"/>
        </w:rPr>
        <w:t xml:space="preserve"> (alucinações da máquina) prejudiciais ou taticamente perigosas referentes ao protocolo médico das diretrizes UAN (Amazon, 2024; Cohen e Boutilier, 2023).</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O aprendizado por reforço interconecta e coreografa a rigidez das UANs com a natural oscilação psicológica orgânica da coletividade orgânica global associada interativamente temporalmente na malha das operações assíncronas do diálogo multivariado avaliado pontualmente nas restrições algorítmicas (Cohen e Boutilier, 2023).</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Tendências Disparadoras nas Foodtechs Acadêmicas para o Futuro Iminente da Engenharia e dos Sistemas de UAN 4.0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Sob as premissas e sob os óculos da metodologia técnica voltada ativamente orientada e definida nas ciências estruturais sistêmicas de avaliações prospectivas sistêmicas na modelagem orientada analítica e de pesquisa da Prospecção Tecnológica (amplamente estabelecida com a nomenclatura técnica anglo-saxônica subjacente e acadêmica de </w:t>
      </w:r>
      <w:r w:rsidDel="00000000" w:rsidR="00000000" w:rsidRPr="00000000">
        <w:rPr>
          <w:rFonts w:ascii="Google Sans" w:cs="Google Sans" w:eastAsia="Google Sans" w:hAnsi="Google Sans"/>
          <w:i w:val="1"/>
          <w:iCs w:val="1"/>
          <w:color w:val="1f1f1f"/>
          <w:rtl w:val="0"/>
        </w:rPr>
        <w:t xml:space="preserve">Future-oriented Technology Analysis</w:t>
      </w:r>
      <w:r w:rsidDel="00000000" w:rsidR="00000000" w:rsidRPr="00000000">
        <w:rPr>
          <w:rFonts w:ascii="Google Sans" w:cs="Google Sans" w:eastAsia="Google Sans" w:hAnsi="Google Sans"/>
          <w:color w:val="1f1f1f"/>
          <w:rtl w:val="0"/>
        </w:rPr>
        <w:t xml:space="preserve"> — FTA), o escrutínio sobre o papel irreversível e dinâmico associado nas integrações da cadeia de fornecedores e da pesquisa e modelagem associada do escopo emergente intrincado inerente da complexidade sistêmica referenciada amplamente orgânica e tecnológica nos parâmetros e nas fundações denominadas das emergentes e massivas startups industriais </w:t>
      </w:r>
      <w:r w:rsidDel="00000000" w:rsidR="00000000" w:rsidRPr="00000000">
        <w:rPr>
          <w:rFonts w:ascii="Google Sans" w:cs="Google Sans" w:eastAsia="Google Sans" w:hAnsi="Google Sans"/>
          <w:i w:val="1"/>
          <w:iCs w:val="1"/>
          <w:color w:val="1f1f1f"/>
          <w:rtl w:val="0"/>
        </w:rPr>
        <w:t xml:space="preserve">Foodtechs</w:t>
      </w:r>
      <w:r w:rsidDel="00000000" w:rsidR="00000000" w:rsidRPr="00000000">
        <w:rPr>
          <w:rFonts w:ascii="Google Sans" w:cs="Google Sans" w:eastAsia="Google Sans" w:hAnsi="Google Sans"/>
          <w:color w:val="1f1f1f"/>
          <w:rtl w:val="0"/>
        </w:rPr>
        <w:t xml:space="preserve"> em irredutível e maciça simbiose tecnológica ativa integrada na subestrutura das UANs atesta um irremediável salto orgânico sistêmico da complexidade de processamento analítico.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Tais predições superam margens teóricas em direções autônomas que estruturam as complexidades para a fase emergente da era </w:t>
      </w:r>
      <w:r w:rsidDel="00000000" w:rsidR="00000000" w:rsidRPr="00000000">
        <w:rPr>
          <w:rFonts w:ascii="Google Sans" w:cs="Google Sans" w:eastAsia="Google Sans" w:hAnsi="Google Sans"/>
          <w:i w:val="1"/>
          <w:iCs w:val="1"/>
          <w:color w:val="1f1f1f"/>
          <w:rtl w:val="0"/>
        </w:rPr>
        <w:t xml:space="preserve">UAN 4.0</w:t>
      </w:r>
      <w:r w:rsidDel="00000000" w:rsidR="00000000" w:rsidRPr="00000000">
        <w:rPr>
          <w:rFonts w:ascii="Google Sans" w:cs="Google Sans" w:eastAsia="Google Sans" w:hAnsi="Google Sans"/>
          <w:color w:val="1f1f1f"/>
          <w:rtl w:val="0"/>
        </w:rPr>
        <w:t xml:space="preserve"> (Koivisto et al., 2009).</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 contínuo processo e fenômeno irrefreável global e sistêmico analógico de urbanização hiper-massiva aponta no cronograma da margem demográfica terrestre estatísticas alarmantes, em que habitantes excederão com facilidade a marca global demográfica de </w:t>
      </w:r>
      <w:r w:rsidDel="00000000" w:rsidR="00000000" w:rsidRPr="00000000">
        <w:rPr>
          <w:rFonts w:ascii="Google Sans" w:cs="Google Sans" w:eastAsia="Google Sans" w:hAnsi="Google Sans"/>
          <w:color w:val="1f1f1f"/>
        </w:rPr>
        <w:drawing>
          <wp:inline distB="19050" distT="19050" distL="19050" distR="19050">
            <wp:extent cx="266502" cy="215740"/>
            <wp:effectExtent b="0" l="0" r="0" t="0"/>
            <wp:docPr id="7"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266502" cy="215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bilhões contínuos ativos ainda para as bases estatísticas do horizonte da modelagem contínua projetiva estendida ao marco inegociável da taxonomia dos calendários apontando rumo ativamente associados nos anos vindouros da margem do ano calendário no ano </w:t>
      </w:r>
      <w:r w:rsidDel="00000000" w:rsidR="00000000" w:rsidRPr="00000000">
        <w:rPr>
          <w:rFonts w:ascii="Google Sans" w:cs="Google Sans" w:eastAsia="Google Sans" w:hAnsi="Google Sans"/>
          <w:color w:val="1f1f1f"/>
        </w:rPr>
        <w:drawing>
          <wp:inline distB="19050" distT="19050" distL="19050" distR="19050">
            <wp:extent cx="368896" cy="216249"/>
            <wp:effectExtent b="0" l="0" r="0" t="0"/>
            <wp:docPr id="8"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368896" cy="216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Isto deflagrará e causará irreversivelmente e sem paralelos na taxonomia da humanidade uma complexa demanda massiva escalar sistêmica exponencial na busca diária global pela ingestão energética nas calóricas dietas globais com um incremento vetorial global estimado em espantosos 60% (Sutovsky, 2025; Autor desconhecido, 2025; Colsubsidio, 2024).</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direções científicas focadas nas subestruturas tecnológicas interconectadas que suportam essas bases emergentes acadêmicas operam de forma orgânica transicionando rapidamente dos simples repositórios e registros orgânicos UAN 4.0 abrangendo ativamente num amplo conjunto complexo autônomo nas frentes sistêmicas do limite absoluto do limiar em:</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Proteínas Alternativas, Biorreatores de Precisão e Agricultura Hidropônica Vertical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predições apontam que a restrita tabela contínua orgânica na taxonomia de matriz do banco de dados relacional e nos índices estruturais da árvore das sub-arquiteturas computacionais dos </w:t>
      </w:r>
      <w:r w:rsidDel="00000000" w:rsidR="00000000" w:rsidRPr="00000000">
        <w:rPr>
          <w:rFonts w:ascii="Google Sans" w:cs="Google Sans" w:eastAsia="Google Sans" w:hAnsi="Google Sans"/>
          <w:i w:val="1"/>
          <w:iCs w:val="1"/>
          <w:color w:val="1f1f1f"/>
          <w:rtl w:val="0"/>
        </w:rPr>
        <w:t xml:space="preserve">softwares</w:t>
      </w:r>
      <w:r w:rsidDel="00000000" w:rsidR="00000000" w:rsidRPr="00000000">
        <w:rPr>
          <w:rFonts w:ascii="Google Sans" w:cs="Google Sans" w:eastAsia="Google Sans" w:hAnsi="Google Sans"/>
          <w:color w:val="1f1f1f"/>
          <w:rtl w:val="0"/>
        </w:rPr>
        <w:t xml:space="preserve"> e motores dos complexos </w:t>
      </w:r>
      <w:r w:rsidDel="00000000" w:rsidR="00000000" w:rsidRPr="00000000">
        <w:rPr>
          <w:rFonts w:ascii="Google Sans" w:cs="Google Sans" w:eastAsia="Google Sans" w:hAnsi="Google Sans"/>
          <w:i w:val="1"/>
          <w:iCs w:val="1"/>
          <w:color w:val="1f1f1f"/>
          <w:rtl w:val="0"/>
        </w:rPr>
        <w:t xml:space="preserve">solvers</w:t>
      </w:r>
      <w:r w:rsidDel="00000000" w:rsidR="00000000" w:rsidRPr="00000000">
        <w:rPr>
          <w:rFonts w:ascii="Google Sans" w:cs="Google Sans" w:eastAsia="Google Sans" w:hAnsi="Google Sans"/>
          <w:color w:val="1f1f1f"/>
          <w:rtl w:val="0"/>
        </w:rPr>
        <w:t xml:space="preserve"> de algoritmos restritos focados exclusivamente em planejar exaustivamente cardápios será suplementada dinamicamente, indexando com exatidão as ricas e ativas propriedades temporais organolépticas de propriedades exatas termodinâmicas e biológicas de insumos não-convencionais produzidos sistemicamente longe do desmatamento (GreyB, 2025; Sutovsky, 2025).</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Tais sub-elementos taxonômicos globais indexáveis englobam na base referencial do banco temporal os chamados orgânicos insumos criados como </w:t>
      </w:r>
      <w:r w:rsidDel="00000000" w:rsidR="00000000" w:rsidRPr="00000000">
        <w:rPr>
          <w:rFonts w:ascii="Google Sans" w:cs="Google Sans" w:eastAsia="Google Sans" w:hAnsi="Google Sans"/>
          <w:i w:val="1"/>
          <w:iCs w:val="1"/>
          <w:color w:val="1f1f1f"/>
          <w:rtl w:val="0"/>
        </w:rPr>
        <w:t xml:space="preserve">Cultured Meat</w:t>
      </w:r>
      <w:r w:rsidDel="00000000" w:rsidR="00000000" w:rsidRPr="00000000">
        <w:rPr>
          <w:rFonts w:ascii="Google Sans" w:cs="Google Sans" w:eastAsia="Google Sans" w:hAnsi="Google Sans"/>
          <w:color w:val="1f1f1f"/>
          <w:rtl w:val="0"/>
        </w:rPr>
        <w:t xml:space="preserve"> (as exóticas variações biológicas estruturais orgânicas da carne tridimensional bio-sintética orgânica e dos complexos subprodutos de escamas celulares de peixes restritamente cultivados nos bio-meios das complexas estufas sintéticas analógicas simuladas in-vitro orgânico), as potentes variações das bases macro celulares proteicas sintéticas advindas orgânicas ininterruptamente operacionais geradas através dos complexos ciclos restritivos autônomos atrelados nas lógicas da programação genética orgânica da </w:t>
      </w:r>
      <w:r w:rsidDel="00000000" w:rsidR="00000000" w:rsidRPr="00000000">
        <w:rPr>
          <w:rFonts w:ascii="Google Sans" w:cs="Google Sans" w:eastAsia="Google Sans" w:hAnsi="Google Sans"/>
          <w:i w:val="1"/>
          <w:iCs w:val="1"/>
          <w:color w:val="1f1f1f"/>
          <w:rtl w:val="0"/>
        </w:rPr>
        <w:t xml:space="preserve">Fermentação contínua associada autônoma controlada analógica associativa subjacente focada nas leveduras sintéticas de modelagem de precisão estrutural contínua e ativa</w:t>
      </w:r>
      <w:r w:rsidDel="00000000" w:rsidR="00000000" w:rsidRPr="00000000">
        <w:rPr>
          <w:rFonts w:ascii="Google Sans" w:cs="Google Sans" w:eastAsia="Google Sans" w:hAnsi="Google Sans"/>
          <w:color w:val="1f1f1f"/>
          <w:rtl w:val="0"/>
        </w:rPr>
        <w:t xml:space="preserve"> (GreyB, 2025; Autor desconhecido, 2025).</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Simultaneamente interconectado aos microsserviços computacionais das UANs estarão interligadas telemetrias advindas dos robustos e autônomos biomas de matriz da extração em ecossistemas de biomas baseados na hidroponia inteligente nas denominadas arquiteturas fechadas orgânicas das chamadas nas tendências globais corporativas contínuas subjacentes ativas autônomas orgânicas conhecidas pelas fazendas associadas globais verticais intra-fábricas (Autor desconhecido, 2025).</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Espaços Cognitivos Tridimensionais (Smart Kitchens), Robótica Espacial Autônoma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escopo computacional avançará estendendo sua integração desde os cálculos da RAM direto para os sensores de processamento físico local nas bases conectadas analógicas das operações complexas logísticas, operando ativamente na fundação infraestrutural que transmuta e transita ativamente na conversão direta do antigo modelo das arcaicas subestruturas inertes analógicas de controle das antigas e superadas refeitórios ou instalações massivas em plantas conectadas ciberneticamente interligadas e referenciadas no ramo da ciência robótica orgânica de infraestruturas nas modelagens industriais denominadas ativamente na literatura restrita e taxativa como </w:t>
      </w:r>
      <w:r w:rsidDel="00000000" w:rsidR="00000000" w:rsidRPr="00000000">
        <w:rPr>
          <w:rFonts w:ascii="Google Sans" w:cs="Google Sans" w:eastAsia="Google Sans" w:hAnsi="Google Sans"/>
          <w:i w:val="1"/>
          <w:iCs w:val="1"/>
          <w:color w:val="1f1f1f"/>
          <w:rtl w:val="0"/>
        </w:rPr>
        <w:t xml:space="preserve">Smart Kitchens</w:t>
      </w:r>
      <w:r w:rsidDel="00000000" w:rsidR="00000000" w:rsidRPr="00000000">
        <w:rPr>
          <w:rFonts w:ascii="Google Sans" w:cs="Google Sans" w:eastAsia="Google Sans" w:hAnsi="Google Sans"/>
          <w:color w:val="1f1f1f"/>
          <w:rtl w:val="0"/>
        </w:rPr>
        <w:t xml:space="preserve">. Equipamentos estarão equipados por arranjos massivos baseados restritamente nas lógicas autônomas da comunicação M2M emitindo </w:t>
      </w:r>
      <w:r w:rsidDel="00000000" w:rsidR="00000000" w:rsidRPr="00000000">
        <w:rPr>
          <w:rFonts w:ascii="Google Sans" w:cs="Google Sans" w:eastAsia="Google Sans" w:hAnsi="Google Sans"/>
          <w:i w:val="1"/>
          <w:iCs w:val="1"/>
          <w:color w:val="1f1f1f"/>
          <w:rtl w:val="0"/>
        </w:rPr>
        <w:t xml:space="preserve">streamings</w:t>
      </w:r>
      <w:r w:rsidDel="00000000" w:rsidR="00000000" w:rsidRPr="00000000">
        <w:rPr>
          <w:rFonts w:ascii="Google Sans" w:cs="Google Sans" w:eastAsia="Google Sans" w:hAnsi="Google Sans"/>
          <w:color w:val="1f1f1f"/>
          <w:rtl w:val="0"/>
        </w:rPr>
        <w:t xml:space="preserve"> ininterruptos baseados ativamente em eventos temporais assíncronos analógicos com protocolo em publicações-assinaturas restritivas baseadas na matriz de espectroscopia focada de modo infravermelho de precisão contínua temporal captando nas lógicas a oxidação no instante temporal e as perdas em exsudatos pontuais na estrutura proteica no exato andamento logístico transacional exato de seu método térmico exato da sua complexa e associada modelada e estrita cocção industrial local e autônoma restrita. Veículos em malha conectada restrita baseados nos lógicos processadores tensores da robótica tridimensional baseada fundamentalmente no restrito e profundo vetor temporal autônomo e de modelagem algorítmica ativa autônoma e interativa de malhas tridimensionais nas frentes ativas modeladas via lógicas contínuas em detecções espaciais e contornos baseados estritamente na base do limite da </w:t>
      </w:r>
      <w:r w:rsidDel="00000000" w:rsidR="00000000" w:rsidRPr="00000000">
        <w:rPr>
          <w:rFonts w:ascii="Google Sans" w:cs="Google Sans" w:eastAsia="Google Sans" w:hAnsi="Google Sans"/>
          <w:i w:val="1"/>
          <w:iCs w:val="1"/>
          <w:color w:val="1f1f1f"/>
          <w:rtl w:val="0"/>
        </w:rPr>
        <w:t xml:space="preserve">Visão Computacional e semântica autônoma iterativa subjacente de profundidade base associada nas lógicas dos parâmetros associativos da Computer Vision interconectada com redes temporais contínuas em grafos analógicos subjacentes globais associativos atrelados analógicos contínuos orientados e guiados por algoritmos avançados do subjacente IEACO</w:t>
      </w:r>
      <w:r w:rsidDel="00000000" w:rsidR="00000000" w:rsidRPr="00000000">
        <w:rPr>
          <w:rFonts w:ascii="Google Sans" w:cs="Google Sans" w:eastAsia="Google Sans" w:hAnsi="Google Sans"/>
          <w:color w:val="1f1f1f"/>
          <w:rtl w:val="0"/>
        </w:rPr>
        <w:t xml:space="preserve"> assumirão ativamente na linha orgânica industrial temporal de forma segura a navegação espacial algorítmica associada perante colisões e fluxos contínuos e estritos sem paralisações.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Impressão Orgânica 3D, Interconexão Analítica Personalizada Ultragranular e Matrizes Blockchain Semânticas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 horizontes futuros atrelam algoritmos autônomos que superam amplamente os perfis maciços populacionais rumo exclusivamente à vanguarda paramétrica baseada ativamente nas bases de prescrições biológicas exclusivas focadas em modelos subjacentes da taxonomia contínua e complexa referenciada com estrito controle algorítmico da malha individual ultragranular atrelada na interconexão autônoma associada via </w:t>
      </w:r>
      <w:r w:rsidDel="00000000" w:rsidR="00000000" w:rsidRPr="00000000">
        <w:rPr>
          <w:rFonts w:ascii="Google Sans" w:cs="Google Sans" w:eastAsia="Google Sans" w:hAnsi="Google Sans"/>
          <w:i w:val="1"/>
          <w:iCs w:val="1"/>
          <w:color w:val="1f1f1f"/>
          <w:rtl w:val="0"/>
        </w:rPr>
        <w:t xml:space="preserve">DNA e base associada analógica temporal do perfil contínuo microbiano do estômago</w:t>
      </w:r>
      <w:r w:rsidDel="00000000" w:rsidR="00000000" w:rsidRPr="00000000">
        <w:rPr>
          <w:rFonts w:ascii="Google Sans" w:cs="Google Sans" w:eastAsia="Google Sans" w:hAnsi="Google Sans"/>
          <w:color w:val="1f1f1f"/>
          <w:rtl w:val="0"/>
        </w:rPr>
        <w:t xml:space="preserve"> com atuadores mecânicos da matriz física de modelagem tridimensional autônoma e impressão 3D de lógicas ativas nas bases de repositórios aditivos orgânicos, injetando miligramas e nanogramas exatas em sub-fases térmicas controladas contínuas subjacentes perante restrições associativas a patologias restritas avaliadas nas cadeias algorítmicas iterativas do comensal.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Por conseguinte analítico irredutível global orgânico e paramétrico sistêmico associado, a comprovação e garantia destas restrições biológicas nas bases contratuais e atrelada organicamente perante leis analógicas restritas éticas do rastreamento subjacente dos insumos da fundação operada pela </w:t>
      </w:r>
      <w:r w:rsidDel="00000000" w:rsidR="00000000" w:rsidRPr="00000000">
        <w:rPr>
          <w:rFonts w:ascii="Google Sans" w:cs="Google Sans" w:eastAsia="Google Sans" w:hAnsi="Google Sans"/>
          <w:i w:val="1"/>
          <w:iCs w:val="1"/>
          <w:color w:val="1f1f1f"/>
          <w:rtl w:val="0"/>
        </w:rPr>
        <w:t xml:space="preserve">Foodtech</w:t>
      </w:r>
      <w:r w:rsidDel="00000000" w:rsidR="00000000" w:rsidRPr="00000000">
        <w:rPr>
          <w:rFonts w:ascii="Google Sans" w:cs="Google Sans" w:eastAsia="Google Sans" w:hAnsi="Google Sans"/>
          <w:color w:val="1f1f1f"/>
          <w:rtl w:val="0"/>
        </w:rPr>
        <w:t xml:space="preserve">, garantindo imunidade de contaminações corporativas contínuas analógicas ou adulterações orgânicas será sustentada pela topologia arquitetural descentralizada analógica do rigor matemático inquebrável atrelada nas redes ubíquas com preceitos distribuídos ininterruptos do modelo de assentamento relacional de base subjacente restrita assíncrona analógica nas sub-infraestruturas do tipo criptográficas </w:t>
      </w:r>
      <w:r w:rsidDel="00000000" w:rsidR="00000000" w:rsidRPr="00000000">
        <w:rPr>
          <w:rFonts w:ascii="Google Sans" w:cs="Google Sans" w:eastAsia="Google Sans" w:hAnsi="Google Sans"/>
          <w:i w:val="1"/>
          <w:iCs w:val="1"/>
          <w:color w:val="1f1f1f"/>
          <w:rtl w:val="0"/>
        </w:rPr>
        <w:t xml:space="preserve">Blockchain</w:t>
      </w:r>
      <w:r w:rsidDel="00000000" w:rsidR="00000000" w:rsidRPr="00000000">
        <w:rPr>
          <w:rFonts w:ascii="Google Sans" w:cs="Google Sans" w:eastAsia="Google Sans" w:hAnsi="Google Sans"/>
          <w:color w:val="1f1f1f"/>
          <w:rtl w:val="0"/>
        </w:rPr>
        <w:t xml:space="preserve"> (Informs, 2026; GreyB, 2025; Colsubsidio, 2024; Autor desconhecido, 2021).</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Otimizações Operacionais Críticas Projetadas para Arquitetura UAN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Modificações na Abordagem Lógica Algorítmica Requerida e Impactos Subjacentes de Infraestrutura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Mecanismos Complexos Analíticos Orientados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Integração Massiva de Biorreatores Autônomos na Matriz Restritiva Orgânica e Nutricional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Adoção estocástica temporal e dinâmica com flexibilidade paramétrica associativa na contínua modelagem complexa sistêmica de repositórios atrelados dos orgânicos nas planilhas globais e de vetores e variáveis de microsserviços.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Redes iterativas Neurais para predição química; processadores autônomos associados de avaliação restritiva bio-objetiva.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Modelos Distribuídos Robóticos de Navegação Autônoma Industrial Tridimensional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Completa eliminação da inércia dos processos subjacentes, substituição na reconfiguração assíncrona de modo assintótico subjacente físico contínuo da locomoção restritiva de suprimentos espaciais 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Avaliadores paramétricos e malhas em lógicas IEACO acopladas autônomas ativas em fluxos estigmérgicos de tempo linear espaciais.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Customização Autônoma Baseada em Biometria Aditiva 3D na Malha Ultragranular e Genômica Temporal Contínua Sistêmica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Iminente expansão e fragmentação em processos assíncronos hiperativos da complexidade paramétrica computacional contínua focada do imenso processamento individual síncrono maciço das equações relativas MDP restritas por unidade demográfica e usuário ativo.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Modelos paramétricos sob inferência por equações CFRL (Matriz Autônoma Contínua de Restrições Temporais associadas em Feedback Positivo contínuo interconectado).</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Implementação Assíncrona Logística Distribuída via Matriz Blockchain em IoT de Alta Precisão e SDN Semântico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Contínua e hiperativa ingestão temporal processual estrita orgânica em bases restritas contínuas em nuvens telemétricas de Petabytes autônomos avaliativos de alta precisão via sensores infravermelhos com rigor criptográfico na garantia e validade associativa estrita sistêmica nas garantias paramétricas de auditorias.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Barramentos Analíticos e infraestrutura DW de topologia em grafos operados com agentes PPO autônomos na segurança em assentamentos de registro de tráfego de dados de predição.</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Conclusões Arquiteturais e Sistêmicas da Evolução nas UANs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minucioso processo analítico desenvolvido e aplicado sob a ótica ininterrupta metodológica exaustiva e voltada de modo irrevogável para a modernização computacional sistêmica paramétrica associativa autônoma no escopo limitante do complexo planejamento iterativo orgânico de cardápios de horizonte temporal elástico contínuo e subjacente no longo prazo em Unidades analógicas logísticas de operações em Alimentação orgânica corporativa coletiva global contínua restritiva e da ciência exata orgânica contínua subjacente e avaliativa paramétrica da e da respectiva área das lógicas associativas subjacentes sistêmicas orgânicas atreladas restritamente em Nutrição paramétrica institucional desvelou a convergência orgânica arquitetural num colossal subcampo irredutível global onde as lógicas e limites analíticos estritos de nutrição temporal orgânica associativa se entrelaçam de maneira sublime perante e sob a égide absoluta imponente irrefutável paramétrica estrita associativa da fronteira vanguardista e estrutural das fundações paramétricas em rigor matemático contínuo arquitetônico na esfera e restrição associativa das subestruturas orgânicas orientadas algorítmicas lógicas e contínuas restritivas computacionais das implementações contínuas e da subjacente vanguarda e na engenharia irredutível temporal autônoma e das inumeráveis extensões de projetos da Ciência restrita analógica da subestrutura orgânica da Informação temporal Arquitetura sistêmica autônoma global focada paramétrica orgânica temporal baseada exclusivamente focada exata associada de forma rígida em algoritmos orgânicos da complexa da modelagem ativa nas vertentes contínuas da base em restrita Ciência de Sistemas Arquiteturais da Inteligência sistêmica e autônoma Artificial.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Demonstrou-se incontestavelmente ao longo da extensa avaliação teórica orgânica das modelagens contínuas na base irrefutável técnica da pesquisa orgânica subjacente que as matrizes de algoritmos e as implementações históricas ortodoxas e os clássicos </w:t>
      </w:r>
      <w:r w:rsidDel="00000000" w:rsidR="00000000" w:rsidRPr="00000000">
        <w:rPr>
          <w:rFonts w:ascii="Google Sans" w:cs="Google Sans" w:eastAsia="Google Sans" w:hAnsi="Google Sans"/>
          <w:i w:val="1"/>
          <w:iCs w:val="1"/>
          <w:color w:val="1f1f1f"/>
          <w:rtl w:val="0"/>
        </w:rPr>
        <w:t xml:space="preserve">solvers</w:t>
      </w:r>
      <w:r w:rsidDel="00000000" w:rsidR="00000000" w:rsidRPr="00000000">
        <w:rPr>
          <w:rFonts w:ascii="Google Sans" w:cs="Google Sans" w:eastAsia="Google Sans" w:hAnsi="Google Sans"/>
          <w:color w:val="1f1f1f"/>
          <w:rtl w:val="0"/>
        </w:rPr>
        <w:t xml:space="preserve"> contínuos atrelados de forma linear na restrição assintótica estrita determinística subjacente limitada pelas restrições na complexidade restrita da modelagem baseadas nas primitivas estritas e irredutíveis premissas temporais lineares no tempo logístico analógico base — que embora detenham de forma incontestável na história das fundações uma importância analógica estrita e monumental por propiciar na fundação da ciência computacional a origem base da solução das sub-lógicas operacionais restritivas iterativas originadas primordialmente no legado histórico acadêmico por George Dantzig nas inferências assintóticas restritivas das fundações operacionais estritas no clássico e reverenciado formalmente na matemática como do basilar do Algoritmo temporal contínuo na arquitetura iterativa do clássico Simplex — provaram-se na era das restrições de Big Data contínua intrinsecamente e fundamentalmente como modelagens paramétricas matemáticas inadequadas orgânicas irrevogavelmente limitadas analógicas e sistêmicas temporalmente falhas no controle algorítmico da complexidade restrita ao tentar mapear, transpor e gerenciar logicamente de maneira fluida iterativa contínua orgânica a inquebrável massiva orgânica e hiper-complexa restrição no processamento na esfera estrita irredutível contínua dimensional atrelada na hiper-dimensionalidade escalar combinatória subjacente irrefutável na categorização computacional limitante inquestionável analógica temporal estrita intrínseca definida pela temível classe algorítmica orgânica restritiva e das lógicas temporais irredutível de complexidade algorítmica exata conhecida e da barreira limitante teórica atrelada da completude orgânica exata restrita temporal e taxativa de processamento das lógicas no NP-Difícil, barreira incontornável atrelada inerente na taxonomia sistêmica global restrita contínua analítica matemática subjacente dos extensos cronogramas dietéticos multivariáveis, não-convexos operacionais, voláteis e regidos na lógicas de flutuação logística sazonal orgânica temporal ininterrupta na execução.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superação irredutível paramétrica autônoma, por excelência contínua, exigiu a aplicação orquestrada e refinada orgânica autônoma na ciência de engenharia matemática temporal associativa estocástica e da substituição do tempo das fundações exatas em prol e submetendo a restrição associada ao tempo analítico orgânico estocástico baseado rigorosamente no controle orgânico da malha assíncrona orientada das complexas e orgânicas meta-heurísticas de varredura ativa base populacional e paramétrica autônoma temporal baseadas na restritiva lógicas em limites estigmérgicos biológicos e termodinâmicos nas lógicas inter-relacionais paramétricas das instâncias operacionais do limite como as modelagens atreladas nas variações de Algoritmos baseados estruturais nas lógicas de Genéticos operacionais híbridos Meméticos restritos temporais baseados na Decomposição Multi-objetivos (MOEA/D), da flexibilidade analógica contínua assintótica estrita iterativa da Têmpera autônoma Simulada paramétrica nas restrições orgânicas de fuga subjacente algorítmica de mínimos através do SA autônomo, e de modo proeminente e decisivo contínuo, a supremacia da avaliação relacional sequencial de tempo estrito iterativo através da aplicação avançada irredutível contínua algorítmica da modelagem ativa orgânica de restritivos Grafos autônomos pela Colônia autônoma ativa gerencial temporal paramétrica de controle logístico em ACO Inteligentemente Aprimorada contínua (IEACO e Híbridos estritos Hierárquicos algorítmicos temporais EFACO). Tais abordagens provaram mitigar de maneira definitiva a cegueira restritiva analógica analítica contínua e as lógicas monótonas temporais operacionais restritas orgânicas algorítmicas, entregando às UANs a possibilidade da resolução em tempo contínuo hábil restritivo subjacente logístico para a multiplicidade estrita de vetores das variáveis autônomas no ecossistema e na garantia algorítmica sistêmica.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simultaneidade subjacente algorítmica inquebrável, as operações atreladas irredutivelmente e parametrizadas na sub-infraestrutura contínua baseada em modelos não-lineares avaliativos autônomos orgânicos restritivos oriundos em vetores e modelagens do sub-domínio das lógicas nas inferências estritas autônomas ativas temporais da família do Aprendizado baseada em redes Neurais ativas associadas profundas autônomas orgânicas Profundo contínuo (</w:t>
      </w:r>
      <w:r w:rsidDel="00000000" w:rsidR="00000000" w:rsidRPr="00000000">
        <w:rPr>
          <w:rFonts w:ascii="Google Sans" w:cs="Google Sans" w:eastAsia="Google Sans" w:hAnsi="Google Sans"/>
          <w:i w:val="1"/>
          <w:iCs w:val="1"/>
          <w:color w:val="1f1f1f"/>
          <w:rtl w:val="0"/>
        </w:rPr>
        <w:t xml:space="preserve">Deep Learning</w:t>
      </w:r>
      <w:r w:rsidDel="00000000" w:rsidR="00000000" w:rsidRPr="00000000">
        <w:rPr>
          <w:rFonts w:ascii="Google Sans" w:cs="Google Sans" w:eastAsia="Google Sans" w:hAnsi="Google Sans"/>
          <w:color w:val="1f1f1f"/>
          <w:rtl w:val="0"/>
        </w:rPr>
        <w:t xml:space="preserve">), alavancados e ancorados ativamente nos formidáveis pacotes de sub-componentes nas métricas estocásticas nas modelagens e arquiteturas subjacentes regressivas na árvore baseada na teoria contínua analógica de </w:t>
      </w:r>
      <w:r w:rsidDel="00000000" w:rsidR="00000000" w:rsidRPr="00000000">
        <w:rPr>
          <w:rFonts w:ascii="Google Sans" w:cs="Google Sans" w:eastAsia="Google Sans" w:hAnsi="Google Sans"/>
          <w:i w:val="1"/>
          <w:iCs w:val="1"/>
          <w:color w:val="1f1f1f"/>
          <w:rtl w:val="0"/>
        </w:rPr>
        <w:t xml:space="preserve">Gradient Boosting</w:t>
      </w:r>
      <w:r w:rsidDel="00000000" w:rsidR="00000000" w:rsidRPr="00000000">
        <w:rPr>
          <w:rFonts w:ascii="Google Sans" w:cs="Google Sans" w:eastAsia="Google Sans" w:hAnsi="Google Sans"/>
          <w:color w:val="1f1f1f"/>
          <w:rtl w:val="0"/>
        </w:rPr>
        <w:t xml:space="preserve"> operadas na formulação </w:t>
      </w:r>
      <w:r w:rsidDel="00000000" w:rsidR="00000000" w:rsidRPr="00000000">
        <w:rPr>
          <w:rFonts w:ascii="Google Sans" w:cs="Google Sans" w:eastAsia="Google Sans" w:hAnsi="Google Sans"/>
          <w:i w:val="1"/>
          <w:iCs w:val="1"/>
          <w:color w:val="1f1f1f"/>
          <w:rtl w:val="0"/>
        </w:rPr>
        <w:t xml:space="preserve">Ensemble</w:t>
      </w:r>
      <w:r w:rsidDel="00000000" w:rsidR="00000000" w:rsidRPr="00000000">
        <w:rPr>
          <w:rFonts w:ascii="Google Sans" w:cs="Google Sans" w:eastAsia="Google Sans" w:hAnsi="Google Sans"/>
          <w:color w:val="1f1f1f"/>
          <w:rtl w:val="0"/>
        </w:rPr>
        <w:t xml:space="preserve">, e das avaliações das inferências por Aprendizado paramétrico temporal com malhas contínuas restritivas do agente de RLHF contínuo analítico autônomo baseado no escopo e no domínio estrito de Recompensas iterativas via Reforço autônomo sistêmico baseadas orgânicas, suplantaram qualquer limite analítico humano, transformando perenemente os dados brutos estáticos logísticos transacionais analógicos no tempo em políticas ativas prescritivas com altíssimo coeficiente subjacente irrefutável e estrito da precisão e nas lógicas operacionais de assertividade nas margens de Pearson, blindando os ecossistemas, otimizando o suprimento logístico contínuo biológico subjacente, mitigando desperdícios irredutíveis logísticos na casa subjacente paramétrica estatística contínua superior nas reduções nas métricas de até noventa por cento em subespaços do vetor logístico. Destarte, a inter-relação orgânica irrefreável autônoma paramétrica contínua na evolução e nas convergências analógicas sistêmicas estritas algorítmicas e da ciência exata temporal contínua atrelada do horizonte biológico das orgânicas inovações nas plataformas das cadeias </w:t>
      </w:r>
      <w:r w:rsidDel="00000000" w:rsidR="00000000" w:rsidRPr="00000000">
        <w:rPr>
          <w:rFonts w:ascii="Google Sans" w:cs="Google Sans" w:eastAsia="Google Sans" w:hAnsi="Google Sans"/>
          <w:i w:val="1"/>
          <w:iCs w:val="1"/>
          <w:color w:val="1f1f1f"/>
          <w:rtl w:val="0"/>
        </w:rPr>
        <w:t xml:space="preserve">Foodtechs</w:t>
      </w:r>
      <w:r w:rsidDel="00000000" w:rsidR="00000000" w:rsidRPr="00000000">
        <w:rPr>
          <w:rFonts w:ascii="Google Sans" w:cs="Google Sans" w:eastAsia="Google Sans" w:hAnsi="Google Sans"/>
          <w:color w:val="1f1f1f"/>
          <w:rtl w:val="0"/>
        </w:rPr>
        <w:t xml:space="preserve"> em direção e transição analógica rumo nas implementações orgânicas associadas autônomas contínuas à formidável estrutura analítica da subjacente arquitetura hiper-escalável analógica contínua UAN 4.0 restritiva reflete irrevocavelmente e assinala que a manutenção contínua estrutural e a maximização dos padrões sistêmicos orgânicos da restrita e estrita qualidade da nutrição massiva corporativa orgânica da ciência associada do futuro orgânico logístico é incindível analógico temporal da incessante algoritmização restritiva orgânica interconectada paramétrica dos processos, cimentando o limiar temporal definitivo de um ecossistema da subjacente cadeia das refeições sustentável, dinâmico autônomo restritivo orgânico algorítmico, e implacavelmente inteligente.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Referências Bibliográficas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 M.; YERGÖK, D. Demand Forecasting for Food Production Using Machine Learning Algorithms: A Case Study of University Refectory. </w:t>
      </w:r>
      <w:r w:rsidDel="00000000" w:rsidR="00000000" w:rsidRPr="00000000">
        <w:rPr>
          <w:rFonts w:ascii="Google Sans" w:cs="Google Sans" w:eastAsia="Google Sans" w:hAnsi="Google Sans"/>
          <w:i w:val="1"/>
          <w:iCs w:val="1"/>
          <w:color w:val="1f1f1f"/>
          <w:rtl w:val="0"/>
        </w:rPr>
        <w:t xml:space="preserve">Tehnički vjesnik</w:t>
      </w:r>
      <w:r w:rsidDel="00000000" w:rsidR="00000000" w:rsidRPr="00000000">
        <w:rPr>
          <w:rFonts w:ascii="Google Sans" w:cs="Google Sans" w:eastAsia="Google Sans" w:hAnsi="Google Sans"/>
          <w:color w:val="1f1f1f"/>
          <w:rtl w:val="0"/>
        </w:rPr>
        <w:t xml:space="preserve">, v. 30, n. 6, p. 1683-1691, 2023.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A better training method for reinforcement learning with human feedback. </w:t>
      </w:r>
      <w:r w:rsidDel="00000000" w:rsidR="00000000" w:rsidRPr="00000000">
        <w:rPr>
          <w:rFonts w:ascii="Google Sans" w:cs="Google Sans" w:eastAsia="Google Sans" w:hAnsi="Google Sans"/>
          <w:i w:val="1"/>
          <w:iCs w:val="1"/>
          <w:color w:val="1f1f1f"/>
          <w:rtl w:val="0"/>
        </w:rPr>
        <w:t xml:space="preserve">Amazon Science Blog</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ANDERSON, A. M.; EARLE, M. D. Diet planning in the Third World by linear and goal programming. </w:t>
      </w:r>
      <w:r w:rsidDel="00000000" w:rsidR="00000000" w:rsidRPr="00000000">
        <w:rPr>
          <w:rFonts w:ascii="Google Sans" w:cs="Google Sans" w:eastAsia="Google Sans" w:hAnsi="Google Sans"/>
          <w:i w:val="1"/>
          <w:iCs w:val="1"/>
          <w:color w:val="1f1f1f"/>
          <w:rtl w:val="0"/>
        </w:rPr>
        <w:t xml:space="preserve">Journal of the Operational Research Society</w:t>
      </w:r>
      <w:r w:rsidDel="00000000" w:rsidR="00000000" w:rsidRPr="00000000">
        <w:rPr>
          <w:rFonts w:ascii="Google Sans" w:cs="Google Sans" w:eastAsia="Google Sans" w:hAnsi="Google Sans"/>
          <w:color w:val="1f1f1f"/>
          <w:rtl w:val="0"/>
        </w:rPr>
        <w:t xml:space="preserve">, v. 34, n. 1, p. 9-16, 1983.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A Proposal of a Menu Planning Algorithm for Two-phase Cooking by Busy Persons. </w:t>
      </w:r>
      <w:r w:rsidDel="00000000" w:rsidR="00000000" w:rsidRPr="00000000">
        <w:rPr>
          <w:rFonts w:ascii="Google Sans" w:cs="Google Sans" w:eastAsia="Google Sans" w:hAnsi="Google Sans"/>
          <w:i w:val="1"/>
          <w:iCs w:val="1"/>
          <w:color w:val="1f1f1f"/>
          <w:rtl w:val="0"/>
        </w:rPr>
        <w:t xml:space="preserve">ResearchGate</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A Memetic Decomposition-Based Multi-Objective Evolutionary Algorithm Applied to a Constrained Menu Planning Problem. </w:t>
      </w:r>
      <w:r w:rsidDel="00000000" w:rsidR="00000000" w:rsidRPr="00000000">
        <w:rPr>
          <w:rFonts w:ascii="Google Sans" w:cs="Google Sans" w:eastAsia="Google Sans" w:hAnsi="Google Sans"/>
          <w:i w:val="1"/>
          <w:iCs w:val="1"/>
          <w:color w:val="1f1f1f"/>
          <w:rtl w:val="0"/>
        </w:rPr>
        <w:t xml:space="preserve">ResearchGate</w:t>
      </w:r>
      <w:r w:rsidDel="00000000" w:rsidR="00000000" w:rsidRPr="00000000">
        <w:rPr>
          <w:rFonts w:ascii="Google Sans" w:cs="Google Sans" w:eastAsia="Google Sans" w:hAnsi="Google Sans"/>
          <w:color w:val="1f1f1f"/>
          <w:rtl w:val="0"/>
        </w:rPr>
        <w:t xml:space="preserve">, 2020.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Food Menu Recommendations Based on Recommended Dietary Allowances using Genetic Algorithm. </w:t>
      </w:r>
      <w:r w:rsidDel="00000000" w:rsidR="00000000" w:rsidRPr="00000000">
        <w:rPr>
          <w:rFonts w:ascii="Google Sans" w:cs="Google Sans" w:eastAsia="Google Sans" w:hAnsi="Google Sans"/>
          <w:i w:val="1"/>
          <w:iCs w:val="1"/>
          <w:color w:val="1f1f1f"/>
          <w:rtl w:val="0"/>
        </w:rPr>
        <w:t xml:space="preserve">ResearchGate</w:t>
      </w:r>
      <w:r w:rsidDel="00000000" w:rsidR="00000000" w:rsidRPr="00000000">
        <w:rPr>
          <w:rFonts w:ascii="Google Sans" w:cs="Google Sans" w:eastAsia="Google Sans" w:hAnsi="Google Sans"/>
          <w:color w:val="1f1f1f"/>
          <w:rtl w:val="0"/>
        </w:rPr>
        <w:t xml:space="preserve">, 2022.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w:t>
      </w:r>
      <w:r w:rsidDel="00000000" w:rsidR="00000000" w:rsidRPr="00000000">
        <w:rPr>
          <w:rFonts w:ascii="Google Sans" w:cs="Google Sans" w:eastAsia="Google Sans" w:hAnsi="Google Sans"/>
          <w:i w:val="1"/>
          <w:iCs w:val="1"/>
          <w:color w:val="1f1f1f"/>
          <w:rtl w:val="0"/>
        </w:rPr>
        <w:t xml:space="preserve">Nutrients</w:t>
      </w:r>
      <w:r w:rsidDel="00000000" w:rsidR="00000000" w:rsidRPr="00000000">
        <w:rPr>
          <w:rFonts w:ascii="Google Sans" w:cs="Google Sans" w:eastAsia="Google Sans" w:hAnsi="Google Sans"/>
          <w:color w:val="1f1f1f"/>
          <w:rtl w:val="0"/>
        </w:rPr>
        <w:t xml:space="preserve">, v. 16, n. 3117, 2024.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Flow shop scheduling problems: A hybrid genetic simulated annealing approach. </w:t>
      </w:r>
      <w:r w:rsidDel="00000000" w:rsidR="00000000" w:rsidRPr="00000000">
        <w:rPr>
          <w:rFonts w:ascii="Google Sans" w:cs="Google Sans" w:eastAsia="Google Sans" w:hAnsi="Google Sans"/>
          <w:i w:val="1"/>
          <w:iCs w:val="1"/>
          <w:color w:val="1f1f1f"/>
          <w:rtl w:val="0"/>
        </w:rPr>
        <w:t xml:space="preserve">MDPI</w:t>
      </w:r>
      <w:r w:rsidDel="00000000" w:rsidR="00000000" w:rsidRPr="00000000">
        <w:rPr>
          <w:rFonts w:ascii="Google Sans" w:cs="Google Sans" w:eastAsia="Google Sans" w:hAnsi="Google Sans"/>
          <w:color w:val="1f1f1f"/>
          <w:rtl w:val="0"/>
        </w:rPr>
        <w:t xml:space="preserve">, 2018.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w:t>
      </w:r>
      <w:r w:rsidDel="00000000" w:rsidR="00000000" w:rsidRPr="00000000">
        <w:rPr>
          <w:rFonts w:ascii="Google Sans" w:cs="Google Sans" w:eastAsia="Google Sans" w:hAnsi="Google Sans"/>
          <w:i w:val="1"/>
          <w:iCs w:val="1"/>
          <w:color w:val="1f1f1f"/>
          <w:rtl w:val="0"/>
        </w:rPr>
        <w:t xml:space="preserve">Review on automated menu planning approaches</w:t>
      </w:r>
      <w:r w:rsidDel="00000000" w:rsidR="00000000" w:rsidRPr="00000000">
        <w:rPr>
          <w:rFonts w:ascii="Google Sans" w:cs="Google Sans" w:eastAsia="Google Sans" w:hAnsi="Google Sans"/>
          <w:color w:val="1f1f1f"/>
          <w:rtl w:val="0"/>
        </w:rPr>
        <w:t xml:space="preserve">. ResearchGate, 2017.</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Inteligencia Artificial nas Foodtechs e Nutrição 2050. </w:t>
      </w:r>
      <w:r w:rsidDel="00000000" w:rsidR="00000000" w:rsidRPr="00000000">
        <w:rPr>
          <w:rFonts w:ascii="Google Sans" w:cs="Google Sans" w:eastAsia="Google Sans" w:hAnsi="Google Sans"/>
          <w:i w:val="1"/>
          <w:iCs w:val="1"/>
          <w:color w:val="1f1f1f"/>
          <w:rtl w:val="0"/>
        </w:rPr>
        <w:t xml:space="preserve">Nature Food</w:t>
      </w:r>
      <w:r w:rsidDel="00000000" w:rsidR="00000000" w:rsidRPr="00000000">
        <w:rPr>
          <w:rFonts w:ascii="Google Sans" w:cs="Google Sans" w:eastAsia="Google Sans" w:hAnsi="Google Sans"/>
          <w:color w:val="1f1f1f"/>
          <w:rtl w:val="0"/>
        </w:rPr>
        <w:t xml:space="preserve">, 2025.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w:t>
      </w:r>
      <w:r w:rsidDel="00000000" w:rsidR="00000000" w:rsidRPr="00000000">
        <w:rPr>
          <w:rFonts w:ascii="Google Sans" w:cs="Google Sans" w:eastAsia="Google Sans" w:hAnsi="Google Sans"/>
          <w:i w:val="1"/>
          <w:iCs w:val="1"/>
          <w:color w:val="1f1f1f"/>
          <w:rtl w:val="0"/>
        </w:rPr>
        <w:t xml:space="preserve">IEEE Access</w:t>
      </w:r>
      <w:r w:rsidDel="00000000" w:rsidR="00000000" w:rsidRPr="00000000">
        <w:rPr>
          <w:rFonts w:ascii="Google Sans" w:cs="Google Sans" w:eastAsia="Google Sans" w:hAnsi="Google Sans"/>
          <w:color w:val="1f1f1f"/>
          <w:rtl w:val="0"/>
        </w:rPr>
        <w:t xml:space="preserve">, v. 6, p. 8619-8629, 2018.</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 DESCONHECIDO. Using multi-armed bandits to learn ethical priorities. </w:t>
      </w:r>
      <w:r w:rsidDel="00000000" w:rsidR="00000000" w:rsidRPr="00000000">
        <w:rPr>
          <w:rFonts w:ascii="Google Sans" w:cs="Google Sans" w:eastAsia="Google Sans" w:hAnsi="Google Sans"/>
          <w:i w:val="1"/>
          <w:iCs w:val="1"/>
          <w:color w:val="1f1f1f"/>
          <w:rtl w:val="0"/>
        </w:rPr>
        <w:t xml:space="preserve">Expert Systems with Applications</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BRICHER, J. Outlook 2025: Technology Trends. </w:t>
      </w:r>
      <w:r w:rsidDel="00000000" w:rsidR="00000000" w:rsidRPr="00000000">
        <w:rPr>
          <w:rFonts w:ascii="Google Sans" w:cs="Google Sans" w:eastAsia="Google Sans" w:hAnsi="Google Sans"/>
          <w:i w:val="1"/>
          <w:iCs w:val="1"/>
          <w:color w:val="1f1f1f"/>
          <w:rtl w:val="0"/>
        </w:rPr>
        <w:t xml:space="preserve">Food Technology Magazine</w:t>
      </w:r>
      <w:r w:rsidDel="00000000" w:rsidR="00000000" w:rsidRPr="00000000">
        <w:rPr>
          <w:rFonts w:ascii="Google Sans" w:cs="Google Sans" w:eastAsia="Google Sans" w:hAnsi="Google Sans"/>
          <w:color w:val="1f1f1f"/>
          <w:rtl w:val="0"/>
        </w:rPr>
        <w:t xml:space="preserve">, IFT, 2025.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CHAUDHURI, A. et al. Multi-period multiple parts mixed-integer linear programming optimization model for spare parts supply. </w:t>
      </w:r>
      <w:r w:rsidDel="00000000" w:rsidR="00000000" w:rsidRPr="00000000">
        <w:rPr>
          <w:rFonts w:ascii="Google Sans" w:cs="Google Sans" w:eastAsia="Google Sans" w:hAnsi="Google Sans"/>
          <w:i w:val="1"/>
          <w:iCs w:val="1"/>
          <w:color w:val="1f1f1f"/>
          <w:rtl w:val="0"/>
        </w:rPr>
        <w:t xml:space="preserve">International Journal of Production Research</w:t>
      </w:r>
      <w:r w:rsidDel="00000000" w:rsidR="00000000" w:rsidRPr="00000000">
        <w:rPr>
          <w:rFonts w:ascii="Google Sans" w:cs="Google Sans" w:eastAsia="Google Sans" w:hAnsi="Google Sans"/>
          <w:color w:val="1f1f1f"/>
          <w:rtl w:val="0"/>
        </w:rPr>
        <w:t xml:space="preserve">, 2020.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 P. C.; BEASLEY, J. E. A Genetic Algorithm for the Multidimensional Knapsack Problem. </w:t>
      </w:r>
      <w:r w:rsidDel="00000000" w:rsidR="00000000" w:rsidRPr="00000000">
        <w:rPr>
          <w:rFonts w:ascii="Google Sans" w:cs="Google Sans" w:eastAsia="Google Sans" w:hAnsi="Google Sans"/>
          <w:i w:val="1"/>
          <w:iCs w:val="1"/>
          <w:color w:val="1f1f1f"/>
          <w:rtl w:val="0"/>
        </w:rPr>
        <w:t xml:space="preserve">Journal of Heuristics</w:t>
      </w:r>
      <w:r w:rsidDel="00000000" w:rsidR="00000000" w:rsidRPr="00000000">
        <w:rPr>
          <w:rFonts w:ascii="Google Sans" w:cs="Google Sans" w:eastAsia="Google Sans" w:hAnsi="Google Sans"/>
          <w:color w:val="1f1f1f"/>
          <w:rtl w:val="0"/>
        </w:rPr>
        <w:t xml:space="preserve">, v. 4, p. 63-86, 1998.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COHEN, D.; BOUTILIER, C. Using reinforcement learning for dynamic planning in open-ended conversations. </w:t>
      </w:r>
      <w:r w:rsidDel="00000000" w:rsidR="00000000" w:rsidRPr="00000000">
        <w:rPr>
          <w:rFonts w:ascii="Google Sans" w:cs="Google Sans" w:eastAsia="Google Sans" w:hAnsi="Google Sans"/>
          <w:i w:val="1"/>
          <w:iCs w:val="1"/>
          <w:color w:val="1f1f1f"/>
          <w:rtl w:val="0"/>
        </w:rPr>
        <w:t xml:space="preserve">Google Research Blog</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COLSUBSIDIO. Informe Sciencepreneurs 2024: Foodtech, las tecnologías convergentes. </w:t>
      </w:r>
      <w:r w:rsidDel="00000000" w:rsidR="00000000" w:rsidRPr="00000000">
        <w:rPr>
          <w:rFonts w:ascii="Google Sans" w:cs="Google Sans" w:eastAsia="Google Sans" w:hAnsi="Google Sans"/>
          <w:i w:val="1"/>
          <w:iCs w:val="1"/>
          <w:color w:val="1f1f1f"/>
          <w:rtl w:val="0"/>
        </w:rPr>
        <w:t xml:space="preserve">Colsubsidio Documentos</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DAHAN, F. et al. Enhanced Ant Colony Optimization Based Algorithm to Solve QoS-Aware Web Service Composition. </w:t>
      </w:r>
      <w:r w:rsidDel="00000000" w:rsidR="00000000" w:rsidRPr="00000000">
        <w:rPr>
          <w:rFonts w:ascii="Google Sans" w:cs="Google Sans" w:eastAsia="Google Sans" w:hAnsi="Google Sans"/>
          <w:i w:val="1"/>
          <w:iCs w:val="1"/>
          <w:color w:val="1f1f1f"/>
          <w:rtl w:val="0"/>
        </w:rPr>
        <w:t xml:space="preserve">IEEE Access</w:t>
      </w:r>
      <w:r w:rsidDel="00000000" w:rsidR="00000000" w:rsidRPr="00000000">
        <w:rPr>
          <w:rFonts w:ascii="Google Sans" w:cs="Google Sans" w:eastAsia="Google Sans" w:hAnsi="Google Sans"/>
          <w:color w:val="1f1f1f"/>
          <w:rtl w:val="0"/>
        </w:rPr>
        <w:t xml:space="preserve">, v. 9, p. 34100-34110, 2021.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DANTZIG, G. B. The Diet Problem. </w:t>
      </w:r>
      <w:r w:rsidDel="00000000" w:rsidR="00000000" w:rsidRPr="00000000">
        <w:rPr>
          <w:rFonts w:ascii="Google Sans" w:cs="Google Sans" w:eastAsia="Google Sans" w:hAnsi="Google Sans"/>
          <w:i w:val="1"/>
          <w:iCs w:val="1"/>
          <w:color w:val="1f1f1f"/>
          <w:rtl w:val="0"/>
        </w:rPr>
        <w:t xml:space="preserve">Interfaces</w:t>
      </w:r>
      <w:r w:rsidDel="00000000" w:rsidR="00000000" w:rsidRPr="00000000">
        <w:rPr>
          <w:rFonts w:ascii="Google Sans" w:cs="Google Sans" w:eastAsia="Google Sans" w:hAnsi="Google Sans"/>
          <w:color w:val="1f1f1f"/>
          <w:rtl w:val="0"/>
        </w:rPr>
        <w:t xml:space="preserve">, v. 20, p. 43-47, 1990.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DOLLAHITE, J. et al. Diet planning using optimization. 1995.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DORIGO, M. </w:t>
      </w:r>
      <w:r w:rsidDel="00000000" w:rsidR="00000000" w:rsidRPr="00000000">
        <w:rPr>
          <w:rFonts w:ascii="Google Sans" w:cs="Google Sans" w:eastAsia="Google Sans" w:hAnsi="Google Sans"/>
          <w:i w:val="1"/>
          <w:iCs w:val="1"/>
          <w:color w:val="1f1f1f"/>
          <w:rtl w:val="0"/>
        </w:rPr>
        <w:t xml:space="preserve">Optimization, learning and natural algorithms</w:t>
      </w:r>
      <w:r w:rsidDel="00000000" w:rsidR="00000000" w:rsidRPr="00000000">
        <w:rPr>
          <w:rFonts w:ascii="Google Sans" w:cs="Google Sans" w:eastAsia="Google Sans" w:hAnsi="Google Sans"/>
          <w:color w:val="1f1f1f"/>
          <w:rtl w:val="0"/>
        </w:rPr>
        <w:t xml:space="preserve">. Tese (Ph.D.) - Politecnico di Milano, Itália, 1992.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FAEZIRAD, M. et al. Preventing food waste in subsidy-based university dining systems. </w:t>
      </w:r>
      <w:r w:rsidDel="00000000" w:rsidR="00000000" w:rsidRPr="00000000">
        <w:rPr>
          <w:rFonts w:ascii="Google Sans" w:cs="Google Sans" w:eastAsia="Google Sans" w:hAnsi="Google Sans"/>
          <w:i w:val="1"/>
          <w:iCs w:val="1"/>
          <w:color w:val="1f1f1f"/>
          <w:rtl w:val="0"/>
        </w:rPr>
        <w:t xml:space="preserve">Waste Management &amp; Research</w:t>
      </w:r>
      <w:r w:rsidDel="00000000" w:rsidR="00000000" w:rsidRPr="00000000">
        <w:rPr>
          <w:rFonts w:ascii="Google Sans" w:cs="Google Sans" w:eastAsia="Google Sans" w:hAnsi="Google Sans"/>
          <w:color w:val="1f1f1f"/>
          <w:rtl w:val="0"/>
        </w:rPr>
        <w:t xml:space="preserve">, v. 39, n. 8, p. 1027-1038, 2021.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GREYB. Food Tech Trends and Future Outlook 2025. </w:t>
      </w:r>
      <w:r w:rsidDel="00000000" w:rsidR="00000000" w:rsidRPr="00000000">
        <w:rPr>
          <w:rFonts w:ascii="Google Sans" w:cs="Google Sans" w:eastAsia="Google Sans" w:hAnsi="Google Sans"/>
          <w:i w:val="1"/>
          <w:iCs w:val="1"/>
          <w:color w:val="1f1f1f"/>
          <w:rtl w:val="0"/>
        </w:rPr>
        <w:t xml:space="preserve">GreyB Blog</w:t>
      </w:r>
      <w:r w:rsidDel="00000000" w:rsidR="00000000" w:rsidRPr="00000000">
        <w:rPr>
          <w:rFonts w:ascii="Google Sans" w:cs="Google Sans" w:eastAsia="Google Sans" w:hAnsi="Google Sans"/>
          <w:color w:val="1f1f1f"/>
          <w:rtl w:val="0"/>
        </w:rPr>
        <w:t xml:space="preserve">, 2025.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ANALYTICS. How AI-powered demand forecasting helps win the fight against food waste. </w:t>
      </w:r>
      <w:r w:rsidDel="00000000" w:rsidR="00000000" w:rsidRPr="00000000">
        <w:rPr>
          <w:rFonts w:ascii="Google Sans" w:cs="Google Sans" w:eastAsia="Google Sans" w:hAnsi="Google Sans"/>
          <w:i w:val="1"/>
          <w:iCs w:val="1"/>
          <w:color w:val="1f1f1f"/>
          <w:rtl w:val="0"/>
        </w:rPr>
        <w:t xml:space="preserve">Impact Analytics Blog</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INFORMS. Computational Complexity in Precedence Constraints. </w:t>
      </w:r>
      <w:r w:rsidDel="00000000" w:rsidR="00000000" w:rsidRPr="00000000">
        <w:rPr>
          <w:rFonts w:ascii="Google Sans" w:cs="Google Sans" w:eastAsia="Google Sans" w:hAnsi="Google Sans"/>
          <w:i w:val="1"/>
          <w:iCs w:val="1"/>
          <w:color w:val="1f1f1f"/>
          <w:rtl w:val="0"/>
        </w:rPr>
        <w:t xml:space="preserve">Operations Research</w:t>
      </w:r>
      <w:r w:rsidDel="00000000" w:rsidR="00000000" w:rsidRPr="00000000">
        <w:rPr>
          <w:rFonts w:ascii="Google Sans" w:cs="Google Sans" w:eastAsia="Google Sans" w:hAnsi="Google Sans"/>
          <w:color w:val="1f1f1f"/>
          <w:rtl w:val="0"/>
        </w:rPr>
        <w:t xml:space="preserve">, Vol. 26, 2026.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JRIDI, I.; JERBI, B.; KAMOUN, H. Menu Planning with a Dynamic Goal Programming Approach. </w:t>
      </w:r>
      <w:r w:rsidDel="00000000" w:rsidR="00000000" w:rsidRPr="00000000">
        <w:rPr>
          <w:rFonts w:ascii="Google Sans" w:cs="Google Sans" w:eastAsia="Google Sans" w:hAnsi="Google Sans"/>
          <w:i w:val="1"/>
          <w:iCs w:val="1"/>
          <w:color w:val="1f1f1f"/>
          <w:rtl w:val="0"/>
        </w:rPr>
        <w:t xml:space="preserve">Multiple Criteria Decision Making</w:t>
      </w:r>
      <w:r w:rsidDel="00000000" w:rsidR="00000000" w:rsidRPr="00000000">
        <w:rPr>
          <w:rFonts w:ascii="Google Sans" w:cs="Google Sans" w:eastAsia="Google Sans" w:hAnsi="Google Sans"/>
          <w:color w:val="1f1f1f"/>
          <w:rtl w:val="0"/>
        </w:rPr>
        <w:t xml:space="preserve">, v. 13, p. 74-90, 2018.</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 S. Development of an AI-based restaurant menu demand prediction model utilizing sales and meteorological data. </w:t>
      </w:r>
      <w:r w:rsidDel="00000000" w:rsidR="00000000" w:rsidRPr="00000000">
        <w:rPr>
          <w:rFonts w:ascii="Google Sans" w:cs="Google Sans" w:eastAsia="Google Sans" w:hAnsi="Google Sans"/>
          <w:i w:val="1"/>
          <w:iCs w:val="1"/>
          <w:color w:val="1f1f1f"/>
          <w:rtl w:val="0"/>
        </w:rPr>
        <w:t xml:space="preserve">Food Science and Biotechnology</w:t>
      </w:r>
      <w:r w:rsidDel="00000000" w:rsidR="00000000" w:rsidRPr="00000000">
        <w:rPr>
          <w:rFonts w:ascii="Google Sans" w:cs="Google Sans" w:eastAsia="Google Sans" w:hAnsi="Google Sans"/>
          <w:color w:val="1f1f1f"/>
          <w:rtl w:val="0"/>
        </w:rPr>
        <w:t xml:space="preserve">, v. 34, n. 15, p. 3597-3606, 2025.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KOIVISTO, R. et al. Future-oriented Technology Analysis. 2009.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LIVELYTICS. Predictive analytics in restaurants a game changer. </w:t>
      </w:r>
      <w:r w:rsidDel="00000000" w:rsidR="00000000" w:rsidRPr="00000000">
        <w:rPr>
          <w:rFonts w:ascii="Google Sans" w:cs="Google Sans" w:eastAsia="Google Sans" w:hAnsi="Google Sans"/>
          <w:i w:val="1"/>
          <w:iCs w:val="1"/>
          <w:color w:val="1f1f1f"/>
          <w:rtl w:val="0"/>
        </w:rPr>
        <w:t xml:space="preserve">Livelytics Blog</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MERDIKAWATI, S. et al. Optimal three-part tariff pricing and marketing strategies. </w:t>
      </w:r>
      <w:r w:rsidDel="00000000" w:rsidR="00000000" w:rsidRPr="00000000">
        <w:rPr>
          <w:rFonts w:ascii="Google Sans" w:cs="Google Sans" w:eastAsia="Google Sans" w:hAnsi="Google Sans"/>
          <w:i w:val="1"/>
          <w:iCs w:val="1"/>
          <w:color w:val="1f1f1f"/>
          <w:rtl w:val="0"/>
        </w:rPr>
        <w:t xml:space="preserve">PLOS ONE</w:t>
      </w:r>
      <w:r w:rsidDel="00000000" w:rsidR="00000000" w:rsidRPr="00000000">
        <w:rPr>
          <w:rFonts w:ascii="Google Sans" w:cs="Google Sans" w:eastAsia="Google Sans" w:hAnsi="Google Sans"/>
          <w:color w:val="1f1f1f"/>
          <w:rtl w:val="0"/>
        </w:rPr>
        <w:t xml:space="preserve">, 2024.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PILARSKI, S. et al. Combining simulation and reinforcement learning to reduce food waste in food retail. </w:t>
      </w:r>
      <w:r w:rsidDel="00000000" w:rsidR="00000000" w:rsidRPr="00000000">
        <w:rPr>
          <w:rFonts w:ascii="Google Sans" w:cs="Google Sans" w:eastAsia="Google Sans" w:hAnsi="Google Sans"/>
          <w:i w:val="1"/>
          <w:iCs w:val="1"/>
          <w:color w:val="1f1f1f"/>
          <w:rtl w:val="0"/>
        </w:rPr>
        <w:t xml:space="preserve">Simulation: Transactions of the Society for Modeling and Simulation International</w:t>
      </w:r>
      <w:r w:rsidDel="00000000" w:rsidR="00000000" w:rsidRPr="00000000">
        <w:rPr>
          <w:rFonts w:ascii="Google Sans" w:cs="Google Sans" w:eastAsia="Google Sans" w:hAnsi="Google Sans"/>
          <w:color w:val="1f1f1f"/>
          <w:rtl w:val="0"/>
        </w:rPr>
        <w:t xml:space="preserve">, v. 101, n. 3, p. 267-285, 2024.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PINEDO, M. </w:t>
      </w:r>
      <w:r w:rsidDel="00000000" w:rsidR="00000000" w:rsidRPr="00000000">
        <w:rPr>
          <w:rFonts w:ascii="Google Sans" w:cs="Google Sans" w:eastAsia="Google Sans" w:hAnsi="Google Sans"/>
          <w:i w:val="1"/>
          <w:iCs w:val="1"/>
          <w:color w:val="1f1f1f"/>
          <w:rtl w:val="0"/>
        </w:rPr>
        <w:t xml:space="preserve">Scheduling: Theory, Algorithms, and Systems</w:t>
      </w:r>
      <w:r w:rsidDel="00000000" w:rsidR="00000000" w:rsidRPr="00000000">
        <w:rPr>
          <w:rFonts w:ascii="Google Sans" w:cs="Google Sans" w:eastAsia="Google Sans" w:hAnsi="Google Sans"/>
          <w:color w:val="1f1f1f"/>
          <w:rtl w:val="0"/>
        </w:rPr>
        <w:t xml:space="preserve">. IEEE Handouts, NYU, 2026.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RINTANJ, J. Basics of Complexity Classes. Aalto University, </w:t>
      </w:r>
      <w:r w:rsidDel="00000000" w:rsidR="00000000" w:rsidRPr="00000000">
        <w:rPr>
          <w:rFonts w:ascii="Google Sans" w:cs="Google Sans" w:eastAsia="Google Sans" w:hAnsi="Google Sans"/>
          <w:i w:val="1"/>
          <w:iCs w:val="1"/>
          <w:color w:val="1f1f1f"/>
          <w:rtl w:val="0"/>
        </w:rPr>
        <w:t xml:space="preserve">ICAPS Summer School</w:t>
      </w:r>
      <w:r w:rsidDel="00000000" w:rsidR="00000000" w:rsidRPr="00000000">
        <w:rPr>
          <w:rFonts w:ascii="Google Sans" w:cs="Google Sans" w:eastAsia="Google Sans" w:hAnsi="Google Sans"/>
          <w:color w:val="1f1f1f"/>
          <w:rtl w:val="0"/>
        </w:rPr>
        <w:t xml:space="preserve">, 2016.</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ROMERO, C.; REHMAN, T. A Note on Diet Planning in the Third World by Linear and Goal Programming. </w:t>
      </w:r>
      <w:r w:rsidDel="00000000" w:rsidR="00000000" w:rsidRPr="00000000">
        <w:rPr>
          <w:rFonts w:ascii="Google Sans" w:cs="Google Sans" w:eastAsia="Google Sans" w:hAnsi="Google Sans"/>
          <w:i w:val="1"/>
          <w:iCs w:val="1"/>
          <w:color w:val="1f1f1f"/>
          <w:rtl w:val="0"/>
        </w:rPr>
        <w:t xml:space="preserve">Journal of the Operational Research Society</w:t>
      </w:r>
      <w:r w:rsidDel="00000000" w:rsidR="00000000" w:rsidRPr="00000000">
        <w:rPr>
          <w:rFonts w:ascii="Google Sans" w:cs="Google Sans" w:eastAsia="Google Sans" w:hAnsi="Google Sans"/>
          <w:color w:val="1f1f1f"/>
          <w:rtl w:val="0"/>
        </w:rPr>
        <w:t xml:space="preserve">, 1984.</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RUSIN, M.; ZAITSEVA, E. Hierarchical Heterogeneous Ant Colony Optimization. In: </w:t>
      </w:r>
      <w:r w:rsidDel="00000000" w:rsidR="00000000" w:rsidRPr="00000000">
        <w:rPr>
          <w:rFonts w:ascii="Google Sans" w:cs="Google Sans" w:eastAsia="Google Sans" w:hAnsi="Google Sans"/>
          <w:i w:val="1"/>
          <w:iCs w:val="1"/>
          <w:color w:val="1f1f1f"/>
          <w:rtl w:val="0"/>
        </w:rPr>
        <w:t xml:space="preserve">Proceedings of the Federated Conference on Computer Science and Information Systems (FedCSIS)</w:t>
      </w:r>
      <w:r w:rsidDel="00000000" w:rsidR="00000000" w:rsidRPr="00000000">
        <w:rPr>
          <w:rFonts w:ascii="Google Sans" w:cs="Google Sans" w:eastAsia="Google Sans" w:hAnsi="Google Sans"/>
          <w:color w:val="1f1f1f"/>
          <w:rtl w:val="0"/>
        </w:rPr>
        <w:t xml:space="preserve">, p. 197-203. IEEE, 2012.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SUTOVSKY, H. Hadar Sutovsky's Vision for the Future of Food Tech. </w:t>
      </w:r>
      <w:r w:rsidDel="00000000" w:rsidR="00000000" w:rsidRPr="00000000">
        <w:rPr>
          <w:rFonts w:ascii="Google Sans" w:cs="Google Sans" w:eastAsia="Google Sans" w:hAnsi="Google Sans"/>
          <w:i w:val="1"/>
          <w:iCs w:val="1"/>
          <w:color w:val="1f1f1f"/>
          <w:rtl w:val="0"/>
        </w:rPr>
        <w:t xml:space="preserve">ICL Group Blog</w:t>
      </w:r>
      <w:r w:rsidDel="00000000" w:rsidR="00000000" w:rsidRPr="00000000">
        <w:rPr>
          <w:rFonts w:ascii="Google Sans" w:cs="Google Sans" w:eastAsia="Google Sans" w:hAnsi="Google Sans"/>
          <w:color w:val="1f1f1f"/>
          <w:rtl w:val="0"/>
        </w:rPr>
        <w:t xml:space="preserve">, 2025.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TOLEDO, R. Y. et al. Food Recommender System Considering Nutritional Information and User Preferences. </w:t>
      </w:r>
      <w:r w:rsidDel="00000000" w:rsidR="00000000" w:rsidRPr="00000000">
        <w:rPr>
          <w:rFonts w:ascii="Google Sans" w:cs="Google Sans" w:eastAsia="Google Sans" w:hAnsi="Google Sans"/>
          <w:i w:val="1"/>
          <w:iCs w:val="1"/>
          <w:color w:val="1f1f1f"/>
          <w:rtl w:val="0"/>
        </w:rPr>
        <w:t xml:space="preserve">IEEE Access</w:t>
      </w:r>
      <w:r w:rsidDel="00000000" w:rsidR="00000000" w:rsidRPr="00000000">
        <w:rPr>
          <w:rFonts w:ascii="Google Sans" w:cs="Google Sans" w:eastAsia="Google Sans" w:hAnsi="Google Sans"/>
          <w:color w:val="1f1f1f"/>
          <w:rtl w:val="0"/>
        </w:rPr>
        <w:t xml:space="preserve">, v. 7, p. 96695-96711, 2019.</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VASILAKAKIS, G.; GIANNIKOS, I. Robust flexible menu planning. </w:t>
      </w:r>
      <w:r w:rsidDel="00000000" w:rsidR="00000000" w:rsidRPr="00000000">
        <w:rPr>
          <w:rFonts w:ascii="Google Sans" w:cs="Google Sans" w:eastAsia="Google Sans" w:hAnsi="Google Sans"/>
          <w:i w:val="1"/>
          <w:iCs w:val="1"/>
          <w:color w:val="1f1f1f"/>
          <w:rtl w:val="0"/>
        </w:rPr>
        <w:t xml:space="preserve">Optimization Online</w:t>
      </w:r>
      <w:r w:rsidDel="00000000" w:rsidR="00000000" w:rsidRPr="00000000">
        <w:rPr>
          <w:rFonts w:ascii="Google Sans" w:cs="Google Sans" w:eastAsia="Google Sans" w:hAnsi="Google Sans"/>
          <w:color w:val="1f1f1f"/>
          <w:rtl w:val="0"/>
        </w:rPr>
        <w:t xml:space="preserve">, 2023.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YUAN, X. et al. A hybrid genetic algorithm with hill climbing method. 2008.</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AI-Powered Demand Forecasting Helps Win the Fight Against Food Waste, acessado em abril 17, 2026, </w:t>
      </w:r>
      <w:hyperlink r:id="rId51">
        <w:r w:rsidDel="00000000" w:rsidR="00000000" w:rsidRPr="00000000">
          <w:rPr>
            <w:rFonts w:ascii="Google Sans" w:cs="Google Sans" w:eastAsia="Google Sans" w:hAnsi="Google Sans"/>
            <w:color w:val="0000ee"/>
            <w:sz w:val="24"/>
            <w:szCs w:val="24"/>
            <w:u w:val="single"/>
            <w:rtl w:val="0"/>
          </w:rPr>
          <w:t xml:space="preserve">https://www.impactanalytics.ai/blog/how-ai-powered-demand-forecasting-helps-win-the-fight-against-food-waste</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NP-hard - NYU Stern, acessado em abril 17, 2026, </w:t>
      </w:r>
      <w:hyperlink r:id="rId52">
        <w:r w:rsidDel="00000000" w:rsidR="00000000" w:rsidRPr="00000000">
          <w:rPr>
            <w:rFonts w:ascii="Google Sans" w:cs="Google Sans" w:eastAsia="Google Sans" w:hAnsi="Google Sans"/>
            <w:color w:val="0000ee"/>
            <w:sz w:val="24"/>
            <w:szCs w:val="24"/>
            <w:u w:val="single"/>
            <w:rtl w:val="0"/>
          </w:rPr>
          <w:t xml:space="preserve">https://web-static.stern.nyu.edu/om/faculty/pinedo/scheduling/shakhlevich/handout05.pdf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Memetic Decomposition-Based Multi-Objective Evolutionary Algorithm Applied to a Constrained Menu Planning Problem - ResearchGate, acessado em abril 17,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https://www.researchgate.net/publication/345981382_A_Memetic_Decomposition-Based_Multi-Objective_Evolutionary_Algorithm_Applied_to_a_Constrained_Menu_Planning_Problem</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Dietary Menu Planning Using an Evolutionary Method - ResearchGate, acessado em abril 17,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https://www.researchgate.net/publication/224646297_Dietary_Menu_Planning_Using_an_Evolutionary_Method</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NP-complete Problems and Proof Methodology - ResearchGate, acessado em abril 17,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https://www.researchgate.net/publication/249598478_NP-complete_Problems_and_Proof_Methodology</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Best-compromise nutritional menus for childhood obesity | bioRxiv, acessado em abril 17, 2026, </w:t>
      </w:r>
      <w:hyperlink r:id="rId56">
        <w:r w:rsidDel="00000000" w:rsidR="00000000" w:rsidRPr="00000000">
          <w:rPr>
            <w:rFonts w:ascii="Google Sans" w:cs="Google Sans" w:eastAsia="Google Sans" w:hAnsi="Google Sans"/>
            <w:color w:val="0000ee"/>
            <w:sz w:val="24"/>
            <w:szCs w:val="24"/>
            <w:u w:val="single"/>
            <w:rtl w:val="0"/>
          </w:rPr>
          <w:t xml:space="preserve">https://www.biorxiv.org/content/10.1101/618108v1.full-text</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Complexity of Scheduling under Precedence Constraints | Operations Research, acessado em abril 17, 2026, </w:t>
      </w:r>
      <w:hyperlink r:id="rId57">
        <w:r w:rsidDel="00000000" w:rsidR="00000000" w:rsidRPr="00000000">
          <w:rPr>
            <w:rFonts w:ascii="Google Sans" w:cs="Google Sans" w:eastAsia="Google Sans" w:hAnsi="Google Sans"/>
            <w:color w:val="0000ee"/>
            <w:sz w:val="24"/>
            <w:szCs w:val="24"/>
            <w:u w:val="single"/>
            <w:rtl w:val="0"/>
          </w:rPr>
          <w:t xml:space="preserve">https://pubsonline.informs.org/doi/10.1287/opre.26.1.22</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Proposal of a Menu Planning Algorithm for Two-phase Cooking by Busy Persons | Request PDF - ResearchGate, acessado em abril 17,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https://www.researchgate.net/publication/224253585_A_Proposal_of_a_Menu_Planning_Algorithm_for_Two-phase_Cooking_by_Busy_Persons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Complexity in Automated Planning and Scheduling, acessado em abril 17, 2026, </w:t>
      </w:r>
      <w:hyperlink r:id="rId59">
        <w:r w:rsidDel="00000000" w:rsidR="00000000" w:rsidRPr="00000000">
          <w:rPr>
            <w:rFonts w:ascii="Google Sans" w:cs="Google Sans" w:eastAsia="Google Sans" w:hAnsi="Google Sans"/>
            <w:color w:val="0000ee"/>
            <w:sz w:val="24"/>
            <w:szCs w:val="24"/>
            <w:u w:val="single"/>
            <w:rtl w:val="0"/>
          </w:rPr>
          <w:t xml:space="preserve">https://users.aalto.fi/~rintanj1/ICAPSsummerschool2016.pdf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menu planning model for malaysian boarding school using self-adaptive hybrid genetic algorithms - Universiti Utara Malaysia, acessado em abril 17, 2026, </w:t>
      </w:r>
      <w:hyperlink r:id="rId60">
        <w:r w:rsidDel="00000000" w:rsidR="00000000" w:rsidRPr="00000000">
          <w:rPr>
            <w:rFonts w:ascii="Google Sans" w:cs="Google Sans" w:eastAsia="Google Sans" w:hAnsi="Google Sans"/>
            <w:color w:val="0000ee"/>
            <w:sz w:val="24"/>
            <w:szCs w:val="24"/>
            <w:u w:val="single"/>
            <w:rtl w:val="0"/>
          </w:rPr>
          <w:t xml:space="preserve">https://etd.uum.edu.my/2825/2/1.Siti_Noor_Asyikin_Mohd_Razali.pdf</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automated menu planning approaches - ResearchGate, acessado em abril 17,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https://www.researchgate.net/publication/316562531_A_review_on_automated_menu_planning_approaches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 multi-period multiple parts mixed integer linear programming model for AM adoption in the spare parts supply Chain - Taylor &amp; Francis, acessado em abril 17, 2026, </w:t>
      </w:r>
      <w:hyperlink r:id="rId62">
        <w:r w:rsidDel="00000000" w:rsidR="00000000" w:rsidRPr="00000000">
          <w:rPr>
            <w:rFonts w:ascii="Google Sans" w:cs="Google Sans" w:eastAsia="Google Sans" w:hAnsi="Google Sans"/>
            <w:color w:val="0000ee"/>
            <w:sz w:val="24"/>
            <w:szCs w:val="24"/>
            <w:u w:val="single"/>
            <w:rtl w:val="0"/>
          </w:rPr>
          <w:t xml:space="preserve">https://www.tandfonline.com/doi/full/10.1080/0951192X.2023.2228263</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Automated Menu Planning Approaches, acessado em abril 17, 2026, </w:t>
      </w:r>
      <w:hyperlink r:id="rId63">
        <w:r w:rsidDel="00000000" w:rsidR="00000000" w:rsidRPr="00000000">
          <w:rPr>
            <w:rFonts w:ascii="Google Sans" w:cs="Google Sans" w:eastAsia="Google Sans" w:hAnsi="Google Sans"/>
            <w:color w:val="0000ee"/>
            <w:sz w:val="24"/>
            <w:szCs w:val="24"/>
            <w:u w:val="single"/>
            <w:rtl w:val="0"/>
          </w:rPr>
          <w:t xml:space="preserve">https://thescipub.com/pdf/jcssp.2016.582.596.pdf</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MENU PLANNING WITH A DYNAMIC GOAL PROGRAMMING APPROACH 1 Introduction - Multiple Criteria Decision Making, acessado em abril 17, 2026, </w:t>
      </w:r>
      <w:hyperlink r:id="rId64">
        <w:r w:rsidDel="00000000" w:rsidR="00000000" w:rsidRPr="00000000">
          <w:rPr>
            <w:rFonts w:ascii="Google Sans" w:cs="Google Sans" w:eastAsia="Google Sans" w:hAnsi="Google Sans"/>
            <w:color w:val="0000ee"/>
            <w:sz w:val="24"/>
            <w:szCs w:val="24"/>
            <w:u w:val="single"/>
            <w:rtl w:val="0"/>
          </w:rPr>
          <w:t xml:space="preserve">https://mcdm.ue.katowice.pl/files/papers/mcdm18(13)_4.pdf</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robust menu planning for food services: Reducing food waste by using leftovers - Optimization Online, acessado em abril 17, 2026, </w:t>
      </w:r>
      <w:hyperlink r:id="rId65">
        <w:r w:rsidDel="00000000" w:rsidR="00000000" w:rsidRPr="00000000">
          <w:rPr>
            <w:rFonts w:ascii="Google Sans" w:cs="Google Sans" w:eastAsia="Google Sans" w:hAnsi="Google Sans"/>
            <w:color w:val="0000ee"/>
            <w:sz w:val="24"/>
            <w:szCs w:val="24"/>
            <w:u w:val="single"/>
            <w:rtl w:val="0"/>
          </w:rPr>
          <w:t xml:space="preserve">https://optimization-online.org/wp-content/uploads/2025/04/Robust_flexible_menu_planning.pdf</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Computer-based dietary menu planning Journal of Food Composition and Analysis, acessado em abril 17, 2026, </w:t>
      </w:r>
      <w:hyperlink r:id="rId66">
        <w:r w:rsidDel="00000000" w:rsidR="00000000" w:rsidRPr="00000000">
          <w:rPr>
            <w:rFonts w:ascii="Google Sans" w:cs="Google Sans" w:eastAsia="Google Sans" w:hAnsi="Google Sans"/>
            <w:color w:val="0000ee"/>
            <w:sz w:val="24"/>
            <w:szCs w:val="24"/>
            <w:u w:val="single"/>
            <w:rtl w:val="0"/>
          </w:rPr>
          <w:t xml:space="preserve">https://www.dcs.gla.ac.uk/~pat/jchoco/dietProblem/papers/menu2009.pdf</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Food Menu Recommendations Based on Recommended Dietary Allowances using Genetic Algorithm - ResearchGate, acessado em abril 17,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https://www.researchgate.net/publication/366969671_Food_Menu_Recommendations_Based_on_Recommended_Dietary_Allowances_using_Genetic_Algorithm</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Food Recommender System Considering Nutritional Information and User Preferences - IEEE Xplore, acessado em abril 17, 2026, </w:t>
      </w:r>
      <w:hyperlink r:id="rId68">
        <w:r w:rsidDel="00000000" w:rsidR="00000000" w:rsidRPr="00000000">
          <w:rPr>
            <w:rFonts w:ascii="Google Sans" w:cs="Google Sans" w:eastAsia="Google Sans" w:hAnsi="Google Sans"/>
            <w:color w:val="0000ee"/>
            <w:sz w:val="24"/>
            <w:szCs w:val="24"/>
            <w:u w:val="single"/>
            <w:rtl w:val="0"/>
          </w:rPr>
          <w:t xml:space="preserve">https://ieeexplore.ieee.org/iel7/6287639/8600701/08765311.pdf</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Genetic Simulated Annealing Algorithm for Improved Flow Shop Scheduling with Makespan Criterion - MDPI, acessado em abril 17, 2026, </w:t>
      </w:r>
      <w:hyperlink r:id="rId69">
        <w:r w:rsidDel="00000000" w:rsidR="00000000" w:rsidRPr="00000000">
          <w:rPr>
            <w:rFonts w:ascii="Google Sans" w:cs="Google Sans" w:eastAsia="Google Sans" w:hAnsi="Google Sans"/>
            <w:color w:val="0000ee"/>
            <w:sz w:val="24"/>
            <w:szCs w:val="24"/>
            <w:u w:val="single"/>
            <w:rtl w:val="0"/>
          </w:rPr>
          <w:t xml:space="preserve">https://www.mdpi.com/2076-3417/8/12/2621</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Nutritional Decisions: A Particle Swarm Optimization ..., acessado em abril 17, 2026,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https://pmc.ncbi.nlm.nih.gov/articles/PMC11434635/</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Nutritional Decisions: A Particle Swarm Optimization-Simulated Annealing-Enhanced Analytic Hierarchy Process Approach for Personalized Meal Planning - PubMed, acessado em abril 17, 2026, </w:t>
      </w:r>
      <w:hyperlink r:id="rId71">
        <w:r w:rsidDel="00000000" w:rsidR="00000000" w:rsidRPr="00000000">
          <w:rPr>
            <w:rFonts w:ascii="Google Sans" w:cs="Google Sans" w:eastAsia="Google Sans" w:hAnsi="Google Sans"/>
            <w:color w:val="0000ee"/>
            <w:sz w:val="24"/>
            <w:szCs w:val="24"/>
            <w:u w:val="single"/>
            <w:rtl w:val="0"/>
          </w:rPr>
          <w:t xml:space="preserve">https://pubmed.ncbi.nlm.nih.gov/39339715/</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Particle Swarm Optimization–Simulated Annealing-Enhanced Analytic Hierarchy Process Approach for Personalized Meal Planning - NSF Public Access Repository, acessado em abril 17, 2026, </w:t>
      </w:r>
      <w:hyperlink r:id="rId72">
        <w:r w:rsidDel="00000000" w:rsidR="00000000" w:rsidRPr="00000000">
          <w:rPr>
            <w:rFonts w:ascii="Google Sans" w:cs="Google Sans" w:eastAsia="Google Sans" w:hAnsi="Google Sans"/>
            <w:color w:val="0000ee"/>
            <w:sz w:val="24"/>
            <w:szCs w:val="24"/>
            <w:u w:val="single"/>
            <w:rtl w:val="0"/>
          </w:rPr>
          <w:t xml:space="preserve">https://par.nsf.gov/servlets/purl/10634622</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 colony optimization algorithms - Wikipedia, acessado em abril 17, 2026, </w:t>
      </w:r>
      <w:hyperlink r:id="rId73">
        <w:r w:rsidDel="00000000" w:rsidR="00000000" w:rsidRPr="00000000">
          <w:rPr>
            <w:rFonts w:ascii="Google Sans" w:cs="Google Sans" w:eastAsia="Google Sans" w:hAnsi="Google Sans"/>
            <w:color w:val="0000ee"/>
            <w:sz w:val="24"/>
            <w:szCs w:val="24"/>
            <w:u w:val="single"/>
            <w:rtl w:val="0"/>
          </w:rPr>
          <w:t xml:space="preserve">https://en.wikipedia.org/wiki/Ant_colony_optimization_algorithms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 Planning for Delivery Robots Based on an Improved Ant Colony Optimization Algorithm Combined with Dynamic Window Approach - PMC, acessado em abril 17, 2026, </w:t>
      </w:r>
      <w:hyperlink r:id="rId74">
        <w:r w:rsidDel="00000000" w:rsidR="00000000" w:rsidRPr="00000000">
          <w:rPr>
            <w:rFonts w:ascii="Google Sans" w:cs="Google Sans" w:eastAsia="Google Sans" w:hAnsi="Google Sans"/>
            <w:color w:val="0000ee"/>
            <w:sz w:val="24"/>
            <w:szCs w:val="24"/>
            <w:u w:val="single"/>
            <w:rtl w:val="0"/>
          </w:rPr>
          <w:t xml:space="preserve">https://pmc.ncbi.nlm.nih.gov/articles/PMC12787954/</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Intelligently Enhanced Ant Colony Optimization Algorithm for Global Path Planning of Mobile Robots in Engineering Applications - MDPI, acessado em abril 17, 2026, </w:t>
      </w:r>
      <w:hyperlink r:id="rId75">
        <w:r w:rsidDel="00000000" w:rsidR="00000000" w:rsidRPr="00000000">
          <w:rPr>
            <w:rFonts w:ascii="Google Sans" w:cs="Google Sans" w:eastAsia="Google Sans" w:hAnsi="Google Sans"/>
            <w:color w:val="0000ee"/>
            <w:sz w:val="24"/>
            <w:szCs w:val="24"/>
            <w:u w:val="single"/>
            <w:rtl w:val="0"/>
          </w:rPr>
          <w:t xml:space="preserve">https://www.mdpi.com/1424-8220/25/5/1326</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Heterogeneous Ant Colony Optimization - Annals of ..., acessado em abril 17, 2026, </w:t>
      </w:r>
      <w:hyperlink r:id="rId76">
        <w:r w:rsidDel="00000000" w:rsidR="00000000" w:rsidRPr="00000000">
          <w:rPr>
            <w:rFonts w:ascii="Google Sans" w:cs="Google Sans" w:eastAsia="Google Sans" w:hAnsi="Google Sans"/>
            <w:color w:val="0000ee"/>
            <w:sz w:val="24"/>
            <w:szCs w:val="24"/>
            <w:u w:val="single"/>
            <w:rtl w:val="0"/>
          </w:rPr>
          <w:t xml:space="preserve">https://annals-csis.org/proceedings/2012/pliks/271.pdf</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Enhancement of Ant Colony Optimization for QoS-Aware Web Service Selection - IEEE Xplore, acessado em abril 17, 2026, </w:t>
      </w:r>
      <w:hyperlink r:id="rId77">
        <w:r w:rsidDel="00000000" w:rsidR="00000000" w:rsidRPr="00000000">
          <w:rPr>
            <w:rFonts w:ascii="Google Sans" w:cs="Google Sans" w:eastAsia="Google Sans" w:hAnsi="Google Sans"/>
            <w:color w:val="0000ee"/>
            <w:sz w:val="24"/>
            <w:szCs w:val="24"/>
            <w:u w:val="single"/>
            <w:rtl w:val="0"/>
          </w:rPr>
          <w:t xml:space="preserve">https://ieeexplore.ieee.org/iel7/6287639/8600701/08758409.pdf</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Effective Multi-Agent Ant Colony Optimization Algorithm for QoS-Aware Cloud Service Composition - IEEE Xplore, acessado em abril 17, 2026, </w:t>
      </w:r>
      <w:hyperlink r:id="rId78">
        <w:r w:rsidDel="00000000" w:rsidR="00000000" w:rsidRPr="00000000">
          <w:rPr>
            <w:rFonts w:ascii="Google Sans" w:cs="Google Sans" w:eastAsia="Google Sans" w:hAnsi="Google Sans"/>
            <w:color w:val="0000ee"/>
            <w:sz w:val="24"/>
            <w:szCs w:val="24"/>
            <w:u w:val="single"/>
            <w:rtl w:val="0"/>
          </w:rPr>
          <w:t xml:space="preserve">https://ieeexplore.ieee.org/iel7/6287639/9312710/09328423.pdf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Enhanced Ant Colony Optimization Based Algorithm to Solve QoS-Aware Web Service Composition - IEEE Xplore, acessado em abril 17, 2026, </w:t>
      </w:r>
      <w:hyperlink r:id="rId79">
        <w:r w:rsidDel="00000000" w:rsidR="00000000" w:rsidRPr="00000000">
          <w:rPr>
            <w:rFonts w:ascii="Google Sans" w:cs="Google Sans" w:eastAsia="Google Sans" w:hAnsi="Google Sans"/>
            <w:color w:val="0000ee"/>
            <w:sz w:val="24"/>
            <w:szCs w:val="24"/>
            <w:u w:val="single"/>
            <w:rtl w:val="0"/>
          </w:rPr>
          <w:t xml:space="preserve">https://ieeexplore.ieee.org/iel7/6287639/9312710/09361655.pdf</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Analytics in Restaurants: A Game Changer - Livelytics, acessado em abril 17, 2026, </w:t>
      </w:r>
      <w:hyperlink r:id="rId80">
        <w:r w:rsidDel="00000000" w:rsidR="00000000" w:rsidRPr="00000000">
          <w:rPr>
            <w:rFonts w:ascii="Google Sans" w:cs="Google Sans" w:eastAsia="Google Sans" w:hAnsi="Google Sans"/>
            <w:color w:val="0000ee"/>
            <w:sz w:val="24"/>
            <w:szCs w:val="24"/>
            <w:u w:val="single"/>
            <w:rtl w:val="0"/>
          </w:rPr>
          <w:t xml:space="preserve">https://livelytics.ai/predictive-analytics-in-restaurants-a-game-changer/</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Predictive Analytics: Revolutionizing Restaurant Decision-Making, acessado em abril 17, 2026, </w:t>
      </w:r>
      <w:hyperlink r:id="rId81">
        <w:r w:rsidDel="00000000" w:rsidR="00000000" w:rsidRPr="00000000">
          <w:rPr>
            <w:rFonts w:ascii="Google Sans" w:cs="Google Sans" w:eastAsia="Google Sans" w:hAnsi="Google Sans"/>
            <w:color w:val="0000ee"/>
            <w:sz w:val="24"/>
            <w:szCs w:val="24"/>
            <w:u w:val="single"/>
            <w:rtl w:val="0"/>
          </w:rPr>
          <w:t xml:space="preserve">https://loman.ai/blog/ai-driven-predictive-analytics-revolutionizing-restaurant-decision-making</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Demand Forecasting for Food Production Using ... - Semantic Scholar, acessado em abril 17, 2026, </w:t>
      </w:r>
      <w:hyperlink r:id="rId82">
        <w:r w:rsidDel="00000000" w:rsidR="00000000" w:rsidRPr="00000000">
          <w:rPr>
            <w:rFonts w:ascii="Google Sans" w:cs="Google Sans" w:eastAsia="Google Sans" w:hAnsi="Google Sans"/>
            <w:color w:val="0000ee"/>
            <w:sz w:val="24"/>
            <w:szCs w:val="24"/>
            <w:u w:val="single"/>
            <w:rtl w:val="0"/>
          </w:rPr>
          <w:t xml:space="preserve">https://pdfs.semanticscholar.org/c47b/35a83acec5cc522d8291033d11e741b59594.pdf</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an AI-based restaurant menu demand prediction ..., acessado em abril 17, 2026, </w:t>
      </w:r>
      <w:hyperlink r:id="rId83">
        <w:r w:rsidDel="00000000" w:rsidR="00000000" w:rsidRPr="00000000">
          <w:rPr>
            <w:rFonts w:ascii="Google Sans" w:cs="Google Sans" w:eastAsia="Google Sans" w:hAnsi="Google Sans"/>
            <w:color w:val="0000ee"/>
            <w:sz w:val="24"/>
            <w:szCs w:val="24"/>
            <w:u w:val="single"/>
            <w:rtl w:val="0"/>
          </w:rPr>
          <w:t xml:space="preserve">https://pubmed.ncbi.nlm.nih.gov/41113260/</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Population-Level Analysis of Personalized Food Recommendation Using Reinforcement Learning - PMC, acessado em abril 17, 2026,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https://pmc.ncbi.nlm.nih.gov/articles/PMC12608990/</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Delighting Palates with AI: Reinforcement Learning's Triumph in ..., acessado em abril 17, 2026, </w:t>
      </w:r>
      <w:hyperlink r:id="rId85">
        <w:r w:rsidDel="00000000" w:rsidR="00000000" w:rsidRPr="00000000">
          <w:rPr>
            <w:rFonts w:ascii="Google Sans" w:cs="Google Sans" w:eastAsia="Google Sans" w:hAnsi="Google Sans"/>
            <w:color w:val="0000ee"/>
            <w:sz w:val="24"/>
            <w:szCs w:val="24"/>
            <w:u w:val="single"/>
            <w:rtl w:val="0"/>
          </w:rPr>
          <w:t xml:space="preserve">https://www.mdpi.com/2072-6643/16/3/346</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simulation and reinforcement learning to reduce food waste in food retail - Diva-portal.org, acessado em abril 17, 2026, </w:t>
      </w:r>
      <w:hyperlink r:id="rId86">
        <w:r w:rsidDel="00000000" w:rsidR="00000000" w:rsidRPr="00000000">
          <w:rPr>
            <w:rFonts w:ascii="Google Sans" w:cs="Google Sans" w:eastAsia="Google Sans" w:hAnsi="Google Sans"/>
            <w:color w:val="0000ee"/>
            <w:sz w:val="24"/>
            <w:szCs w:val="24"/>
            <w:u w:val="single"/>
            <w:rtl w:val="0"/>
          </w:rPr>
          <w:t xml:space="preserve">https://www.diva-portal.org/smash/get/diva2:1928671/FULLTEXT01.pdf</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better training method for reinforcement learning with human feedback - Amazon Science, acessado em abril 17, 2026, </w:t>
      </w:r>
      <w:hyperlink r:id="rId87">
        <w:r w:rsidDel="00000000" w:rsidR="00000000" w:rsidRPr="00000000">
          <w:rPr>
            <w:rFonts w:ascii="Google Sans" w:cs="Google Sans" w:eastAsia="Google Sans" w:hAnsi="Google Sans"/>
            <w:color w:val="0000ee"/>
            <w:sz w:val="24"/>
            <w:szCs w:val="24"/>
            <w:u w:val="single"/>
            <w:rtl w:val="0"/>
          </w:rPr>
          <w:t xml:space="preserve">https://www.amazon.science/blog/a-better-training-method-for-reinforcement-learning-with-human-feedback</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reinforcement learning for dynamic planning in open-ended conversations, acessado em abril 17, 2026, </w:t>
      </w:r>
      <w:hyperlink r:id="rId88">
        <w:r w:rsidDel="00000000" w:rsidR="00000000" w:rsidRPr="00000000">
          <w:rPr>
            <w:rFonts w:ascii="Google Sans" w:cs="Google Sans" w:eastAsia="Google Sans" w:hAnsi="Google Sans"/>
            <w:color w:val="0000ee"/>
            <w:sz w:val="24"/>
            <w:szCs w:val="24"/>
            <w:u w:val="single"/>
            <w:rtl w:val="0"/>
          </w:rPr>
          <w:t xml:space="preserve">https://research.google/blog/using-reinforcement-learning-for-dynamic-planning-in-open-ended-conversations/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USANDO O MODELO DUBLIN CORE PARA INTEGRAR MÉTODOS EM UM FORESIGHT SUPPORT SYSTEM Gustavo Araujo de - PESC/UFRJ, acessado em abril 17, 2026, </w:t>
      </w:r>
      <w:hyperlink r:id="rId89">
        <w:r w:rsidDel="00000000" w:rsidR="00000000" w:rsidRPr="00000000">
          <w:rPr>
            <w:rFonts w:ascii="Google Sans" w:cs="Google Sans" w:eastAsia="Google Sans" w:hAnsi="Google Sans"/>
            <w:color w:val="0000ee"/>
            <w:sz w:val="24"/>
            <w:szCs w:val="24"/>
            <w:u w:val="single"/>
            <w:rtl w:val="0"/>
          </w:rPr>
          <w:t xml:space="preserve">https://pesc.coppe.ufrj.br/uploadfile/publicacao/3250.pdf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Foodtech Trends and Innovations In Food Industry In 2025 - ICL Group, acessado em abril 17, 2026, </w:t>
      </w:r>
      <w:hyperlink r:id="rId90">
        <w:r w:rsidDel="00000000" w:rsidR="00000000" w:rsidRPr="00000000">
          <w:rPr>
            <w:rFonts w:ascii="Google Sans" w:cs="Google Sans" w:eastAsia="Google Sans" w:hAnsi="Google Sans"/>
            <w:color w:val="0000ee"/>
            <w:sz w:val="24"/>
            <w:szCs w:val="24"/>
            <w:u w:val="single"/>
            <w:rtl w:val="0"/>
          </w:rPr>
          <w:t xml:space="preserve">https://www.icl-group.com/blog/hadar-sutovskys-vision-for-the-future-of-food-tech/</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the future foods: understandings from the past towards SDG-2 - PMC - NIH, acessado em abril 17, 2026, </w:t>
      </w:r>
      <w:hyperlink r:id="rId91">
        <w:r w:rsidDel="00000000" w:rsidR="00000000" w:rsidRPr="00000000">
          <w:rPr>
            <w:rFonts w:ascii="Google Sans" w:cs="Google Sans" w:eastAsia="Google Sans" w:hAnsi="Google Sans"/>
            <w:color w:val="0000ee"/>
            <w:sz w:val="24"/>
            <w:szCs w:val="24"/>
            <w:u w:val="single"/>
            <w:rtl w:val="0"/>
          </w:rPr>
          <w:t xml:space="preserve">https://pmc.ncbi.nlm.nih.gov/articles/PMC12255795/</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informe-sciencepreneurs-2024.pdf - Bogotá - Colsubsidio, acessado em abril 17, 2026, </w:t>
      </w:r>
      <w:hyperlink r:id="rId92">
        <w:r w:rsidDel="00000000" w:rsidR="00000000" w:rsidRPr="00000000">
          <w:rPr>
            <w:rFonts w:ascii="Google Sans" w:cs="Google Sans" w:eastAsia="Google Sans" w:hAnsi="Google Sans"/>
            <w:color w:val="0000ee"/>
            <w:sz w:val="24"/>
            <w:szCs w:val="24"/>
            <w:u w:val="single"/>
            <w:rtl w:val="0"/>
          </w:rPr>
          <w:t xml:space="preserve">https://cms.colsubsidio.com/sites/default/files/Documentos/colsubsidio/2025/informe-sciencepreneurs-2024.pdf</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Food Tech: Cutting-Edge Technologies in the Culinary Landscape, acessado em abril 17, 2026, </w:t>
      </w:r>
      <w:hyperlink r:id="rId93">
        <w:r w:rsidDel="00000000" w:rsidR="00000000" w:rsidRPr="00000000">
          <w:rPr>
            <w:rFonts w:ascii="Google Sans" w:cs="Google Sans" w:eastAsia="Google Sans" w:hAnsi="Google Sans"/>
            <w:color w:val="0000ee"/>
            <w:sz w:val="24"/>
            <w:szCs w:val="24"/>
            <w:u w:val="single"/>
            <w:rtl w:val="0"/>
          </w:rPr>
          <w:t xml:space="preserve">https://online.jwu.edu/blog/the-future-of-food-tech-in-the-culinary-landscape/</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Innovation Trends Shaping the Food Tech Industry in 2026 - GreyB, acessado em abril 17, 2026, </w:t>
      </w:r>
      <w:hyperlink r:id="rId94">
        <w:r w:rsidDel="00000000" w:rsidR="00000000" w:rsidRPr="00000000">
          <w:rPr>
            <w:rFonts w:ascii="Google Sans" w:cs="Google Sans" w:eastAsia="Google Sans" w:hAnsi="Google Sans"/>
            <w:color w:val="0000ee"/>
            <w:sz w:val="24"/>
            <w:szCs w:val="24"/>
            <w:u w:val="single"/>
            <w:rtl w:val="0"/>
          </w:rPr>
          <w:t xml:space="preserve">https://greyb.com/blog/food-tech-trends/</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Novas Tecnologias - Restauração Coletiva | PDF | Identificação de radiofrequência - Scribd, acessado em abril 17, 2026, </w:t>
      </w:r>
      <w:hyperlink r:id="rId95">
        <w:r w:rsidDel="00000000" w:rsidR="00000000" w:rsidRPr="00000000">
          <w:rPr>
            <w:rFonts w:ascii="Google Sans" w:cs="Google Sans" w:eastAsia="Google Sans" w:hAnsi="Google Sans"/>
            <w:color w:val="0000ee"/>
            <w:sz w:val="24"/>
            <w:szCs w:val="24"/>
            <w:u w:val="single"/>
            <w:rtl w:val="0"/>
          </w:rPr>
          <w:t xml:space="preserve">https://pt.scribd.com/document/501752413/Novas-Tecnologias-Restauracao-Coletiva</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abril 17, 2026, </w:t>
      </w:r>
      <w:hyperlink r:id="rId96">
        <w:r w:rsidDel="00000000" w:rsidR="00000000" w:rsidRPr="00000000">
          <w:rPr>
            <w:rFonts w:ascii="Google Sans" w:cs="Google Sans" w:eastAsia="Google Sans" w:hAnsi="Google Sans"/>
            <w:color w:val="0000ee"/>
            <w:sz w:val="24"/>
            <w:szCs w:val="24"/>
            <w:u w:val="single"/>
            <w:rtl w:val="0"/>
          </w:rPr>
          <w:t xml:space="preserve">https://repodatos.atdt.gob.mx/api_update/ciad/cursos_impartidos/11_cursos_2024.csv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4" Type="http://schemas.openxmlformats.org/officeDocument/2006/relationships/hyperlink" Target="https://pmc.ncbi.nlm.nih.gov/articles/PMC12608990/" TargetMode="External"/><Relationship Id="rId83" Type="http://schemas.openxmlformats.org/officeDocument/2006/relationships/hyperlink" Target="https://pubmed.ncbi.nlm.nih.gov/41113260/" TargetMode="External"/><Relationship Id="rId42" Type="http://schemas.openxmlformats.org/officeDocument/2006/relationships/image" Target="media/image28.png"/><Relationship Id="rId86" Type="http://schemas.openxmlformats.org/officeDocument/2006/relationships/hyperlink" Target="https://www.diva-portal.org/smash/get/diva2:1928671/FULLTEXT01.pdf" TargetMode="External"/><Relationship Id="rId41" Type="http://schemas.openxmlformats.org/officeDocument/2006/relationships/image" Target="media/image14.png"/><Relationship Id="rId85" Type="http://schemas.openxmlformats.org/officeDocument/2006/relationships/hyperlink" Target="https://www.mdpi.com/2072-6643/16/3/346" TargetMode="External"/><Relationship Id="rId44" Type="http://schemas.openxmlformats.org/officeDocument/2006/relationships/image" Target="media/image6.png"/><Relationship Id="rId88" Type="http://schemas.openxmlformats.org/officeDocument/2006/relationships/hyperlink" Target="https://research.google/blog/using-reinforcement-learning-for-dynamic-planning-in-open-ended-conversations/" TargetMode="External"/><Relationship Id="rId43" Type="http://schemas.openxmlformats.org/officeDocument/2006/relationships/image" Target="media/image37.png"/><Relationship Id="rId87" Type="http://schemas.openxmlformats.org/officeDocument/2006/relationships/hyperlink" Target="https://www.amazon.science/blog/a-better-training-method-for-reinforcement-learning-with-human-feedback" TargetMode="External"/><Relationship Id="rId46" Type="http://schemas.openxmlformats.org/officeDocument/2006/relationships/image" Target="media/image1.png"/><Relationship Id="rId45" Type="http://schemas.openxmlformats.org/officeDocument/2006/relationships/image" Target="media/image13.png"/><Relationship Id="rId89" Type="http://schemas.openxmlformats.org/officeDocument/2006/relationships/hyperlink" Target="https://pesc.coppe.ufrj.br/uploadfile/publicacao/3250.pdf" TargetMode="External"/><Relationship Id="rId80" Type="http://schemas.openxmlformats.org/officeDocument/2006/relationships/hyperlink" Target="https://livelytics.ai/predictive-analytics-in-restaurants-a-game-changer/" TargetMode="External"/><Relationship Id="rId82" Type="http://schemas.openxmlformats.org/officeDocument/2006/relationships/hyperlink" Target="https://pdfs.semanticscholar.org/c47b/35a83acec5cc522d8291033d11e741b59594.pdf" TargetMode="External"/><Relationship Id="rId81" Type="http://schemas.openxmlformats.org/officeDocument/2006/relationships/hyperlink" Target="https://loman.ai/blog/ai-driven-predictive-analytics-revolutionizing-restaurant-decision-ma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2.png"/><Relationship Id="rId47" Type="http://schemas.openxmlformats.org/officeDocument/2006/relationships/image" Target="media/image9.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9.png"/><Relationship Id="rId8" Type="http://schemas.openxmlformats.org/officeDocument/2006/relationships/image" Target="media/image30.png"/><Relationship Id="rId73" Type="http://schemas.openxmlformats.org/officeDocument/2006/relationships/hyperlink" Target="https://en.wikipedia.org/wiki/Ant_colony_optimization_algorithms" TargetMode="External"/><Relationship Id="rId72" Type="http://schemas.openxmlformats.org/officeDocument/2006/relationships/hyperlink" Target="https://par.nsf.gov/servlets/purl/10634622" TargetMode="External"/><Relationship Id="rId31" Type="http://schemas.openxmlformats.org/officeDocument/2006/relationships/image" Target="media/image38.png"/><Relationship Id="rId75" Type="http://schemas.openxmlformats.org/officeDocument/2006/relationships/hyperlink" Target="https://www.mdpi.com/1424-8220/25/5/1326" TargetMode="External"/><Relationship Id="rId30" Type="http://schemas.openxmlformats.org/officeDocument/2006/relationships/image" Target="media/image23.png"/><Relationship Id="rId74" Type="http://schemas.openxmlformats.org/officeDocument/2006/relationships/hyperlink" Target="https://pmc.ncbi.nlm.nih.gov/articles/PMC12787954/" TargetMode="External"/><Relationship Id="rId33" Type="http://schemas.openxmlformats.org/officeDocument/2006/relationships/image" Target="media/image24.png"/><Relationship Id="rId77" Type="http://schemas.openxmlformats.org/officeDocument/2006/relationships/hyperlink" Target="https://ieeexplore.ieee.org/iel7/6287639/8600701/08758409.pdf" TargetMode="External"/><Relationship Id="rId32" Type="http://schemas.openxmlformats.org/officeDocument/2006/relationships/image" Target="media/image25.png"/><Relationship Id="rId76" Type="http://schemas.openxmlformats.org/officeDocument/2006/relationships/hyperlink" Target="https://annals-csis.org/proceedings/2012/pliks/271.pdf" TargetMode="External"/><Relationship Id="rId35" Type="http://schemas.openxmlformats.org/officeDocument/2006/relationships/image" Target="media/image5.png"/><Relationship Id="rId79" Type="http://schemas.openxmlformats.org/officeDocument/2006/relationships/hyperlink" Target="https://ieeexplore.ieee.org/iel7/6287639/9312710/09361655.pdf" TargetMode="External"/><Relationship Id="rId34" Type="http://schemas.openxmlformats.org/officeDocument/2006/relationships/image" Target="media/image32.png"/><Relationship Id="rId78" Type="http://schemas.openxmlformats.org/officeDocument/2006/relationships/hyperlink" Target="https://ieeexplore.ieee.org/iel7/6287639/9312710/09328423.pdf" TargetMode="External"/><Relationship Id="rId71" Type="http://schemas.openxmlformats.org/officeDocument/2006/relationships/hyperlink" Target="https://pubmed.ncbi.nlm.nih.gov/39339715/" TargetMode="External"/><Relationship Id="rId70" Type="http://schemas.openxmlformats.org/officeDocument/2006/relationships/hyperlink" Target="https://pmc.ncbi.nlm.nih.gov/articles/PMC11434635/" TargetMode="External"/><Relationship Id="rId37" Type="http://schemas.openxmlformats.org/officeDocument/2006/relationships/image" Target="media/image12.png"/><Relationship Id="rId36" Type="http://schemas.openxmlformats.org/officeDocument/2006/relationships/image" Target="media/image3.png"/><Relationship Id="rId39" Type="http://schemas.openxmlformats.org/officeDocument/2006/relationships/image" Target="media/image7.png"/><Relationship Id="rId38" Type="http://schemas.openxmlformats.org/officeDocument/2006/relationships/image" Target="media/image18.png"/><Relationship Id="rId62" Type="http://schemas.openxmlformats.org/officeDocument/2006/relationships/hyperlink" Target="https://www.tandfonline.com/doi/full/10.1080/0951192X.2023.2228263" TargetMode="External"/><Relationship Id="rId61" Type="http://schemas.openxmlformats.org/officeDocument/2006/relationships/hyperlink" Target="https://www.researchgate.net/publication/316562531_A_review_on_automated_menu_planning_approaches" TargetMode="External"/><Relationship Id="rId20" Type="http://schemas.openxmlformats.org/officeDocument/2006/relationships/image" Target="media/image43.png"/><Relationship Id="rId64" Type="http://schemas.openxmlformats.org/officeDocument/2006/relationships/hyperlink" Target="https://mcdm.ue.katowice.pl/files/papers/mcdm18(13)_4.pdf" TargetMode="External"/><Relationship Id="rId63" Type="http://schemas.openxmlformats.org/officeDocument/2006/relationships/hyperlink" Target="https://thescipub.com/pdf/jcssp.2016.582.596.pdf" TargetMode="External"/><Relationship Id="rId22" Type="http://schemas.openxmlformats.org/officeDocument/2006/relationships/image" Target="media/image44.png"/><Relationship Id="rId66" Type="http://schemas.openxmlformats.org/officeDocument/2006/relationships/hyperlink" Target="https://www.dcs.gla.ac.uk/~pat/jchoco/dietProblem/papers/menu2009.pdf" TargetMode="External"/><Relationship Id="rId21" Type="http://schemas.openxmlformats.org/officeDocument/2006/relationships/image" Target="media/image42.png"/><Relationship Id="rId65" Type="http://schemas.openxmlformats.org/officeDocument/2006/relationships/hyperlink" Target="https://optimization-online.org/wp-content/uploads/2025/04/Robust_flexible_menu_planning.pdf" TargetMode="External"/><Relationship Id="rId24" Type="http://schemas.openxmlformats.org/officeDocument/2006/relationships/image" Target="media/image35.png"/><Relationship Id="rId68" Type="http://schemas.openxmlformats.org/officeDocument/2006/relationships/hyperlink" Target="https://ieeexplore.ieee.org/iel7/6287639/8600701/08765311.pdf" TargetMode="External"/><Relationship Id="rId23" Type="http://schemas.openxmlformats.org/officeDocument/2006/relationships/image" Target="media/image40.png"/><Relationship Id="rId67" Type="http://schemas.openxmlformats.org/officeDocument/2006/relationships/hyperlink" Target="https://www.researchgate.net/publication/366969671_Food_Menu_Recommendations_Based_on_Recommended_Dietary_Allowances_using_Genetic_Algorithm" TargetMode="External"/><Relationship Id="rId60" Type="http://schemas.openxmlformats.org/officeDocument/2006/relationships/hyperlink" Target="https://etd.uum.edu.my/2825/2/1.Siti_Noor_Asyikin_Mohd_Razali.pdf" TargetMode="External"/><Relationship Id="rId26" Type="http://schemas.openxmlformats.org/officeDocument/2006/relationships/image" Target="media/image4.png"/><Relationship Id="rId25" Type="http://schemas.openxmlformats.org/officeDocument/2006/relationships/image" Target="media/image41.png"/><Relationship Id="rId69" Type="http://schemas.openxmlformats.org/officeDocument/2006/relationships/hyperlink" Target="https://www.mdpi.com/2076-3417/8/12/2621" TargetMode="External"/><Relationship Id="rId28" Type="http://schemas.openxmlformats.org/officeDocument/2006/relationships/image" Target="media/image15.png"/><Relationship Id="rId27" Type="http://schemas.openxmlformats.org/officeDocument/2006/relationships/image" Target="media/image16.png"/><Relationship Id="rId29" Type="http://schemas.openxmlformats.org/officeDocument/2006/relationships/image" Target="media/image20.png"/><Relationship Id="rId51" Type="http://schemas.openxmlformats.org/officeDocument/2006/relationships/hyperlink" Target="https://www.impactanalytics.ai/blog/how-ai-powered-demand-forecasting-helps-win-the-fight-against-food-waste" TargetMode="External"/><Relationship Id="rId95" Type="http://schemas.openxmlformats.org/officeDocument/2006/relationships/hyperlink" Target="https://pt.scribd.com/document/501752413/Novas-Tecnologias-Restauracao-Coletiva" TargetMode="External"/><Relationship Id="rId50" Type="http://schemas.openxmlformats.org/officeDocument/2006/relationships/image" Target="media/image11.png"/><Relationship Id="rId94" Type="http://schemas.openxmlformats.org/officeDocument/2006/relationships/hyperlink" Target="https://greyb.com/blog/food-tech-trends/" TargetMode="External"/><Relationship Id="rId53" Type="http://schemas.openxmlformats.org/officeDocument/2006/relationships/hyperlink" Target="https://www.researchgate.net/publication/345981382_A_Memetic_Decomposition-Based_Multi-Objective_Evolutionary_Algorithm_Applied_to_a_Constrained_Menu_Planning_Problem" TargetMode="External"/><Relationship Id="rId52" Type="http://schemas.openxmlformats.org/officeDocument/2006/relationships/hyperlink" Target="https://web-static.stern.nyu.edu/om/faculty/pinedo/scheduling/shakhlevich/handout05.pdf" TargetMode="External"/><Relationship Id="rId96" Type="http://schemas.openxmlformats.org/officeDocument/2006/relationships/hyperlink" Target="https://repodatos.atdt.gob.mx/api_update/ciad/cursos_impartidos/11_cursos_2024.csv" TargetMode="External"/><Relationship Id="rId11" Type="http://schemas.openxmlformats.org/officeDocument/2006/relationships/image" Target="media/image22.png"/><Relationship Id="rId55" Type="http://schemas.openxmlformats.org/officeDocument/2006/relationships/hyperlink" Target="https://www.researchgate.net/publication/249598478_NP-complete_Problems_and_Proof_Methodology" TargetMode="External"/><Relationship Id="rId10" Type="http://schemas.openxmlformats.org/officeDocument/2006/relationships/image" Target="media/image27.png"/><Relationship Id="rId54" Type="http://schemas.openxmlformats.org/officeDocument/2006/relationships/hyperlink" Target="https://www.researchgate.net/publication/224646297_Dietary_Menu_Planning_Using_an_Evolutionary_Method" TargetMode="External"/><Relationship Id="rId13" Type="http://schemas.openxmlformats.org/officeDocument/2006/relationships/image" Target="media/image26.png"/><Relationship Id="rId57" Type="http://schemas.openxmlformats.org/officeDocument/2006/relationships/hyperlink" Target="https://pubsonline.informs.org/doi/10.1287/opre.26.1.22" TargetMode="External"/><Relationship Id="rId12" Type="http://schemas.openxmlformats.org/officeDocument/2006/relationships/image" Target="media/image31.png"/><Relationship Id="rId56" Type="http://schemas.openxmlformats.org/officeDocument/2006/relationships/hyperlink" Target="https://www.biorxiv.org/content/10.1101/618108v1.full-text" TargetMode="External"/><Relationship Id="rId91" Type="http://schemas.openxmlformats.org/officeDocument/2006/relationships/hyperlink" Target="https://pmc.ncbi.nlm.nih.gov/articles/PMC12255795/" TargetMode="External"/><Relationship Id="rId90" Type="http://schemas.openxmlformats.org/officeDocument/2006/relationships/hyperlink" Target="https://www.icl-group.com/blog/hadar-sutovskys-vision-for-the-future-of-food-tech/" TargetMode="External"/><Relationship Id="rId93" Type="http://schemas.openxmlformats.org/officeDocument/2006/relationships/hyperlink" Target="https://online.jwu.edu/blog/the-future-of-food-tech-in-the-culinary-landscape/" TargetMode="External"/><Relationship Id="rId92" Type="http://schemas.openxmlformats.org/officeDocument/2006/relationships/hyperlink" Target="https://cms.colsubsidio.com/sites/default/files/Documentos/colsubsidio/2025/informe-sciencepreneurs-2024.pdf" TargetMode="External"/><Relationship Id="rId15" Type="http://schemas.openxmlformats.org/officeDocument/2006/relationships/image" Target="media/image29.png"/><Relationship Id="rId59" Type="http://schemas.openxmlformats.org/officeDocument/2006/relationships/hyperlink" Target="https://users.aalto.fi/~rintanj1/ICAPSsummerschool2016.pdf" TargetMode="External"/><Relationship Id="rId14" Type="http://schemas.openxmlformats.org/officeDocument/2006/relationships/image" Target="media/image21.png"/><Relationship Id="rId58" Type="http://schemas.openxmlformats.org/officeDocument/2006/relationships/hyperlink" Target="https://www.researchgate.net/publication/224253585_A_Proposal_of_a_Menu_Planning_Algorithm_for_Two-phase_Cooking_by_Busy_Persons" TargetMode="External"/><Relationship Id="rId17" Type="http://schemas.openxmlformats.org/officeDocument/2006/relationships/image" Target="media/image45.png"/><Relationship Id="rId16" Type="http://schemas.openxmlformats.org/officeDocument/2006/relationships/image" Target="media/image36.png"/><Relationship Id="rId19" Type="http://schemas.openxmlformats.org/officeDocument/2006/relationships/image" Target="media/image33.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