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de Compliance e Segurança Higiênico-Sanitária para Unidades de Alimentação e Nutrição (UAN)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Exigências Legais (RDC 216 e 275)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do módulo de "Compliance e Qualidade" para um Software as a Service (SaaS) voltado a Unidades de Alimentação e Nutrição (UANs) demanda a transposição exata do arcabouço normativo brasileiro para a lógica algorítmica e arquitetura de dados do sistema. Atuando sob a ótica de um Auditor Líder ISO 22000 e Especialista em Vigilância Sanitária, determino que o motor de regras da aplicação não deve operar como um mero repositório de formulários, mas como um mecanismo ativo de bloqueio, alerta e mitigação de riscos higiênico-sanitários. A espinha dorsal desta parametrização fundamenta-se compulsoriamente na Resolução de Diretoria Colegiada (RDC) nº 216, de 15 de setembro de 2004, e na RDC nº 275, de 21 de outubro de 2002, ambas editadas pela Agência Nacional de Vigilância Sanitária (ANVISA). O sistema deve garantir que qualquer inobservância aos requisitos configure o bloqueio imediato do fluxo produtivo, salvaguardando a operação de infrações de natureza sanitária previstas na Lei nº 6.437/1977 (BRASIL, 2004).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Resolução RDC nº 216/2004: Boas Práticas para Serviços de Alimentação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RDC nº 216/2004 estabelece o Regulamento Técnico de Boas Práticas para Serviços de Alimentação. É imperativo que o SaaS incorpore as diretrizes desta resolução para UANs de todas as escalas, desde refeitórios institucionais até o fornecimento de refeições transportadas. A norma, que revogou a antiga Resolução CNNPA nº 16 de 1978, atua preventivamente no controle de Doenças Transmitidas por Alimentos (DTAs) (BRASIL, 2004).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sistema deve segmentar suas trilhas de auditoria interna nos seguintes domínios críticos: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Edificação, Instalações e Condições Ambientais</w:t>
      </w:r>
      <w:r w:rsidDel="00000000" w:rsidR="00000000" w:rsidRPr="00000000">
        <w:rPr>
          <w:rFonts w:ascii="Google Sans" w:cs="Google Sans" w:eastAsia="Google Sans" w:hAnsi="Google Sans"/>
          <w:color w:val="1f1f1f"/>
          <w:rtl w:val="0"/>
        </w:rPr>
        <w:t xml:space="preserve"> A legislação exige rigor absoluto quanto à infraestrutura física para evitar a contaminação cruzada ambiental. O fluxo de produção deve ser desenhado obrigatoriamente de forma linear, unidirecional e sem cruzamentos entre áreas sujas (recebimento e pré-preparo de não higienizados) e áreas limpas (cocção e porcionamento). O SaaS deve dispor de um checklist de inspeção predial automatizado que questione periodicamente o estado de conservação de tetos, paredes e pisos, que devem ser revestidos com materiais lisos, impermeáveis, laváveis e mantidos isentos de fungos ou rachaduras. É mandatória a verificação do uso de telas milimétricas nas aberturas externas (janelas) e dispositivos de fechamento automático nas portas (molas), prevenindo o acesso de vetores (BRASIL, 2004).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sistema deve emitir Ordens de Manutenção Preventiva (OMP) imediatas caso o auditor aponte não conformidades na infraestrutura, travando o índice de qualidade da unidade até a resolução do chamado.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Controle e Potabilidade da Água</w:t>
      </w:r>
      <w:r w:rsidDel="00000000" w:rsidR="00000000" w:rsidRPr="00000000">
        <w:rPr>
          <w:rFonts w:ascii="Google Sans" w:cs="Google Sans" w:eastAsia="Google Sans" w:hAnsi="Google Sans"/>
          <w:color w:val="1f1f1f"/>
          <w:rtl w:val="0"/>
        </w:rPr>
        <w:t xml:space="preserve"> A norma determina o uso irrestrito de água potável em todas as operações de manipulação, higienização e preparo. É vedada a operação contínua sem a devida comprovação da qualidade hídrica. O módulo de compliance deve exigir o registro do teor de cloro residual livre e a certificação da higienização dos reservatórios de água, que deve ocorrer impreterivelmente a cada seis meses (BRASIL, 2004).</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Programe o software para gerar um "Alerta de Vencimento de Certificado" com sessenta, trinta e dez dias de antecedência. Caso o documento expire sem substituição, o painel do gestor deve sinalizar uma Não Conformidade Crítica, visto que a água não potável atua como veículo universal de patógenos entéricos severos.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Higiene, Saúde e Capacitação dos Manipuladores</w:t>
      </w:r>
      <w:r w:rsidDel="00000000" w:rsidR="00000000" w:rsidRPr="00000000">
        <w:rPr>
          <w:rFonts w:ascii="Google Sans" w:cs="Google Sans" w:eastAsia="Google Sans" w:hAnsi="Google Sans"/>
          <w:color w:val="1f1f1f"/>
          <w:rtl w:val="0"/>
        </w:rPr>
        <w:t xml:space="preserve"> As exigências recaem severamente sobre o fator humano. Conforme o item 4.12 da RDC 216, o responsável técnico ou funcionário designado deve ser comprovadamente capacitado em contaminantes alimentares, DTAs, manipulação higiênica e Boas Práticas (BRASIL, 2004).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SaaS deve contemplar um painel de Gestão de Recursos Humanos Sanitários, onde os exames laboratoriais (coproculturas, parasitológicos e Atestados de Saúde Ocupacional - ASO) sejam inseridos e rastreados. A plataforma deve bloquear escalas de trabalho de colaboradores com ASO vencido ou que reportem sintomas de patologias gastrointestinais, secreções ou lesões cutâneas purulentas.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Gestão de Temperaturas e Controles de Processo</w:t>
      </w:r>
      <w:r w:rsidDel="00000000" w:rsidR="00000000" w:rsidRPr="00000000">
        <w:rPr>
          <w:rFonts w:ascii="Google Sans" w:cs="Google Sans" w:eastAsia="Google Sans" w:hAnsi="Google Sans"/>
          <w:color w:val="1f1f1f"/>
          <w:rtl w:val="0"/>
        </w:rPr>
        <w:t xml:space="preserve"> A inativação térmica e o controle da proliferação microbiana dependem do rigor no binômio tempo-temperatura. O sistema deve digitalizar os diários de controle. O resfriamento de alimentos preparados deve assegurar que a temperatura decaia de 60°C para 10°C em até duas horas. Já a manutenção a quente de pratos prontos exige temperaturas superiores a 60°C, limitando a exposição ao máximo de seis horas (BRASIL, 2004).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Desenvolva o banco de dados de forma a exigir a inserção dessas aferições. Se a temperatura aferida de um produto sob manutenção a quente registrar um valor sub-crítico, como 55°C, o algoritmo deve forçar a abertura de uma tela de "Ação Corretiva" exigindo o reaquecimento imediato a 70°C ou o descarte do lote, registrando a operação em logs não editáveis.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Resolução RDC nº 275/2002: Lista de Verificação e Avaliação Industrial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UANs de grande escala, indústrias de refeições coletivas, panificação industrial e fornecedores de </w:t>
      </w:r>
      <w:r w:rsidDel="00000000" w:rsidR="00000000" w:rsidRPr="00000000">
        <w:rPr>
          <w:rFonts w:ascii="Google Sans" w:cs="Google Sans" w:eastAsia="Google Sans" w:hAnsi="Google Sans"/>
          <w:i w:val="1"/>
          <w:iCs w:val="1"/>
          <w:color w:val="1f1f1f"/>
          <w:rtl w:val="0"/>
        </w:rPr>
        <w:t xml:space="preserve">catering</w:t>
      </w:r>
      <w:r w:rsidDel="00000000" w:rsidR="00000000" w:rsidRPr="00000000">
        <w:rPr>
          <w:rFonts w:ascii="Google Sans" w:cs="Google Sans" w:eastAsia="Google Sans" w:hAnsi="Google Sans"/>
          <w:color w:val="1f1f1f"/>
          <w:rtl w:val="0"/>
        </w:rPr>
        <w:t xml:space="preserve">, a RDC nº 275/2002 incide com peso mandatório. Esta resolução aprova o Regulamento Técnico de Procedimentos Operacionais Padronizados (POPs) e a Lista de Verificação das Boas Práticas de Fabricação para estabelecimentos produtores ou industrializadores de alimentos (BRASIL, 2002).</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diferencial imperativo desta norma para o desenvolvimento do SaaS reside no seu Anexo II, que fornece o instrumento analítico oficial de inspeção sanitária no Brasil. A aplicação de auditoria </w:t>
      </w:r>
      <w:r w:rsidDel="00000000" w:rsidR="00000000" w:rsidRPr="00000000">
        <w:rPr>
          <w:rFonts w:ascii="Google Sans" w:cs="Google Sans" w:eastAsia="Google Sans" w:hAnsi="Google Sans"/>
          <w:i w:val="1"/>
          <w:iCs w:val="1"/>
          <w:color w:val="1f1f1f"/>
          <w:rtl w:val="0"/>
        </w:rPr>
        <w:t xml:space="preserve">mobile</w:t>
      </w:r>
      <w:r w:rsidDel="00000000" w:rsidR="00000000" w:rsidRPr="00000000">
        <w:rPr>
          <w:rFonts w:ascii="Google Sans" w:cs="Google Sans" w:eastAsia="Google Sans" w:hAnsi="Google Sans"/>
          <w:color w:val="1f1f1f"/>
          <w:rtl w:val="0"/>
        </w:rPr>
        <w:t xml:space="preserve"> do SaaS deve replicar a taxonomia exata desta Lista de Verificação.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Integração do Anexo II no Sistema</w:t>
      </w:r>
      <w:r w:rsidDel="00000000" w:rsidR="00000000" w:rsidRPr="00000000">
        <w:rPr>
          <w:rFonts w:ascii="Google Sans" w:cs="Google Sans" w:eastAsia="Google Sans" w:hAnsi="Google Sans"/>
          <w:color w:val="1f1f1f"/>
          <w:rtl w:val="0"/>
        </w:rPr>
        <w:t xml:space="preserve"> A avaliação de cada requisito deve permitir apenas as respostas categóricas: "SIM/Cumpre", "NÃO/Não Cumpre" e "NA/Não Aplicável" (BRASIL, 2002).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módulo de relatórios deve calcular o percentual de atendimento aos requisitos e classificar a UAN nos Grupos de Risco Sanitário estabelecidos pela vigilância. O checklist embarcado no sistema deve varrer criticamente os seguintes blocos descritos na norma: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Edificação e Instalações:</w:t>
      </w:r>
      <w:r w:rsidDel="00000000" w:rsidR="00000000" w:rsidRPr="00000000">
        <w:rPr>
          <w:rFonts w:ascii="Google Sans" w:cs="Google Sans" w:eastAsia="Google Sans" w:hAnsi="Google Sans"/>
          <w:color w:val="1f1f1f"/>
          <w:rtl w:val="0"/>
        </w:rPr>
        <w:t xml:space="preserve"> Vias de acesso interno pavimentadas e sem empoçamentos, desenho ordenado de fluxo sem cruzamentos, isolamento de áreas de descarte de resíduos, e barreiras sanitárias completas.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Equipamentos e Móveis:</w:t>
      </w:r>
      <w:r w:rsidDel="00000000" w:rsidR="00000000" w:rsidRPr="00000000">
        <w:rPr>
          <w:rFonts w:ascii="Google Sans" w:cs="Google Sans" w:eastAsia="Google Sans" w:hAnsi="Google Sans"/>
          <w:color w:val="1f1f1f"/>
          <w:rtl w:val="0"/>
        </w:rPr>
        <w:t xml:space="preserve"> Desenho sanitário dos equipamentos, superfícies de contato lisas (preferencialmente aço inoxidável), ausência de ranhuras que permitam a formação de biofilmes bacterianos. O item 2.1.8 exige comprovação da calibração de instrumentos de medição (BRASIL, 2002).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SaaS deve possuir um cadastro de ativos contendo o número de série de cada termômetro tipo espeto, anexando digitalmente seus laudos da Rede Brasileira de Calibração (RBC).</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Matérias-primas e Produto Final:</w:t>
      </w:r>
      <w:r w:rsidDel="00000000" w:rsidR="00000000" w:rsidRPr="00000000">
        <w:rPr>
          <w:rFonts w:ascii="Google Sans" w:cs="Google Sans" w:eastAsia="Google Sans" w:hAnsi="Google Sans"/>
          <w:color w:val="1f1f1f"/>
          <w:rtl w:val="0"/>
        </w:rPr>
        <w:t xml:space="preserve"> Acondicionamento hermético, identificação clara de lotes e datas de validade (controle First In, First Out - FIFO ou First Expired, First Out - FEFO).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Comparativo Paramétrico para o Banco de Dados (RDC 216 vs. RDC 275)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Requisito Legal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RDC 216/2004 (Foco em Serviço)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RDC 275/2002 (Foco Industrial)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Regra de Negócio para o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POPs Exigidos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de 4 POPs básicos focados na operação do serviço (higiene, água, vetores, saúde).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Exigência de 8 POPs abrangentes, incluindo controle de rastreabilidade e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sistema deve cobrar o upload e o controle de revisão dos 8 POPs para cozinhas industriais cadastradas no CNAE correspondente.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de Inspeção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Estabelece diretrizes gerais de Boas Práticas, sem checklist padronizado compulsório no anexo.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Anexo II define uma Lista de Verificação genérica para todo o território nacional.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software deve utilizar o Anexo II da RDC 275 como o esqueleto do módulo de Auditoria Interna.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Calibração de Instrumentos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 aferições, mas com menor rigor documental industrial.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Exigência explícita (item 2.1.8) de registros de calibração laboratorial de equipamentos de medição.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SaaS deve emitir alertas automáticos para calibração anual de termômetros e balanças, bloqueando seu uso sistêmico se expirados.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a arquitetura de conformidade deve prever a interoperabilidade com novos regulamentos microbiológicos, notadamente a RDC nº 724/2022 e a IN nº 161/2022. O sistema deve possuir interfaces para lançamento de laudos de análises laboratoriais (contagens de estafilococos coagulase positiva, clostrídios sulfito redutores, </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Caso uma inserção de dados revele uma amostragem que exceda o limite máximo permissível (</w:t>
      </w:r>
      <w:r w:rsidDel="00000000" w:rsidR="00000000" w:rsidRPr="00000000">
        <w:rPr>
          <w:rFonts w:ascii="Google Sans" w:cs="Google Sans" w:eastAsia="Google Sans" w:hAnsi="Google Sans"/>
          <w:color w:val="1f1f1f"/>
        </w:rPr>
        <w:drawing>
          <wp:inline distB="19050" distT="19050" distL="19050" distR="19050">
            <wp:extent cx="198933" cy="2374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933" cy="237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o número aceitável de tolerância (</w:t>
      </w:r>
      <w:r w:rsidDel="00000000" w:rsidR="00000000" w:rsidRPr="00000000">
        <w:rPr>
          <w:rFonts w:ascii="Google Sans" w:cs="Google Sans" w:eastAsia="Google Sans" w:hAnsi="Google Sans"/>
          <w:color w:val="1f1f1f"/>
        </w:rPr>
        <w:drawing>
          <wp:inline distB="19050" distT="19050" distL="19050" distR="19050">
            <wp:extent cx="79871" cy="24626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9871" cy="246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planos de três classes, a inteligência do sistema deve acionar automaticamente os fluxos do POP de Recolhimento/Recall (BRASIL, 2022).</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Estrutura do MBP e POPs Obrigatórios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aparato documental é a base jurídica e operacional de qualquer UAN. Sem a prova escrita e rastreável das operações, o autocontrole não tem validade legal. O Manual de Boas Práticas (MBP) e os Procedimentos Operacionais Padronizados (POPs) constituem a estrutura documental principal exigida pela legislação. O SaaS não deve fornecer documentos estáticos ou genéricos; deve atuar como um Gerenciador Eletrônico de Documentos (GED) que auxilia o Responsável Técnico (RT) a customizar, assinar digitalmente e disseminar as instruções de trabalho.</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Mínima Obrigatória do Manual de Boas Práticas (MBP)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MBP é o documento basilar que reflete a identidade higiênico-sanitária da UAN. Ele deve retratar fielmente a realidade estrutural e operacional do estabelecimento, evidenciando o cumprimento dos requisitos legais sob uma ótica gerencial (BRASIL, 2004).</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É terminantemente proibida a adoção de formulários padronizados inflexíveis que não condizem com o fluxo </w:t>
      </w:r>
      <w:r w:rsidDel="00000000" w:rsidR="00000000" w:rsidRPr="00000000">
        <w:rPr>
          <w:rFonts w:ascii="Google Sans" w:cs="Google Sans" w:eastAsia="Google Sans" w:hAnsi="Google Sans"/>
          <w:i w:val="1"/>
          <w:iCs w:val="1"/>
          <w:color w:val="1f1f1f"/>
          <w:rtl w:val="0"/>
        </w:rPr>
        <w:t xml:space="preserve">in loco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software deve estruturar a elaboração do MBP em seções interdependentes, exigindo preenchimento mandatório das seguintes áreas: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Identificação da Empresa e Responsabilidade Técnica:</w:t>
      </w:r>
      <w:r w:rsidDel="00000000" w:rsidR="00000000" w:rsidRPr="00000000">
        <w:rPr>
          <w:rFonts w:ascii="Google Sans" w:cs="Google Sans" w:eastAsia="Google Sans" w:hAnsi="Google Sans"/>
          <w:color w:val="1f1f1f"/>
          <w:rtl w:val="0"/>
        </w:rPr>
        <w:t xml:space="preserve"> Razão Social, CNPJ, Alvará Sanitário vigente, Classificação Nacional de Atividades Econômicas (CNAE), capacidade nominal de produção (número de refeições/dia), tipologia de distribuição (refeitório local, transporte térmico, congelamento) e qualificação profissional do RT.</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Infraestrutura e Edificação:</w:t>
      </w:r>
      <w:r w:rsidDel="00000000" w:rsidR="00000000" w:rsidRPr="00000000">
        <w:rPr>
          <w:rFonts w:ascii="Google Sans" w:cs="Google Sans" w:eastAsia="Google Sans" w:hAnsi="Google Sans"/>
          <w:color w:val="1f1f1f"/>
          <w:rtl w:val="0"/>
        </w:rPr>
        <w:t xml:space="preserve"> Descrição pormenorizada da planta física. O sistema deve exigir dados sobre materiais construtivos (tipos de cerâmica, tintas epóxi em áreas úmidas), sistemas de ventilação, exaustão mecânica sobre áreas de cocção (coifas com filtros laváveis), tipos de luminárias (blindadas contra estilhaços) e layout do fluxo unidirecional das operações.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Manejo do Abastecimento de Água:</w:t>
      </w:r>
      <w:r w:rsidDel="00000000" w:rsidR="00000000" w:rsidRPr="00000000">
        <w:rPr>
          <w:rFonts w:ascii="Google Sans" w:cs="Google Sans" w:eastAsia="Google Sans" w:hAnsi="Google Sans"/>
          <w:color w:val="1f1f1f"/>
          <w:rtl w:val="0"/>
        </w:rPr>
        <w:t xml:space="preserve"> O manual deve descrever se a água é oriunda da rede pública ou de fonte alternativa (poço artesiano). Em caso de fonte alternativa, é compulsório descrever o sistema de cloração automática e as rotinas de laudos laboratoriais de potabilidade.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Saúde e Higiene dos Colaboradores:</w:t>
      </w:r>
      <w:r w:rsidDel="00000000" w:rsidR="00000000" w:rsidRPr="00000000">
        <w:rPr>
          <w:rFonts w:ascii="Google Sans" w:cs="Google Sans" w:eastAsia="Google Sans" w:hAnsi="Google Sans"/>
          <w:color w:val="1f1f1f"/>
          <w:rtl w:val="0"/>
        </w:rPr>
        <w:t xml:space="preserve"> Regras estritas de conduta pessoal. Frequência de troca de uniformes (diária e em cores claras), proibição do uso de adornos e perfumaria, diretrizes para higienização das mãos e fluxos de comunicação de doenças.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Produção de Alimentos (Operacionalização do Processo):</w:t>
      </w:r>
      <w:r w:rsidDel="00000000" w:rsidR="00000000" w:rsidRPr="00000000">
        <w:rPr>
          <w:rFonts w:ascii="Google Sans" w:cs="Google Sans" w:eastAsia="Google Sans" w:hAnsi="Google Sans"/>
          <w:color w:val="1f1f1f"/>
          <w:rtl w:val="0"/>
        </w:rPr>
        <w:t xml:space="preserve"> Este é o cerne do MBP. O RT deve detalhar textualmente os procedimentos de recepção, limites térmicos de aceitação, métodos de pré-preparo (incluindo técnicas de descongelamento sob refrigeração ou micro-ondas, sendo vedado o descongelamento à temperatura ambiente), higienização de hortifrutigranjeiros, cocção, manutenção (fria e quente) e destinação final (BRASIL, 2004).</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Gerenciamento de Resíduos:</w:t>
      </w:r>
      <w:r w:rsidDel="00000000" w:rsidR="00000000" w:rsidRPr="00000000">
        <w:rPr>
          <w:rFonts w:ascii="Google Sans" w:cs="Google Sans" w:eastAsia="Google Sans" w:hAnsi="Google Sans"/>
          <w:color w:val="1f1f1f"/>
          <w:rtl w:val="0"/>
        </w:rPr>
        <w:t xml:space="preserve"> Estratégia de segregação e disposição final dos resíduos sólidos e efluentes (descarte ambientalmente correto de óleo de fritura).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Procedimentos Operacionais Padronizados (POPs) Obrigatórios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o MBP descreve </w:t>
      </w:r>
      <w:r w:rsidDel="00000000" w:rsidR="00000000" w:rsidRPr="00000000">
        <w:rPr>
          <w:rFonts w:ascii="Google Sans" w:cs="Google Sans" w:eastAsia="Google Sans" w:hAnsi="Google Sans"/>
          <w:i w:val="1"/>
          <w:iCs w:val="1"/>
          <w:color w:val="1f1f1f"/>
          <w:rtl w:val="0"/>
        </w:rPr>
        <w:t xml:space="preserve">o que</w:t>
      </w:r>
      <w:r w:rsidDel="00000000" w:rsidR="00000000" w:rsidRPr="00000000">
        <w:rPr>
          <w:rFonts w:ascii="Google Sans" w:cs="Google Sans" w:eastAsia="Google Sans" w:hAnsi="Google Sans"/>
          <w:color w:val="1f1f1f"/>
          <w:rtl w:val="0"/>
        </w:rPr>
        <w:t xml:space="preserve"> a empresa faz para garantir a segurança, os POPs detalham rigorosamente </w:t>
      </w:r>
      <w:r w:rsidDel="00000000" w:rsidR="00000000" w:rsidRPr="00000000">
        <w:rPr>
          <w:rFonts w:ascii="Google Sans" w:cs="Google Sans" w:eastAsia="Google Sans" w:hAnsi="Google Sans"/>
          <w:i w:val="1"/>
          <w:iCs w:val="1"/>
          <w:color w:val="1f1f1f"/>
          <w:rtl w:val="0"/>
        </w:rPr>
        <w:t xml:space="preserve">como</w:t>
      </w:r>
      <w:r w:rsidDel="00000000" w:rsidR="00000000" w:rsidRPr="00000000">
        <w:rPr>
          <w:rFonts w:ascii="Google Sans" w:cs="Google Sans" w:eastAsia="Google Sans" w:hAnsi="Google Sans"/>
          <w:color w:val="1f1f1f"/>
          <w:rtl w:val="0"/>
        </w:rPr>
        <w:t xml:space="preserve"> a tarefa é executada no nível do chão de fábrica. Baseando-se na convergência das resoluções vigentes para o setor industrial e de serviços de grande porte, o SaaS deve parametrizar compulsoriamente os 8 (oito) POPs preconizados pela RDC nº 275/2002 (BRASIL, 2002).</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arquitetura de cada POP no sistema deve, incontestavelmente, apresentar: Nome da Operação, Objetivo, Setor de Aplicação, Responsável pela Execução, EPIs necessários, Frequência, Passo a Passo Procedimental, Monitoramento, Ações Corretivas e Planilhas de Registro associadas (BRASIL, 2002).</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Identificação legal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Título do POP Exigido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Exigências Operacionais no Sistema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Higienização das instalações, equipamentos, móveis e utensílios.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software deve exigir o cadastramento dos princípios ativos saneantes (ex: quaternário de amônio, biguanida, hipoclorito), sua concentração em partes por milhão (ppm) ou diluição, e o tempo de contato estipulado pelo fabricante. Deve gerar escalas de limpeza diária, semanal e mensal, exigindo assinatura digital do executor e verificação do supervisor.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Controle da potabilidade da água.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Integração de planilhas de pH e cloro residual livre (0,5 a 2,0 ppm). Alertas de programação semestral para lavagem e sanitização dos reservatórios, exigindo upload do certificado emitido pela empresa executora.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Higiene e saúde dos manipuladores.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Descrever a técnica de fricção antisséptica das mãos. O sistema deve alertar a periodicidade dos exames do Programa de Controle Médico de Saúde Ocupacional (PCMSO) e o cronograma do programa de capacitação teórica (carga horária e conteúdo programático retido em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Manejo dos resíduos.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Mapeamento de coletores acionados por pedal e ausência de contato manual. Cadastro de empresas terceirizadas de coleta e horários de retirada de lixo, para que não coincidam com o recebimento de matérias-primas.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Manutenção preventiva e calibração de equipamentos.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Cronogramas de desobstrução de calhas, troca de filtros de coifa e laudos de aferição termométrica. Bloqueio lógico de equipamentos cuja calibração ou manutenção corretiva esteja vencida no sistema de gestão de ativos.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Controle integrado de vetores e pragas urbanas.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Diferenciação rigorosa entre controle preventivo (estrutural) e controle químico corretivo. O SaaS não deve aceitar execuções químicas por funcionários da UAN, exigindo a inserção do comprovante de execução do serviço por empresa habilitada com licenciamento ambiental.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Seleção das matérias-primas, ingredientes e embalagens.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de homologação de fornecedores. Checklist de doca de recebimento exigindo o registro do número da nota fiscal, temperatura das carnes (ex: pescados resfriados entre 0°C e 2°C) e integridade da embalagem. Dados inseridos alimentarão a rastreabilidade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 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Programa de recolhimento de alimentos.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Sistematização de recall. O software deve permitir uma pesquisa reversa no banco de dados, correlacionando o Lote X do prato servido com a Nota Fiscal Y da matéria-prima Z, permitindo o isolamento imediato de lotes suspeitos de contaminação em menos de duas horas.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interface do sistema deve garantir que estas versões eletrônicas sejam aprovadas, datadas e assinadas pelo responsável técnico através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criptográficos, garantindo que o chão de fábrica acesse através de terminais locais apenas a versão vigente dos POPs, mitigando o risco de uso de instruções obsoletas.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Implementação Prática do APPCC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Transcendendo os requisitos básicos de Boas Práticas, o estado da arte na garantia de segurança higiênico-sanitária é a formulação estruturada do Sistema de Análise de Perigos e Pontos Críticos de Controle (APPCC, ou HACCP na sigla em inglês). O SaaS deve ser construído para transformar as determinações teóricas do APPCC em ferramentas pragmáticas de controle de linha, atuando de maneira preventiva sobre perigos iminentes e não sobre os resíduos já avariados (BRASIL, 1993; SENAI, 2001).</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aplicação de perigos deve ser compreendida sob a base doutrinária da microbiologia de alimentos. Conforme Forsythe (2013), as matrizes alimentares suportam a sobrevivência e esporulação de micro-organismos em condições termodinâmicas específicas (FORSYTHE, 2013).</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plataforma deve parametrizar perigos biológicos com base nestes patógenos.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Bactérias Gram-negativas entéricas: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Salmonella spp.</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Campylobacter jejuni</w:t>
      </w:r>
      <w:r w:rsidDel="00000000" w:rsidR="00000000" w:rsidRPr="00000000">
        <w:rPr>
          <w:rFonts w:ascii="Google Sans" w:cs="Google Sans" w:eastAsia="Google Sans" w:hAnsi="Google Sans"/>
          <w:color w:val="1f1f1f"/>
          <w:rtl w:val="0"/>
        </w:rPr>
        <w:t xml:space="preserve"> (principais riscos em carne de aves e ovos),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patogênica (cepas produtoras de toxina Shiga em carne moída bovina).</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Bactérias Psicrotróficas: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1f1f1f"/>
          <w:rtl w:val="0"/>
        </w:rPr>
        <w:t xml:space="preserve">, cuja gravidade é crítica pois suporta multiplicação contínua mesmo sob refrigeração comercial (2°C a 8°C), representando perigo massivo em áreas de pré-preparo de saladas frias ou produtos fatiados não termicamente processados.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Microrganismos Formadores de Esporos e Toxinas: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Clostridium perfringens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Clostridium botulinum</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Bacillus cereus</w:t>
      </w:r>
      <w:r w:rsidDel="00000000" w:rsidR="00000000" w:rsidRPr="00000000">
        <w:rPr>
          <w:rFonts w:ascii="Google Sans" w:cs="Google Sans" w:eastAsia="Google Sans" w:hAnsi="Google Sans"/>
          <w:color w:val="1f1f1f"/>
          <w:rtl w:val="0"/>
        </w:rPr>
        <w:t xml:space="preserve">. O risco aqui não é apenas a forma vegetativa, que pode ser destruída na cocção, mas a germinação de esporos altamente termorresistentes caso o alimento sofra abusos de temperatura no resfriamento lento. </w:t>
      </w: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produz enterotoxinas termoestáveis a partir da manipulação falha por portadores assintomáticos humanos, cuja inativação posterior por calor é impossível. O sistema deve prever essas dinâmicas de resistência (FORSYTHE, 2013).</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dos biológicos, o módulo do APPCC no SaaS deve prever perigos químicos (resíduos de praguicidas, amônia de limpeza, micotoxinas e migração de metais pesados) e perigos físicos (fragmentos de ossos, metais das esteiras, paletes de madeira, plásticos duros).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Aplicação Sistêmica dos 7 Princípios do APPCC na UAN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lógica interna da programação do módulo de qualidade deve conduzir o gestor da UAN imperativamente através dos sete princípios globais descritos pelo </w:t>
      </w:r>
      <w:r w:rsidDel="00000000" w:rsidR="00000000" w:rsidRPr="00000000">
        <w:rPr>
          <w:rFonts w:ascii="Google Sans" w:cs="Google Sans" w:eastAsia="Google Sans" w:hAnsi="Google Sans"/>
          <w:i w:val="1"/>
          <w:iCs w:val="1"/>
          <w:color w:val="1f1f1f"/>
          <w:rtl w:val="0"/>
        </w:rPr>
        <w:t xml:space="preserve">Codex Alimentarius</w:t>
      </w:r>
      <w:r w:rsidDel="00000000" w:rsidR="00000000" w:rsidRPr="00000000">
        <w:rPr>
          <w:rFonts w:ascii="Google Sans" w:cs="Google Sans" w:eastAsia="Google Sans" w:hAnsi="Google Sans"/>
          <w:color w:val="1f1f1f"/>
          <w:rtl w:val="0"/>
        </w:rPr>
        <w:t xml:space="preserve"> (SENAI, 2001).</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1: Realização da Análise de Perigos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SaaS deve oferecer uma ferramenta visual de fluxograma (Diagrama de Blocos). Para cada fase – Recepção, Armazenamento Seco, Câmara Fria, Preparo Prévio, Cocção, Resfriamento Rápido, Porcionamento, Manutenção Quente/Fria e Expedição – o gestor listará os perigos potenciais. O sistema deve calcular automaticamente a matriz de risco baseada no input humano: cruzando a </w:t>
      </w:r>
      <w:r w:rsidDel="00000000" w:rsidR="00000000" w:rsidRPr="00000000">
        <w:rPr>
          <w:rFonts w:ascii="Google Sans" w:cs="Google Sans" w:eastAsia="Google Sans" w:hAnsi="Google Sans"/>
          <w:b w:val="1"/>
          <w:bCs w:val="1"/>
          <w:color w:val="1f1f1f"/>
          <w:rtl w:val="0"/>
        </w:rPr>
        <w:t xml:space="preserve">Probabilidade</w:t>
      </w:r>
      <w:r w:rsidDel="00000000" w:rsidR="00000000" w:rsidRPr="00000000">
        <w:rPr>
          <w:rFonts w:ascii="Google Sans" w:cs="Google Sans" w:eastAsia="Google Sans" w:hAnsi="Google Sans"/>
          <w:color w:val="1f1f1f"/>
          <w:rtl w:val="0"/>
        </w:rPr>
        <w:t xml:space="preserve"> de ocorrência (Alta, Média, Baixa) com a </w:t>
      </w:r>
      <w:r w:rsidDel="00000000" w:rsidR="00000000" w:rsidRPr="00000000">
        <w:rPr>
          <w:rFonts w:ascii="Google Sans" w:cs="Google Sans" w:eastAsia="Google Sans" w:hAnsi="Google Sans"/>
          <w:b w:val="1"/>
          <w:bCs w:val="1"/>
          <w:color w:val="1f1f1f"/>
          <w:rtl w:val="0"/>
        </w:rPr>
        <w:t xml:space="preserve">Severidade</w:t>
      </w:r>
      <w:r w:rsidDel="00000000" w:rsidR="00000000" w:rsidRPr="00000000">
        <w:rPr>
          <w:rFonts w:ascii="Google Sans" w:cs="Google Sans" w:eastAsia="Google Sans" w:hAnsi="Google Sans"/>
          <w:color w:val="1f1f1f"/>
          <w:rtl w:val="0"/>
        </w:rPr>
        <w:t xml:space="preserve"> das consequências ao consumidor (Leve, Grave, Fatal). Perigos com matrizes significativas exigirão obrigatoriamente a descrição de Medidas Preventivas para avançar à etapa seguinte.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2: Determinação dos Pontos Críticos de Controle (PCCs)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PCC é um passo onde o controle pode ser aplicado e é essencial para prevenir ou eliminar um perigo à segurança do alimento. O sistema de software deve possuir um algoritmo embutido que aplique a Árvore de Decisão do </w:t>
      </w:r>
      <w:r w:rsidDel="00000000" w:rsidR="00000000" w:rsidRPr="00000000">
        <w:rPr>
          <w:rFonts w:ascii="Google Sans" w:cs="Google Sans" w:eastAsia="Google Sans" w:hAnsi="Google Sans"/>
          <w:i w:val="1"/>
          <w:iCs w:val="1"/>
          <w:color w:val="1f1f1f"/>
          <w:rtl w:val="0"/>
        </w:rPr>
        <w:t xml:space="preserve">Codex</w:t>
      </w:r>
      <w:r w:rsidDel="00000000" w:rsidR="00000000" w:rsidRPr="00000000">
        <w:rPr>
          <w:rFonts w:ascii="Google Sans" w:cs="Google Sans" w:eastAsia="Google Sans" w:hAnsi="Google Sans"/>
          <w:color w:val="1f1f1f"/>
          <w:rtl w:val="0"/>
        </w:rPr>
        <w:t xml:space="preserve"> através de perguntas booleanas. </w:t>
      </w:r>
      <w:r w:rsidDel="00000000" w:rsidR="00000000" w:rsidRPr="00000000">
        <w:rPr>
          <w:rFonts w:ascii="Google Sans" w:cs="Google Sans" w:eastAsia="Google Sans" w:hAnsi="Google Sans"/>
          <w:i w:val="1"/>
          <w:iCs w:val="1"/>
          <w:color w:val="1f1f1f"/>
          <w:rtl w:val="0"/>
        </w:rPr>
        <w:t xml:space="preserve">Exemplo prático de interface:</w:t>
      </w:r>
      <w:r w:rsidDel="00000000" w:rsidR="00000000" w:rsidRPr="00000000">
        <w:rPr>
          <w:rFonts w:ascii="Google Sans" w:cs="Google Sans" w:eastAsia="Google Sans" w:hAnsi="Google Sans"/>
          <w:color w:val="1f1f1f"/>
          <w:rtl w:val="0"/>
        </w:rPr>
        <w:t xml:space="preserve"> "Etapa: Cocção de Carne Suína. Pergunta 1: Existem medidas preventivas? (Sim). Pergunta 2: Esta etapa foi planejada para eliminar ou reduzir o perigo (ex: </w:t>
      </w:r>
      <w:r w:rsidDel="00000000" w:rsidR="00000000" w:rsidRPr="00000000">
        <w:rPr>
          <w:rFonts w:ascii="Google Sans" w:cs="Google Sans" w:eastAsia="Google Sans" w:hAnsi="Google Sans"/>
          <w:i w:val="1"/>
          <w:iCs w:val="1"/>
          <w:color w:val="1f1f1f"/>
          <w:rtl w:val="0"/>
        </w:rPr>
        <w:t xml:space="preserve">Trichinella spiralis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a níveis aceitáveis? (Sim)." O software imediatamente designa o ícone de alerta vermelho "PCC" sobre esta etapa do fluxograma, separando-a das demais que são geridas apenas por POPs (Pontos de Controle - PC) (BRASIL, 1993).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3: Estabelecimento dos Limites Críticos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Não existem "estimativas" no APPCC. O sistema não pode aceitar entradas subjetivas (como "alimento quente" ou "bem cozido"). O módulo deve obrigar a digitação de parâmetros físicos, químicos ou sensoriais mensuráveis que separam a aceitabilidade da inaceitabilidade (BRASIL, 1993).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 o PCC é a Fritura por Imersão para eliminação bacteriana, o Limite Crítico inserido pelo RT no software deve ser: "Temperatura interna no centro geométrico do empanado </w:t>
      </w:r>
      <w:r w:rsidDel="00000000" w:rsidR="00000000" w:rsidRPr="00000000">
        <w:rPr>
          <w:rFonts w:ascii="Google Sans" w:cs="Google Sans" w:eastAsia="Google Sans" w:hAnsi="Google Sans"/>
          <w:color w:val="1f1f1f"/>
        </w:rPr>
        <w:drawing>
          <wp:inline distB="19050" distT="19050" distL="19050" distR="19050">
            <wp:extent cx="586085" cy="21426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6085" cy="214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2 minutos, monitorada via termômetro sonda." Em balcões térmicos de distribuição, o limite exigido legalmente e parametrizado na ferramenta deve ser rígido: temperatura mínima de exposição de 60°C por, no máximo, 6 horas de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intraoperacional (BRASIL, 2004).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4: Sistema de Monitoramento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software deve agendar as obrigações operacionais para o chão de fábrica. Tablets industriais ou coletores de dados devem emitir </w:t>
      </w:r>
      <w:r w:rsidDel="00000000" w:rsidR="00000000" w:rsidRPr="00000000">
        <w:rPr>
          <w:rFonts w:ascii="Google Sans" w:cs="Google Sans" w:eastAsia="Google Sans" w:hAnsi="Google Sans"/>
          <w:i w:val="1"/>
          <w:iCs w:val="1"/>
          <w:color w:val="1f1f1f"/>
          <w:rtl w:val="0"/>
        </w:rPr>
        <w:t xml:space="preserve">push notifications</w:t>
      </w:r>
      <w:r w:rsidDel="00000000" w:rsidR="00000000" w:rsidRPr="00000000">
        <w:rPr>
          <w:rFonts w:ascii="Google Sans" w:cs="Google Sans" w:eastAsia="Google Sans" w:hAnsi="Google Sans"/>
          <w:color w:val="1f1f1f"/>
          <w:rtl w:val="0"/>
        </w:rPr>
        <w:t xml:space="preserve"> ou alarmes para os monitores da qualidade (SENAI, 2001).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registro deve contemplar a resposta da pergunta: "O que, como, frequência e quem". No SaaS, isso se traduz em: "O Quê: Aferir a temperatura do meio da panela. Como: Usar o termômetro de número T-04. Frequência: A cada lote de 50 kg. Quem: Cozinheiro Líder." A interface não permite prosseguir com as ordens de serviço do dia até que o Cozinheiro Líder realize o login e insira o valor (ex: 74°C) no banco de dados.</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5: Ações Corretivas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princípio mais crítico para a automação por software. Se o monitoramento revelar um desvio do limite crítico, o SaaS não deve apenas armazenar a não conformidade; deve bloquear a continuidade operacional (SENAI, 2001).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 a carne sob refrigeração registrar 12°C na aferição da câmara fria (violação do limite </w:t>
      </w:r>
      <w:r w:rsidDel="00000000" w:rsidR="00000000" w:rsidRPr="00000000">
        <w:rPr>
          <w:rFonts w:ascii="Google Sans" w:cs="Google Sans" w:eastAsia="Google Sans" w:hAnsi="Google Sans"/>
          <w:color w:val="1f1f1f"/>
        </w:rPr>
        <w:drawing>
          <wp:inline distB="19050" distT="19050" distL="19050" distR="19050">
            <wp:extent cx="493812" cy="21525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3812" cy="215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tela de monitoramento deve travar e abrir compulsoriamente a aba "Registro de Ação Corretiva" exigindo ações dispostas em duas vertentes obrigatórias: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Ação sobre o Produto:</w:t>
      </w:r>
      <w:r w:rsidDel="00000000" w:rsidR="00000000" w:rsidRPr="00000000">
        <w:rPr>
          <w:rFonts w:ascii="Google Sans" w:cs="Google Sans" w:eastAsia="Google Sans" w:hAnsi="Google Sans"/>
          <w:color w:val="1f1f1f"/>
          <w:rtl w:val="0"/>
        </w:rPr>
        <w:t xml:space="preserve"> O que foi feito com os alimentos expostos ao abuso de temperatura? (Opção de </w:t>
      </w:r>
      <w:r w:rsidDel="00000000" w:rsidR="00000000" w:rsidRPr="00000000">
        <w:rPr>
          <w:rFonts w:ascii="Google Sans" w:cs="Google Sans" w:eastAsia="Google Sans" w:hAnsi="Google Sans"/>
          <w:i w:val="1"/>
          <w:iCs w:val="1"/>
          <w:color w:val="1f1f1f"/>
          <w:rtl w:val="0"/>
        </w:rPr>
        <w:t xml:space="preserve">dropdown</w:t>
      </w:r>
      <w:r w:rsidDel="00000000" w:rsidR="00000000" w:rsidRPr="00000000">
        <w:rPr>
          <w:rFonts w:ascii="Google Sans" w:cs="Google Sans" w:eastAsia="Google Sans" w:hAnsi="Google Sans"/>
          <w:color w:val="1f1f1f"/>
          <w:rtl w:val="0"/>
        </w:rPr>
        <w:t xml:space="preserve">: Remanejamento imediato para resfriamento rápido, Condenação para descarte, Destinação a reprocessamento térmico agressivo se o tempo foi inferior a 2 horas).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Ação sobre o Processo:</w:t>
      </w:r>
      <w:r w:rsidDel="00000000" w:rsidR="00000000" w:rsidRPr="00000000">
        <w:rPr>
          <w:rFonts w:ascii="Google Sans" w:cs="Google Sans" w:eastAsia="Google Sans" w:hAnsi="Google Sans"/>
          <w:color w:val="1f1f1f"/>
          <w:rtl w:val="0"/>
        </w:rPr>
        <w:t xml:space="preserve"> O que foi feito para restaurar o controle? (Abertura de OS urgente para manutenção do motor da câmara fria e fechamento das portas de isolamento).</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6: Procedimentos de Verificação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auditoria sobre a auditoria. O software precisa de rotinas metódicas para comprovar que o plano APPCC funciona e as leituras não estão sendo fraudadas. O gerente de qualidade agenda tarefas no sistema, como: coletas quinzenais de laudos de laboratório para detecção de listeria em superfícies ambientais e coliformes em alimentos cozidos, aferindo se as contagens batem com as determinações da IN 161/2022 (BRASIL, 2022).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SaaS deve prever também a revisão das planilhas: o sistema notifica o Responsável Técnico semanalmente para revisar digitalmente e atestar que todas as ações corretivas tomadas nos turnos da madrugada foram adequadas (SENAI, 2001).</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Princípio 7: Manutenção de Documentação e Registros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eficácia legal e jurídica de um SaaS de Compliance reside em sua capacidade probatória. A plataforma deve funcionar como um banco de dados relacional imutável, fornecendo rastreabilidade de ponta a ponta (SENAI, 2001).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Os registros do fluxograma, da análise de perigos, limites críticos, monitoramentos em tempo real, registros de tempo, anotações e ações corretivas devem ser gravados em logs </w:t>
      </w:r>
      <w:r w:rsidDel="00000000" w:rsidR="00000000" w:rsidRPr="00000000">
        <w:rPr>
          <w:rFonts w:ascii="Google Sans" w:cs="Google Sans" w:eastAsia="Google Sans" w:hAnsi="Google Sans"/>
          <w:i w:val="1"/>
          <w:iCs w:val="1"/>
          <w:color w:val="1f1f1f"/>
          <w:rtl w:val="0"/>
        </w:rPr>
        <w:t xml:space="preserve">timestamped</w:t>
      </w:r>
      <w:r w:rsidDel="00000000" w:rsidR="00000000" w:rsidRPr="00000000">
        <w:rPr>
          <w:rFonts w:ascii="Google Sans" w:cs="Google Sans" w:eastAsia="Google Sans" w:hAnsi="Google Sans"/>
          <w:color w:val="1f1f1f"/>
          <w:rtl w:val="0"/>
        </w:rPr>
        <w:t xml:space="preserve"> (com data e hora invioláveis). Se uma inspeção sanitária exigir comprovações, o sistema deve exportar em segundos um dossiê completo atestando que, em um dia específico, os filés de peixe recebidos do fornecedor X às 07h da manhã a 1°C, foram assados às 11h atingindo 72°C no centro geométrico, servidos às 12h sob temperatura de 65°C no </w:t>
      </w:r>
      <w:r w:rsidDel="00000000" w:rsidR="00000000" w:rsidRPr="00000000">
        <w:rPr>
          <w:rFonts w:ascii="Google Sans" w:cs="Google Sans" w:eastAsia="Google Sans" w:hAnsi="Google Sans"/>
          <w:i w:val="1"/>
          <w:iCs w:val="1"/>
          <w:color w:val="1f1f1f"/>
          <w:rtl w:val="0"/>
        </w:rPr>
        <w:t xml:space="preserve">rechaud</w:t>
      </w:r>
      <w:r w:rsidDel="00000000" w:rsidR="00000000" w:rsidRPr="00000000">
        <w:rPr>
          <w:rFonts w:ascii="Google Sans" w:cs="Google Sans" w:eastAsia="Google Sans" w:hAnsi="Google Sans"/>
          <w:color w:val="1f1f1f"/>
          <w:rtl w:val="0"/>
        </w:rPr>
        <w:t xml:space="preserve">, consumidos sem intercorrências e com registros visados eletronicamente pelo RT.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integração algorítmica deste cabedal técnico e legal transformará o módulo de conformidade do SaaS não apenas em um depositório passivo de check-lists burocráticos, mas em uma ferramenta assertiva, técnica e balizada no </w:t>
      </w:r>
      <w:r w:rsidDel="00000000" w:rsidR="00000000" w:rsidRPr="00000000">
        <w:rPr>
          <w:rFonts w:ascii="Google Sans" w:cs="Google Sans" w:eastAsia="Google Sans" w:hAnsi="Google Sans"/>
          <w:i w:val="1"/>
          <w:iCs w:val="1"/>
          <w:color w:val="1f1f1f"/>
          <w:rtl w:val="0"/>
        </w:rPr>
        <w:t xml:space="preserve">design-in</w:t>
      </w:r>
      <w:r w:rsidDel="00000000" w:rsidR="00000000" w:rsidRPr="00000000">
        <w:rPr>
          <w:rFonts w:ascii="Google Sans" w:cs="Google Sans" w:eastAsia="Google Sans" w:hAnsi="Google Sans"/>
          <w:color w:val="1f1f1f"/>
          <w:rtl w:val="0"/>
        </w:rPr>
        <w:t xml:space="preserve"> de segurança da UAN, erradicando a manifestação dos riscos sanitários de maneira contínua, imperativa e imutável.</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Referências Bibliográficas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Ministério da Agricultura, do Abastecimento e da Reforma Agrária. Portaria nº 1.428, de 26 de novembro de 1993. Aprova o Regulamento Técnico para Inspeção Sanitária de Alimentos, as Diretrizes para o Estabelecimento de Boas Práticas de Produção e de Prestação de Serviços na Área de Alimentos e o Regulamento Técnico para o Estabelecimento de Padrão de Identidade e Qualidade (PIQ's) para Serviços e Produtos na Área de Alimentos. </w:t>
      </w:r>
      <w:r w:rsidDel="00000000" w:rsidR="00000000" w:rsidRPr="00000000">
        <w:rPr>
          <w:rFonts w:ascii="Google Sans" w:cs="Google Sans" w:eastAsia="Google Sans" w:hAnsi="Google Sans"/>
          <w:b w:val="1"/>
          <w:bCs w:val="1"/>
          <w:color w:val="1f1f1f"/>
          <w:rtl w:val="0"/>
        </w:rPr>
        <w:t xml:space="preserve">Diário Oficial da União</w:t>
      </w:r>
      <w:r w:rsidDel="00000000" w:rsidR="00000000" w:rsidRPr="00000000">
        <w:rPr>
          <w:rFonts w:ascii="Google Sans" w:cs="Google Sans" w:eastAsia="Google Sans" w:hAnsi="Google Sans"/>
          <w:color w:val="1f1f1f"/>
          <w:rtl w:val="0"/>
        </w:rPr>
        <w:t xml:space="preserve">, Brasília, DF, 2 dez. 1993. Disponível em: </w:t>
      </w:r>
      <w:hyperlink r:id="rId10">
        <w:r w:rsidDel="00000000" w:rsidR="00000000" w:rsidRPr="00000000">
          <w:rPr>
            <w:rFonts w:ascii="Google Sans" w:cs="Google Sans" w:eastAsia="Google Sans" w:hAnsi="Google Sans"/>
            <w:color w:val="0b57d0"/>
            <w:u w:val="single"/>
            <w:rtl w:val="0"/>
          </w:rPr>
          <w:t xml:space="preserve">https://bvsms.saude.gov.br/bvs/saudelegis/ms/1993/prt1428_26_11_1993.html</w:t>
        </w:r>
      </w:hyperlink>
      <w:r w:rsidDel="00000000" w:rsidR="00000000" w:rsidRPr="00000000">
        <w:rPr>
          <w:rFonts w:ascii="Google Sans" w:cs="Google Sans" w:eastAsia="Google Sans" w:hAnsi="Google Sans"/>
          <w:color w:val="1f1f1f"/>
          <w:rtl w:val="0"/>
        </w:rPr>
        <w:t xml:space="preserve">. Acesso em: 17 abr. 2026.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Agência Nacional de Vigilância Sanitária. Resolução RDC nº 275, de 21 de outubro de 2002. Dispõe sobre o Regulamento Técnico de Procedimentos Operacionais Padronizados aplicados aos Estabelecimentos Produtores/Industrializadores de Alimentos e a Lista de Verificação das Boas Práticas de Fabricação em Estabelecimentos Produtores/Industrializadores de Alimentos. </w:t>
      </w:r>
      <w:r w:rsidDel="00000000" w:rsidR="00000000" w:rsidRPr="00000000">
        <w:rPr>
          <w:rFonts w:ascii="Google Sans" w:cs="Google Sans" w:eastAsia="Google Sans" w:hAnsi="Google Sans"/>
          <w:b w:val="1"/>
          <w:bCs w:val="1"/>
          <w:color w:val="1f1f1f"/>
          <w:rtl w:val="0"/>
        </w:rPr>
        <w:t xml:space="preserve">Diário Oficial da União</w:t>
      </w:r>
      <w:r w:rsidDel="00000000" w:rsidR="00000000" w:rsidRPr="00000000">
        <w:rPr>
          <w:rFonts w:ascii="Google Sans" w:cs="Google Sans" w:eastAsia="Google Sans" w:hAnsi="Google Sans"/>
          <w:color w:val="1f1f1f"/>
          <w:rtl w:val="0"/>
        </w:rPr>
        <w:t xml:space="preserve">, Brasília, DF, 23 out. 2002. Disponível em: </w:t>
      </w:r>
      <w:hyperlink r:id="rId11">
        <w:r w:rsidDel="00000000" w:rsidR="00000000" w:rsidRPr="00000000">
          <w:rPr>
            <w:rFonts w:ascii="Google Sans" w:cs="Google Sans" w:eastAsia="Google Sans" w:hAnsi="Google Sans"/>
            <w:color w:val="0b57d0"/>
            <w:u w:val="single"/>
            <w:rtl w:val="0"/>
          </w:rPr>
          <w:t xml:space="preserve">https://bvsms.saude.gov.br/bvs/saudelegis/anvisa/2002/res0275_21_10_2002_rep.html</w:t>
        </w:r>
      </w:hyperlink>
      <w:r w:rsidDel="00000000" w:rsidR="00000000" w:rsidRPr="00000000">
        <w:rPr>
          <w:rFonts w:ascii="Google Sans" w:cs="Google Sans" w:eastAsia="Google Sans" w:hAnsi="Google Sans"/>
          <w:color w:val="1f1f1f"/>
          <w:rtl w:val="0"/>
        </w:rPr>
        <w:t xml:space="preserve">. Acesso em: 17 abr. 2026.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Agência Nacional de Vigilância Sanitária. Resolução RDC nº 216, de 15 de setembro de 2004. Dispõe sobre Regulamento Técnico de Boas Práticas para Serviços de Alimentação. </w:t>
      </w:r>
      <w:r w:rsidDel="00000000" w:rsidR="00000000" w:rsidRPr="00000000">
        <w:rPr>
          <w:rFonts w:ascii="Google Sans" w:cs="Google Sans" w:eastAsia="Google Sans" w:hAnsi="Google Sans"/>
          <w:b w:val="1"/>
          <w:bCs w:val="1"/>
          <w:color w:val="1f1f1f"/>
          <w:rtl w:val="0"/>
        </w:rPr>
        <w:t xml:space="preserve">Diário Oficial da União</w:t>
      </w:r>
      <w:r w:rsidDel="00000000" w:rsidR="00000000" w:rsidRPr="00000000">
        <w:rPr>
          <w:rFonts w:ascii="Google Sans" w:cs="Google Sans" w:eastAsia="Google Sans" w:hAnsi="Google Sans"/>
          <w:color w:val="1f1f1f"/>
          <w:rtl w:val="0"/>
        </w:rPr>
        <w:t xml:space="preserve">, Brasília, DF, 16 set. 2004. Disponível em: </w:t>
      </w:r>
      <w:hyperlink r:id="rId12">
        <w:r w:rsidDel="00000000" w:rsidR="00000000" w:rsidRPr="00000000">
          <w:rPr>
            <w:rFonts w:ascii="Google Sans" w:cs="Google Sans" w:eastAsia="Google Sans" w:hAnsi="Google Sans"/>
            <w:color w:val="0b57d0"/>
            <w:u w:val="single"/>
            <w:rtl w:val="0"/>
          </w:rPr>
          <w:t xml:space="preserve">https://bvsms.saude.gov.br/bvs/saudelegis/anvisa/2004/res0216_15_09_2004.html</w:t>
        </w:r>
      </w:hyperlink>
      <w:r w:rsidDel="00000000" w:rsidR="00000000" w:rsidRPr="00000000">
        <w:rPr>
          <w:rFonts w:ascii="Google Sans" w:cs="Google Sans" w:eastAsia="Google Sans" w:hAnsi="Google Sans"/>
          <w:color w:val="1f1f1f"/>
          <w:rtl w:val="0"/>
        </w:rPr>
        <w:t xml:space="preserve">. Acesso em: 17 abr. 2026.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Agência Nacional de Vigilância Sanitária. Resolução RDC nº 724, de 1º de julho de 2022. Dispõe sobre os padrões microbiológicos dos alimentos e sua aplicação. </w:t>
      </w:r>
      <w:r w:rsidDel="00000000" w:rsidR="00000000" w:rsidRPr="00000000">
        <w:rPr>
          <w:rFonts w:ascii="Google Sans" w:cs="Google Sans" w:eastAsia="Google Sans" w:hAnsi="Google Sans"/>
          <w:b w:val="1"/>
          <w:bCs w:val="1"/>
          <w:color w:val="1f1f1f"/>
          <w:rtl w:val="0"/>
        </w:rPr>
        <w:t xml:space="preserve">Diário Oficial da União</w:t>
      </w:r>
      <w:r w:rsidDel="00000000" w:rsidR="00000000" w:rsidRPr="00000000">
        <w:rPr>
          <w:rFonts w:ascii="Google Sans" w:cs="Google Sans" w:eastAsia="Google Sans" w:hAnsi="Google Sans"/>
          <w:color w:val="1f1f1f"/>
          <w:rtl w:val="0"/>
        </w:rPr>
        <w:t xml:space="preserve">, Brasília, DF, 6 jul. 2022. Disponível em: </w:t>
      </w:r>
      <w:hyperlink r:id="rId13">
        <w:r w:rsidDel="00000000" w:rsidR="00000000" w:rsidRPr="00000000">
          <w:rPr>
            <w:rFonts w:ascii="Google Sans" w:cs="Google Sans" w:eastAsia="Google Sans" w:hAnsi="Google Sans"/>
            <w:color w:val="0b57d0"/>
            <w:u w:val="single"/>
            <w:rtl w:val="0"/>
          </w:rPr>
          <w:t xml:space="preserve">https://www.in.gov.br/en/web/dou/-/resolucao-rdc-n-724-de-1-de-julho-de-2022-413346517</w:t>
        </w:r>
      </w:hyperlink>
      <w:r w:rsidDel="00000000" w:rsidR="00000000" w:rsidRPr="00000000">
        <w:rPr>
          <w:rFonts w:ascii="Google Sans" w:cs="Google Sans" w:eastAsia="Google Sans" w:hAnsi="Google Sans"/>
          <w:color w:val="1f1f1f"/>
          <w:rtl w:val="0"/>
        </w:rPr>
        <w:t xml:space="preserve">. Acesso em: 17 abr. 2026.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Agência Nacional de Vigilância Sanitária. Instrução Normativa nº 161, de 1º de julho de 2022. Estabelece as listas de padrões microbiológicos para alimentos. </w:t>
      </w:r>
      <w:r w:rsidDel="00000000" w:rsidR="00000000" w:rsidRPr="00000000">
        <w:rPr>
          <w:rFonts w:ascii="Google Sans" w:cs="Google Sans" w:eastAsia="Google Sans" w:hAnsi="Google Sans"/>
          <w:b w:val="1"/>
          <w:bCs w:val="1"/>
          <w:color w:val="1f1f1f"/>
          <w:rtl w:val="0"/>
        </w:rPr>
        <w:t xml:space="preserve">Diário Oficial da União</w:t>
      </w:r>
      <w:r w:rsidDel="00000000" w:rsidR="00000000" w:rsidRPr="00000000">
        <w:rPr>
          <w:rFonts w:ascii="Google Sans" w:cs="Google Sans" w:eastAsia="Google Sans" w:hAnsi="Google Sans"/>
          <w:color w:val="1f1f1f"/>
          <w:rtl w:val="0"/>
        </w:rPr>
        <w:t xml:space="preserve">, Brasília, DF, 6 jul. 2022. Disponível em: </w:t>
      </w:r>
      <w:hyperlink r:id="rId14">
        <w:r w:rsidDel="00000000" w:rsidR="00000000" w:rsidRPr="00000000">
          <w:rPr>
            <w:rFonts w:ascii="Google Sans" w:cs="Google Sans" w:eastAsia="Google Sans" w:hAnsi="Google Sans"/>
            <w:color w:val="0b57d0"/>
            <w:u w:val="single"/>
            <w:rtl w:val="0"/>
          </w:rPr>
          <w:t xml:space="preserve">https://www.in.gov.br/en/web/dou/-/instrucao-normativa-in-n-161-de-1-de-julho-de-2022-413364956</w:t>
        </w:r>
      </w:hyperlink>
      <w:r w:rsidDel="00000000" w:rsidR="00000000" w:rsidRPr="00000000">
        <w:rPr>
          <w:rFonts w:ascii="Google Sans" w:cs="Google Sans" w:eastAsia="Google Sans" w:hAnsi="Google Sans"/>
          <w:color w:val="1f1f1f"/>
          <w:rtl w:val="0"/>
        </w:rPr>
        <w:t xml:space="preserve">. Acesso em: 17 abr. 2026.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FORSYTHE, Stephen J. </w:t>
      </w:r>
      <w:r w:rsidDel="00000000" w:rsidR="00000000" w:rsidRPr="00000000">
        <w:rPr>
          <w:rFonts w:ascii="Google Sans" w:cs="Google Sans" w:eastAsia="Google Sans" w:hAnsi="Google Sans"/>
          <w:b w:val="1"/>
          <w:bCs w:val="1"/>
          <w:color w:val="1f1f1f"/>
          <w:rtl w:val="0"/>
        </w:rPr>
        <w:t xml:space="preserve">Microbiologia da Segurança dos Alimentos</w:t>
      </w:r>
      <w:r w:rsidDel="00000000" w:rsidR="00000000" w:rsidRPr="00000000">
        <w:rPr>
          <w:rFonts w:ascii="Google Sans" w:cs="Google Sans" w:eastAsia="Google Sans" w:hAnsi="Google Sans"/>
          <w:color w:val="1f1f1f"/>
          <w:rtl w:val="0"/>
        </w:rPr>
        <w:t xml:space="preserve">. 2. ed. Porto Alegre: Artmed, 2013.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SENAI. Departamento Nacional. </w:t>
      </w:r>
      <w:r w:rsidDel="00000000" w:rsidR="00000000" w:rsidRPr="00000000">
        <w:rPr>
          <w:rFonts w:ascii="Google Sans" w:cs="Google Sans" w:eastAsia="Google Sans" w:hAnsi="Google Sans"/>
          <w:b w:val="1"/>
          <w:bCs w:val="1"/>
          <w:color w:val="1f1f1f"/>
          <w:rtl w:val="0"/>
        </w:rPr>
        <w:t xml:space="preserve">Guia para elaboração do plano APPCC</w:t>
      </w:r>
      <w:r w:rsidDel="00000000" w:rsidR="00000000" w:rsidRPr="00000000">
        <w:rPr>
          <w:rFonts w:ascii="Google Sans" w:cs="Google Sans" w:eastAsia="Google Sans" w:hAnsi="Google Sans"/>
          <w:color w:val="1f1f1f"/>
          <w:rtl w:val="0"/>
        </w:rPr>
        <w:t xml:space="preserve">. Série Qualidade e Segurança Alimentar. Brasília: SENAI/DN, 2001.</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N° 216, de 15 de setembro de 2004 - Minist rio da Sa de - Ministério da Saúde, acessado em abril 17, 2026, </w:t>
      </w:r>
      <w:hyperlink r:id="rId15">
        <w:r w:rsidDel="00000000" w:rsidR="00000000" w:rsidRPr="00000000">
          <w:rPr>
            <w:rFonts w:ascii="Google Sans" w:cs="Google Sans" w:eastAsia="Google Sans" w:hAnsi="Google Sans"/>
            <w:color w:val="0000ee"/>
            <w:sz w:val="24"/>
            <w:szCs w:val="24"/>
            <w:u w:val="single"/>
            <w:rtl w:val="0"/>
          </w:rPr>
          <w:t xml:space="preserve">https://bvsms.saude.gov.br/bvs/saudelegis/anvisa/2004/res0216_15_09_2004.html</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 RDC nº 275, de 21 de outubro de 2002(*), acessado em abril 17, 2026, </w:t>
      </w:r>
      <w:hyperlink r:id="rId16">
        <w:r w:rsidDel="00000000" w:rsidR="00000000" w:rsidRPr="00000000">
          <w:rPr>
            <w:rFonts w:ascii="Google Sans" w:cs="Google Sans" w:eastAsia="Google Sans" w:hAnsi="Google Sans"/>
            <w:color w:val="0000ee"/>
            <w:sz w:val="24"/>
            <w:szCs w:val="24"/>
            <w:u w:val="single"/>
            <w:rtl w:val="0"/>
          </w:rPr>
          <w:t xml:space="preserve">https://bvsms.saude.gov.br/bvs/saudelegis/anvisa/2002/res0275_21_10_2002_rep.html</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07 - MODELO MANUAL DE BOAS PRÁTICAS.docx - SETADES, acessado em abril 17, 2026, </w:t>
      </w:r>
      <w:hyperlink r:id="rId17">
        <w:r w:rsidDel="00000000" w:rsidR="00000000" w:rsidRPr="00000000">
          <w:rPr>
            <w:rFonts w:ascii="Google Sans" w:cs="Google Sans" w:eastAsia="Google Sans" w:hAnsi="Google Sans"/>
            <w:color w:val="0000ee"/>
            <w:sz w:val="24"/>
            <w:szCs w:val="24"/>
            <w:u w:val="single"/>
            <w:rtl w:val="0"/>
          </w:rPr>
          <w:t xml:space="preserve">https://setades.es.gov.br/Media/Seadh/Editais/2024/ANEXO%2007%20-%20MODELO%20MANUAL%20DE%20BOAS%20PR%C3%81TICAS.docx</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ROTEIRO BÁSICO PARA ELABORAÇÃO DO MANUAL DE BOAS PRÁTICAS DE MANIPULAÇÃO DOS ALIMENTOS A seguir, é apresentada uma estrut - Antigo Anvisa, acessado em abril 17, 2026, </w:t>
      </w:r>
      <w:hyperlink r:id="rId18">
        <w:r w:rsidDel="00000000" w:rsidR="00000000" w:rsidRPr="00000000">
          <w:rPr>
            <w:rFonts w:ascii="Google Sans" w:cs="Google Sans" w:eastAsia="Google Sans" w:hAnsi="Google Sans"/>
            <w:color w:val="0000ee"/>
            <w:sz w:val="24"/>
            <w:szCs w:val="24"/>
            <w:u w:val="single"/>
            <w:rtl w:val="0"/>
          </w:rPr>
          <w:t xml:space="preserve">http://antigo.anvisa.gov.br/documents/10181/6512262/Roteiro+de+Manual+de+Boas+Pr%C3%A1ticas+de+Manipula%C3%A7%C3%A3o+e+POPs+de+higieniza%C3%A7%C3%A3o+e+controle+de+vetores/e6dc5676-f7f0-421f-9274-38a9003f40f1</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Cartilha sobre Boas Práticas para Serviços de Alimentação - Portal Gov.br, acessado em abril 17, 2026, </w:t>
      </w:r>
      <w:hyperlink r:id="rId19">
        <w:r w:rsidDel="00000000" w:rsidR="00000000" w:rsidRPr="00000000">
          <w:rPr>
            <w:rFonts w:ascii="Google Sans" w:cs="Google Sans" w:eastAsia="Google Sans" w:hAnsi="Google Sans"/>
            <w:color w:val="0000ee"/>
            <w:sz w:val="24"/>
            <w:szCs w:val="24"/>
            <w:u w:val="single"/>
            <w:rtl w:val="0"/>
          </w:rPr>
          <w:t xml:space="preserve">https://www.gov.br/anvisa/pt-br/centraisdeconteudo/publicacoes/alimentos/manuais-guias-e-orientacoes/cartilha-boas-praticas-para-servicos-de-alimentacao.pdf</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 RDC nº 275, de 21 de outubro de 2002(*), acessado em abril 17, 2026, </w:t>
      </w:r>
      <w:hyperlink r:id="rId20">
        <w:r w:rsidDel="00000000" w:rsidR="00000000" w:rsidRPr="00000000">
          <w:rPr>
            <w:rFonts w:ascii="Google Sans" w:cs="Google Sans" w:eastAsia="Google Sans" w:hAnsi="Google Sans"/>
            <w:color w:val="0000ee"/>
            <w:sz w:val="24"/>
            <w:szCs w:val="24"/>
            <w:u w:val="single"/>
            <w:rtl w:val="0"/>
          </w:rPr>
          <w:t xml:space="preserve">https://bvsms.saude.gov.br/bvs/saudelegis/anvisa/2002/anexos/anexo_res0275_21_10_2002_rep.pdf</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LISTA DE VERIFICAÇÃO DAS BOAS PRÁTICAS - Estabelecimentos - Prefeitura, acessado em abril 17, 2026, </w:t>
      </w:r>
      <w:hyperlink r:id="rId21">
        <w:r w:rsidDel="00000000" w:rsidR="00000000" w:rsidRPr="00000000">
          <w:rPr>
            <w:rFonts w:ascii="Google Sans" w:cs="Google Sans" w:eastAsia="Google Sans" w:hAnsi="Google Sans"/>
            <w:color w:val="0000ee"/>
            <w:sz w:val="24"/>
            <w:szCs w:val="24"/>
            <w:u w:val="single"/>
            <w:rtl w:val="0"/>
          </w:rPr>
          <w:t xml:space="preserve">https://www.prefeitura.sp.gov.br/cidade/secretarias/upload/saude/LV_Industria_11_02_2022.pdf</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 RDC nº 275, de 21 de outubro de 2002(*) - IFSC, acessado em abril 17, 2026, </w:t>
      </w:r>
      <w:hyperlink r:id="rId22">
        <w:r w:rsidDel="00000000" w:rsidR="00000000" w:rsidRPr="00000000">
          <w:rPr>
            <w:rFonts w:ascii="Google Sans" w:cs="Google Sans" w:eastAsia="Google Sans" w:hAnsi="Google Sans"/>
            <w:color w:val="0000ee"/>
            <w:sz w:val="24"/>
            <w:szCs w:val="24"/>
            <w:u w:val="single"/>
            <w:rtl w:val="0"/>
          </w:rPr>
          <w:t xml:space="preserve">https://docente.ifsc.edu.br/lucia.martins/MaterialDidatico/Agroneg%C3%B3cio/checklist-275.doc</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RESOLUCAO-RDC-No-724-DE-1o-DE-JULHO-DE-2022.pdf - CIDASC, acessado em abril 17, 2026, </w:t>
      </w:r>
      <w:hyperlink r:id="rId23">
        <w:r w:rsidDel="00000000" w:rsidR="00000000" w:rsidRPr="00000000">
          <w:rPr>
            <w:rFonts w:ascii="Google Sans" w:cs="Google Sans" w:eastAsia="Google Sans" w:hAnsi="Google Sans"/>
            <w:color w:val="0000ee"/>
            <w:sz w:val="24"/>
            <w:szCs w:val="24"/>
            <w:u w:val="single"/>
            <w:rtl w:val="0"/>
          </w:rPr>
          <w:t xml:space="preserve">https://www.cidasc.sc.gov.br/inspecao/files/2023/11/RESOLUCAO-RDC-No-724-DE-1o-DE-JULHO-DE-2022.pdf</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Ingredientes e a RDC 724 e IN 161 (2022) - YouTube, acessado em abril 17,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https://www.youtube.com/watch?v=DS10Gm8rnUs</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orientações da vigilância sanitária - para elaboração do - manual de boas práticas (mbp), acessado em abril 17, 2026, </w:t>
      </w:r>
      <w:hyperlink r:id="rId25">
        <w:r w:rsidDel="00000000" w:rsidR="00000000" w:rsidRPr="00000000">
          <w:rPr>
            <w:rFonts w:ascii="Google Sans" w:cs="Google Sans" w:eastAsia="Google Sans" w:hAnsi="Google Sans"/>
            <w:color w:val="0000ee"/>
            <w:sz w:val="24"/>
            <w:szCs w:val="24"/>
            <w:u w:val="single"/>
            <w:rtl w:val="0"/>
          </w:rPr>
          <w:t xml:space="preserve">https://www.pmpf.rs.gov.br/coordenadoria-de-vigilancia-em-saude/wp-content/uploads/sites/57/2022/02/orientacoesElaboracaoManualBoasPraticasEmAlimentos.pdf</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POPs OBRIGATÓRIOS - ALIMENTOS (RDC 275-2002).docx, acessado em abril 17, 2026, </w:t>
      </w:r>
      <w:hyperlink r:id="rId26">
        <w:r w:rsidDel="00000000" w:rsidR="00000000" w:rsidRPr="00000000">
          <w:rPr>
            <w:rFonts w:ascii="Google Sans" w:cs="Google Sans" w:eastAsia="Google Sans" w:hAnsi="Google Sans"/>
            <w:color w:val="0000ee"/>
            <w:sz w:val="24"/>
            <w:szCs w:val="24"/>
            <w:u w:val="single"/>
            <w:rtl w:val="0"/>
          </w:rPr>
          <w:t xml:space="preserve">https://dvs.portovelho.ro.gov.br/uploads/editor/files/DVS/POPs%20OBRIGAT%C3%93RIOS%20-%20ALIMENTOS%20%20(RDC%20275-2002).docx</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Conheça os 8 POPs da RDC 275 da Anvisa - Oliveira e Lemos, acessado em abril 17, 2026, </w:t>
      </w:r>
      <w:hyperlink r:id="rId27">
        <w:r w:rsidDel="00000000" w:rsidR="00000000" w:rsidRPr="00000000">
          <w:rPr>
            <w:rFonts w:ascii="Google Sans" w:cs="Google Sans" w:eastAsia="Google Sans" w:hAnsi="Google Sans"/>
            <w:color w:val="0000ee"/>
            <w:sz w:val="24"/>
            <w:szCs w:val="24"/>
            <w:u w:val="single"/>
            <w:rtl w:val="0"/>
          </w:rPr>
          <w:t xml:space="preserve">https://oliveiraelemos.com.br/conheca-os-8-pops-da-rdc-275-da-anvisa/</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RDC 275/2002 da ANVISA – em resumo e simplificada - Ifope Blog, acessado em abril 17, 2026, </w:t>
      </w:r>
      <w:hyperlink r:id="rId28">
        <w:r w:rsidDel="00000000" w:rsidR="00000000" w:rsidRPr="00000000">
          <w:rPr>
            <w:rFonts w:ascii="Google Sans" w:cs="Google Sans" w:eastAsia="Google Sans" w:hAnsi="Google Sans"/>
            <w:color w:val="0000ee"/>
            <w:sz w:val="24"/>
            <w:szCs w:val="24"/>
            <w:u w:val="single"/>
            <w:rtl w:val="0"/>
          </w:rPr>
          <w:t xml:space="preserve">https://blog.ifope.com.br/rdc-275/</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os POPs para o serviço de alimentação?, acessado em abril 17, 2026, </w:t>
      </w:r>
      <w:hyperlink r:id="rId29">
        <w:r w:rsidDel="00000000" w:rsidR="00000000" w:rsidRPr="00000000">
          <w:rPr>
            <w:rFonts w:ascii="Google Sans" w:cs="Google Sans" w:eastAsia="Google Sans" w:hAnsi="Google Sans"/>
            <w:color w:val="0000ee"/>
            <w:sz w:val="24"/>
            <w:szCs w:val="24"/>
            <w:u w:val="single"/>
            <w:rtl w:val="0"/>
          </w:rPr>
          <w:t xml:space="preserve">https://nutrimixconsultoria.com.br/quais-pops-para-servico-alimentacao/</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APPCC: o que é, 7 princípios e como aplicar na indústria alimentícia - Fracttal, acessado em abril 17, 2026, </w:t>
      </w:r>
      <w:hyperlink r:id="rId30">
        <w:r w:rsidDel="00000000" w:rsidR="00000000" w:rsidRPr="00000000">
          <w:rPr>
            <w:rFonts w:ascii="Google Sans" w:cs="Google Sans" w:eastAsia="Google Sans" w:hAnsi="Google Sans"/>
            <w:color w:val="0000ee"/>
            <w:sz w:val="24"/>
            <w:szCs w:val="24"/>
            <w:u w:val="single"/>
            <w:rtl w:val="0"/>
          </w:rPr>
          <w:t xml:space="preserve">https://www.fracttal.com/pt-br/blog/appcc-industria-alimenticia</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de perigos e pontos críticos de controle (APPCC/HACCP) na produção de farinha de trigo - SciSpace, acessado em abril 17, 2026, </w:t>
      </w:r>
      <w:hyperlink r:id="rId31">
        <w:r w:rsidDel="00000000" w:rsidR="00000000" w:rsidRPr="00000000">
          <w:rPr>
            <w:rFonts w:ascii="Google Sans" w:cs="Google Sans" w:eastAsia="Google Sans" w:hAnsi="Google Sans"/>
            <w:color w:val="0000ee"/>
            <w:sz w:val="24"/>
            <w:szCs w:val="24"/>
            <w:u w:val="single"/>
            <w:rtl w:val="0"/>
          </w:rPr>
          <w:t xml:space="preserve">https://scispace.com/pdf/analise-de-perigos-e-pontos-criticos-de-controle-appcc-haccp-2zb2lsqrbz.pdf</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 1 – N. 7 APPCC: UMA FERRAMENTA DA GESTÃO DA SEGURANÇA DE ALIMENT, acessado em abril 17, 2026, </w:t>
      </w:r>
      <w:hyperlink r:id="rId32">
        <w:r w:rsidDel="00000000" w:rsidR="00000000" w:rsidRPr="00000000">
          <w:rPr>
            <w:rFonts w:ascii="Google Sans" w:cs="Google Sans" w:eastAsia="Google Sans" w:hAnsi="Google Sans"/>
            <w:color w:val="0000ee"/>
            <w:sz w:val="24"/>
            <w:szCs w:val="24"/>
            <w:u w:val="single"/>
            <w:rtl w:val="0"/>
          </w:rPr>
          <w:t xml:space="preserve">https://revistascientificas.ifrj.edu.br/index.php/alimentos/article/view/1636/934</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Microbiologia da segurança dos alimentos - Sistema Integrado de Bibliotecas do Instituto Federal do Rio de Janeiro, acessado em abril 17, 2026, </w:t>
      </w:r>
      <w:hyperlink r:id="rId33">
        <w:r w:rsidDel="00000000" w:rsidR="00000000" w:rsidRPr="00000000">
          <w:rPr>
            <w:rFonts w:ascii="Google Sans" w:cs="Google Sans" w:eastAsia="Google Sans" w:hAnsi="Google Sans"/>
            <w:color w:val="0000ee"/>
            <w:sz w:val="24"/>
            <w:szCs w:val="24"/>
            <w:u w:val="single"/>
            <w:rtl w:val="0"/>
          </w:rPr>
          <w:t xml:space="preserve">https://biblioteca.ifrj.edu.br/cgi-bin/koha/opac-detail.pl?biblionumber=17149</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Microbiologia de Segurança dos Alimentos - Instituto Florence, acessado em abril 17, 2026, </w:t>
      </w:r>
      <w:hyperlink r:id="rId34">
        <w:r w:rsidDel="00000000" w:rsidR="00000000" w:rsidRPr="00000000">
          <w:rPr>
            <w:rFonts w:ascii="Google Sans" w:cs="Google Sans" w:eastAsia="Google Sans" w:hAnsi="Google Sans"/>
            <w:color w:val="0000ee"/>
            <w:sz w:val="24"/>
            <w:szCs w:val="24"/>
            <w:u w:val="single"/>
            <w:rtl w:val="0"/>
          </w:rPr>
          <w:t xml:space="preserve">https://biblioteca.florence.edu.br/biblioteca/public/upload/2018/06/microbiologia-da-seguranca-dos-alimentos.pdf</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Princípios APPCC | PDF | Análise de perigos e pontos críticos de controle - Scribd, acessado em abril 17, 2026, </w:t>
      </w:r>
      <w:hyperlink r:id="rId35">
        <w:r w:rsidDel="00000000" w:rsidR="00000000" w:rsidRPr="00000000">
          <w:rPr>
            <w:rFonts w:ascii="Google Sans" w:cs="Google Sans" w:eastAsia="Google Sans" w:hAnsi="Google Sans"/>
            <w:color w:val="0000ee"/>
            <w:sz w:val="24"/>
            <w:szCs w:val="24"/>
            <w:u w:val="single"/>
            <w:rtl w:val="0"/>
          </w:rPr>
          <w:t xml:space="preserve">https://pt.scribd.com/document/44404714/7-Principios-APPCC</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DE PERIGOS E PONTOS CRÍTICOS DE CONTROLE NA PRODUÇÃO DE REFEIÇÕES INDUSTRIAIS. - fi-admin, acessado em abril 17, 2026, </w:t>
      </w:r>
      <w:hyperlink r:id="rId36">
        <w:r w:rsidDel="00000000" w:rsidR="00000000" w:rsidRPr="00000000">
          <w:rPr>
            <w:rFonts w:ascii="Google Sans" w:cs="Google Sans" w:eastAsia="Google Sans" w:hAnsi="Google Sans"/>
            <w:color w:val="0000ee"/>
            <w:sz w:val="24"/>
            <w:szCs w:val="24"/>
            <w:u w:val="single"/>
            <w:rtl w:val="0"/>
          </w:rPr>
          <w:t xml:space="preserve">https://fi-admin.bvsalud.org/document/view/5zekc</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APPCC 101: Um Guia De Análise De Perigos E Pontos Críticos De Controle, acessado em abril 17, 2026, </w:t>
      </w:r>
      <w:hyperlink r:id="rId37">
        <w:r w:rsidDel="00000000" w:rsidR="00000000" w:rsidRPr="00000000">
          <w:rPr>
            <w:rFonts w:ascii="Google Sans" w:cs="Google Sans" w:eastAsia="Google Sans" w:hAnsi="Google Sans"/>
            <w:color w:val="0000ee"/>
            <w:sz w:val="24"/>
            <w:szCs w:val="24"/>
            <w:u w:val="single"/>
            <w:rtl w:val="0"/>
          </w:rPr>
          <w:t xml:space="preserve">https://www.registrarcorp.com/pt-br/blog/food-beverage/food-safety/haccp/</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principais pontos críticos para contaminação dos alimentos - Marketing Nutricional, acessado em abril 17, 2026, </w:t>
      </w:r>
      <w:hyperlink r:id="rId38">
        <w:r w:rsidDel="00000000" w:rsidR="00000000" w:rsidRPr="00000000">
          <w:rPr>
            <w:rFonts w:ascii="Google Sans" w:cs="Google Sans" w:eastAsia="Google Sans" w:hAnsi="Google Sans"/>
            <w:color w:val="0000ee"/>
            <w:sz w:val="24"/>
            <w:szCs w:val="24"/>
            <w:u w:val="single"/>
            <w:rtl w:val="0"/>
          </w:rPr>
          <w:t xml:space="preserve">https://www.marketingnutricional.com.br/blog-thiagogiacopetti04.html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vsms.saude.gov.br/bvs/saudelegis/anvisa/2002/anexos/anexo_res0275_21_10_2002_rep.pdf" TargetMode="External"/><Relationship Id="rId22" Type="http://schemas.openxmlformats.org/officeDocument/2006/relationships/hyperlink" Target="https://docente.ifsc.edu.br/lucia.martins/MaterialDidatico/Agroneg%C3%B3cio/checklist-275.doc" TargetMode="External"/><Relationship Id="rId21" Type="http://schemas.openxmlformats.org/officeDocument/2006/relationships/hyperlink" Target="https://www.prefeitura.sp.gov.br/cidade/secretarias/upload/saude/LV_Industria_11_02_2022.pdf" TargetMode="External"/><Relationship Id="rId24" Type="http://schemas.openxmlformats.org/officeDocument/2006/relationships/hyperlink" Target="https://www.youtube.com/watch?v=DS10Gm8rnUs" TargetMode="External"/><Relationship Id="rId23" Type="http://schemas.openxmlformats.org/officeDocument/2006/relationships/hyperlink" Target="https://www.cidasc.sc.gov.br/inspecao/files/2023/11/RESOLUCAO-RDC-No-724-DE-1o-DE-JULHO-DE-202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vs.portovelho.ro.gov.br/uploads/editor/files/DVS/POPs%20OBRIGAT%C3%93RIOS%20-%20ALIMENTOS%20%20(RDC%20275-2002).docx" TargetMode="External"/><Relationship Id="rId25" Type="http://schemas.openxmlformats.org/officeDocument/2006/relationships/hyperlink" Target="https://www.pmpf.rs.gov.br/coordenadoria-de-vigilancia-em-saude/wp-content/uploads/sites/57/2022/02/orientacoesElaboracaoManualBoasPraticasEmAlimentos.pdf" TargetMode="External"/><Relationship Id="rId28" Type="http://schemas.openxmlformats.org/officeDocument/2006/relationships/hyperlink" Target="https://blog.ifope.com.br/rdc-275/" TargetMode="External"/><Relationship Id="rId27" Type="http://schemas.openxmlformats.org/officeDocument/2006/relationships/hyperlink" Target="https://oliveiraelemos.com.br/conheca-os-8-pops-da-rdc-275-da-anvis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nutrimixconsultoria.com.br/quais-pops-para-servico-alimentacao/"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scispace.com/pdf/analise-de-perigos-e-pontos-criticos-de-controle-appcc-haccp-2zb2lsqrbz.pdf" TargetMode="External"/><Relationship Id="rId30" Type="http://schemas.openxmlformats.org/officeDocument/2006/relationships/hyperlink" Target="https://www.fracttal.com/pt-br/blog/appcc-industria-alimenticia" TargetMode="External"/><Relationship Id="rId11" Type="http://schemas.openxmlformats.org/officeDocument/2006/relationships/hyperlink" Target="https://bvsms.saude.gov.br/bvs/saudelegis/anvisa/2002/res0275_21_10_2002_rep.html" TargetMode="External"/><Relationship Id="rId33" Type="http://schemas.openxmlformats.org/officeDocument/2006/relationships/hyperlink" Target="https://biblioteca.ifrj.edu.br/cgi-bin/koha/opac-detail.pl?biblionumber=17149" TargetMode="External"/><Relationship Id="rId10" Type="http://schemas.openxmlformats.org/officeDocument/2006/relationships/hyperlink" Target="https://bvsms.saude.gov.br/bvs/saudelegis/ms/1993/prt1428_26_11_1993.html" TargetMode="External"/><Relationship Id="rId32" Type="http://schemas.openxmlformats.org/officeDocument/2006/relationships/hyperlink" Target="https://revistascientificas.ifrj.edu.br/index.php/alimentos/article/view/1636/934" TargetMode="External"/><Relationship Id="rId13" Type="http://schemas.openxmlformats.org/officeDocument/2006/relationships/hyperlink" Target="https://www.in.gov.br/en/web/dou/-/resolucao-rdc-n-724-de-1-de-julho-de-2022-413346517" TargetMode="External"/><Relationship Id="rId35" Type="http://schemas.openxmlformats.org/officeDocument/2006/relationships/hyperlink" Target="https://pt.scribd.com/document/44404714/7-Principios-APPCC" TargetMode="External"/><Relationship Id="rId12" Type="http://schemas.openxmlformats.org/officeDocument/2006/relationships/hyperlink" Target="https://bvsms.saude.gov.br/bvs/saudelegis/anvisa/2004/res0216_15_09_2004.html" TargetMode="External"/><Relationship Id="rId34" Type="http://schemas.openxmlformats.org/officeDocument/2006/relationships/hyperlink" Target="https://biblioteca.florence.edu.br/biblioteca/public/upload/2018/06/microbiologia-da-seguranca-dos-alimentos.pdf" TargetMode="External"/><Relationship Id="rId15" Type="http://schemas.openxmlformats.org/officeDocument/2006/relationships/hyperlink" Target="https://bvsms.saude.gov.br/bvs/saudelegis/anvisa/2004/res0216_15_09_2004.html" TargetMode="External"/><Relationship Id="rId37" Type="http://schemas.openxmlformats.org/officeDocument/2006/relationships/hyperlink" Target="https://www.registrarcorp.com/pt-br/blog/food-beverage/food-safety/haccp/" TargetMode="External"/><Relationship Id="rId14" Type="http://schemas.openxmlformats.org/officeDocument/2006/relationships/hyperlink" Target="https://www.in.gov.br/en/web/dou/-/instrucao-normativa-in-n-161-de-1-de-julho-de-2022-413364956" TargetMode="External"/><Relationship Id="rId36" Type="http://schemas.openxmlformats.org/officeDocument/2006/relationships/hyperlink" Target="https://fi-admin.bvsalud.org/document/view/5zekc" TargetMode="External"/><Relationship Id="rId17" Type="http://schemas.openxmlformats.org/officeDocument/2006/relationships/hyperlink" Target="https://setades.es.gov.br/Media/Seadh/Editais/2024/ANEXO%2007%20-%20MODELO%20MANUAL%20DE%20BOAS%20PR%C3%81TICAS.docx" TargetMode="External"/><Relationship Id="rId16" Type="http://schemas.openxmlformats.org/officeDocument/2006/relationships/hyperlink" Target="https://bvsms.saude.gov.br/bvs/saudelegis/anvisa/2002/res0275_21_10_2002_rep.html" TargetMode="External"/><Relationship Id="rId38" Type="http://schemas.openxmlformats.org/officeDocument/2006/relationships/hyperlink" Target="https://www.marketingnutricional.com.br/blog-thiagogiacopetti04.html" TargetMode="External"/><Relationship Id="rId19" Type="http://schemas.openxmlformats.org/officeDocument/2006/relationships/hyperlink" Target="https://www.gov.br/anvisa/pt-br/centraisdeconteudo/publicacoes/alimentos/manuais-guias-e-orientacoes/cartilha-boas-praticas-para-servicos-de-alimentacao.pdf" TargetMode="External"/><Relationship Id="rId18" Type="http://schemas.openxmlformats.org/officeDocument/2006/relationships/hyperlink" Target="http://antigo.anvisa.gov.br/documents/10181/6512262/Roteiro+de+Manual+de+Boas+Pr%C3%A1ticas+de+Manipula%C3%A7%C3%A3o+e+POPs+de+higieniza%C3%A7%C3%A3o+e+controle+de+vetores/e6dc5676-f7f0-421f-9274-38a9003f40f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