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02244"/>
          <w:sz w:val="36"/>
        </w:rPr>
        <w:t>DOCUMENTO DE ESPECIFICACIÓN DE REQUISITOS DE SOFTWARE (SRS)</w:t>
      </w:r>
    </w:p>
    <w:p>
      <w:pPr>
        <w:spacing w:after="320"/>
      </w:pPr>
      <w:r>
        <w:rPr>
          <w:rFonts w:ascii="Calibri" w:hAnsi="Calibri"/>
          <w:i/>
          <w:color w:val="475569"/>
          <w:sz w:val="24"/>
        </w:rPr>
        <w:t>Sistema Integral de Información y Repositorio Institucional (CIIDI - UPTTMBI)</w:t>
      </w:r>
    </w:p>
    <w:tbl>
      <w:tblPr>
        <w:tblW w:type="auto" w:w="0"/>
        <w:jc w:val="center"/>
        <w:tblLayout w:type="fixed"/>
        <w:tblLook w:firstColumn="1" w:firstRow="1" w:lastColumn="0" w:lastRow="0" w:noHBand="0" w:noVBand="1" w:val="04A0"/>
      </w:tblPr>
      <w:tblGrid>
        <w:gridCol w:w="4680"/>
        <w:gridCol w:w="4680"/>
      </w:tblGrid>
      <w:tr>
        <w:tc>
          <w:tcPr>
            <w:tcW w:type="dxa" w:w="4608"/>
            <w:shd w:fill="F1F5F9"/>
            <w:tcMar>
              <w:top w:w="120" w:type="dxa"/>
              <w:bottom w:w="120" w:type="dxa"/>
              <w:left w:w="160" w:type="dxa"/>
              <w:right w:w="160" w:type="dxa"/>
            </w:tcMar>
          </w:tcPr>
          <w:p>
            <w:pPr>
              <w:spacing w:after="40"/>
            </w:pPr>
            <w:r>
              <w:rPr>
                <w:b/>
              </w:rPr>
              <w:t xml:space="preserve">Versión: </w:t>
            </w:r>
            <w:r>
              <w:t>2.0.0 Oficial</w:t>
              <w:br/>
            </w:r>
            <w:r>
              <w:rPr>
                <w:b/>
              </w:rPr>
              <w:t xml:space="preserve">Fecha de Emisión: </w:t>
            </w:r>
            <w:r>
              <w:t>Octubre 2026</w:t>
            </w:r>
          </w:p>
        </w:tc>
        <w:tc>
          <w:tcPr>
            <w:tcW w:type="dxa" w:w="4752"/>
            <w:shd w:fill="F1F5F9"/>
            <w:tcMar>
              <w:top w:w="120" w:type="dxa"/>
              <w:bottom w:w="120" w:type="dxa"/>
              <w:left w:w="160" w:type="dxa"/>
              <w:right w:w="160" w:type="dxa"/>
            </w:tcMar>
          </w:tcPr>
          <w:p>
            <w:pPr>
              <w:spacing w:after="40"/>
            </w:pPr>
            <w:r>
              <w:rPr>
                <w:b/>
              </w:rPr>
              <w:t xml:space="preserve">Institución: </w:t>
            </w:r>
            <w:r>
              <w:t>UPTTMBI - Vicerrectorado Académico</w:t>
              <w:br/>
            </w:r>
            <w:r>
              <w:rPr>
                <w:b/>
              </w:rPr>
              <w:t xml:space="preserve">Tecnología: </w:t>
            </w:r>
            <w:r>
              <w:t>Microkernel Modular PHP / PostgreSQL</w:t>
            </w:r>
          </w:p>
        </w:tc>
      </w:tr>
    </w:tbl>
    <w:p>
      <w:pPr>
        <w:spacing w:after="240"/>
      </w:pPr>
    </w:p>
    <w:p>
      <w:pPr>
        <w:pStyle w:val="Heading1"/>
        <w:spacing w:before="280" w:after="120"/>
      </w:pPr>
      <w:r>
        <w:rPr>
          <w:color w:val="002244"/>
        </w:rPr>
        <w:t>1. Introducción y Alcance del Sistema</w:t>
      </w:r>
    </w:p>
    <w:p>
      <w:pPr>
        <w:spacing w:after="120" w:line="276" w:lineRule="auto"/>
      </w:pPr>
      <w:r>
        <w:t>El presente documento formaliza los requisitos funcionales, no funcionales y las historias de usuario implementadas en el Centro de Investigación, Innovación y Desarrollo Institucional (CIIDI) de la Universidad Politécnica Territorial del Estado Trujillo "Mario Briceño Iragorry" (UPTTMBI). El sistema opera bajo un Microkernel Modular interoperable regido por la interfaz contractual ModuleContract, integrando ocho módulos funcionales y una capa central de seguridad perimetral.</w:t>
      </w:r>
    </w:p>
    <w:p>
      <w:pPr>
        <w:spacing w:after="280" w:line="276" w:lineRule="auto"/>
      </w:pPr>
      <w:r>
        <w:t>El ecosistema integra los siguientes componentes principales:</w:t>
      </w:r>
    </w:p>
    <w:p>
      <w:pPr>
        <w:pStyle w:val="ListBullet"/>
        <w:spacing w:after="60" w:line="276" w:lineRule="auto"/>
      </w:pPr>
      <w:r>
        <w:rPr>
          <w:b/>
          <w:color w:val="0F172A"/>
        </w:rPr>
        <w:t xml:space="preserve">Núcleo de Seguridad y Control de Acceso (Core): </w:t>
      </w:r>
      <w:r>
        <w:t>Enrutamiento, WAF, RBAC matricial y contingencia.</w:t>
      </w:r>
    </w:p>
    <w:p>
      <w:pPr>
        <w:pStyle w:val="ListBullet"/>
        <w:spacing w:after="60" w:line="276" w:lineRule="auto"/>
      </w:pPr>
      <w:r>
        <w:rPr>
          <w:b/>
          <w:color w:val="0F172A"/>
        </w:rPr>
        <w:t xml:space="preserve">Módulo de Autenticación: </w:t>
      </w:r>
      <w:r>
        <w:t>Control de acceso con Cédula, doble factor, registro Double Opt-In y recuperación SHA-256.</w:t>
      </w:r>
    </w:p>
    <w:p>
      <w:pPr>
        <w:pStyle w:val="ListBullet"/>
        <w:spacing w:after="60" w:line="276" w:lineRule="auto"/>
      </w:pPr>
      <w:r>
        <w:rPr>
          <w:b/>
          <w:color w:val="0F172A"/>
        </w:rPr>
        <w:t xml:space="preserve">Repositorio PST: </w:t>
      </w:r>
      <w:r>
        <w:t>Catálogo unificado, ingesta documental DOCX/PDF, clasificación neuronal y búsqueda vectorial semántica.</w:t>
      </w:r>
    </w:p>
    <w:p>
      <w:pPr>
        <w:pStyle w:val="ListBullet"/>
        <w:spacing w:after="60" w:line="276" w:lineRule="auto"/>
      </w:pPr>
      <w:r>
        <w:rPr>
          <w:b/>
          <w:color w:val="0F172A"/>
        </w:rPr>
        <w:t xml:space="preserve">Banco de Investigaciones I+D: </w:t>
      </w:r>
      <w:r>
        <w:t>Cartelera pública, directorio de docentes investigadores y postulación de colaboradores.</w:t>
      </w:r>
    </w:p>
    <w:p>
      <w:pPr>
        <w:pStyle w:val="ListBullet"/>
        <w:spacing w:after="60" w:line="276" w:lineRule="auto"/>
      </w:pPr>
      <w:r>
        <w:rPr>
          <w:b/>
          <w:color w:val="0F172A"/>
        </w:rPr>
        <w:t xml:space="preserve">Revista Digital (Artículos): </w:t>
      </w:r>
      <w:r>
        <w:t>Flujo editorial, gestión de taxonomías y visor de lectura académica inmersiva.</w:t>
      </w:r>
    </w:p>
    <w:p>
      <w:pPr>
        <w:pStyle w:val="ListBullet"/>
        <w:spacing w:after="60" w:line="276" w:lineRule="auto"/>
      </w:pPr>
      <w:r>
        <w:rPr>
          <w:b/>
          <w:color w:val="0F172A"/>
        </w:rPr>
        <w:t xml:space="preserve">Cursos y Extensión: </w:t>
      </w:r>
      <w:r>
        <w:t>Oferta formativa continua, temarios y optimización de banners en WebP.</w:t>
      </w:r>
    </w:p>
    <w:p>
      <w:pPr>
        <w:pStyle w:val="ListBullet"/>
        <w:spacing w:after="60" w:line="276" w:lineRule="auto"/>
      </w:pPr>
      <w:r>
        <w:rPr>
          <w:b/>
          <w:color w:val="0F172A"/>
        </w:rPr>
        <w:t xml:space="preserve">Líneas de Investigación: </w:t>
      </w:r>
      <w:r>
        <w:t>Showcase jerárquico PNF, dimensiones operativas y grafo analítico interactivo.</w:t>
      </w:r>
    </w:p>
    <w:p>
      <w:pPr>
        <w:pStyle w:val="ListBullet"/>
        <w:spacing w:after="60" w:line="276" w:lineRule="auto"/>
      </w:pPr>
      <w:r>
        <w:rPr>
          <w:b/>
          <w:color w:val="0F172A"/>
        </w:rPr>
        <w:t xml:space="preserve">Vinculación Empresarial: </w:t>
      </w:r>
      <w:r>
        <w:t>Recepción de demandas tecnológicas, asignación de proyectos y seguimiento por RIF/Trámite.</w:t>
      </w:r>
    </w:p>
    <w:p>
      <w:pPr>
        <w:pStyle w:val="ListBullet"/>
        <w:spacing w:after="60" w:line="276" w:lineRule="auto"/>
      </w:pPr>
      <w:r>
        <w:rPr>
          <w:b/>
          <w:color w:val="0F172A"/>
        </w:rPr>
        <w:t xml:space="preserve">SuperAdmin: </w:t>
      </w:r>
      <w:r>
        <w:t>Telemetría del servidor, respaldos GZIP con checkpoints, feature flags y visor de auditoría RFC-5424.</w:t>
      </w:r>
    </w:p>
    <w:p>
      <w:pPr>
        <w:pStyle w:val="Heading1"/>
        <w:spacing w:before="360" w:after="160"/>
      </w:pPr>
      <w:r>
        <w:rPr>
          <w:color w:val="002244"/>
        </w:rPr>
        <w:t>2. Requisitos Funcionales (RF)</w:t>
      </w:r>
    </w:p>
    <w:p>
      <w:pPr>
        <w:pStyle w:val="Heading2"/>
        <w:spacing w:before="240" w:after="80"/>
      </w:pPr>
      <w:r>
        <w:rPr>
          <w:color w:val="0284C7"/>
        </w:rPr>
        <w:t>RF-01: Cortafuegos de Aplicación Web (WAF) y Limitador de Tasa (Rate Limiting)</w:t>
      </w:r>
    </w:p>
    <w:p>
      <w:pPr>
        <w:spacing w:after="60"/>
      </w:pPr>
      <w:r>
        <w:rPr>
          <w:b/>
        </w:rPr>
        <w:t xml:space="preserve">Módulo: </w:t>
      </w:r>
      <w:r>
        <w:t xml:space="preserve">Core / Security   |   </w:t>
      </w:r>
      <w:r>
        <w:rPr>
          <w:b/>
        </w:rPr>
        <w:t xml:space="preserve">Prioridad: </w:t>
      </w:r>
      <w:r>
        <w:rPr>
          <w:b/>
          <w:color w:val="B91C1C"/>
        </w:rPr>
        <w:t>Alta</w:t>
      </w:r>
    </w:p>
    <w:p>
      <w:pPr>
        <w:spacing w:after="80" w:line="276" w:lineRule="auto"/>
      </w:pPr>
      <w:r>
        <w:t>Inspección en tiempo real de cada petición entrante mediante ventana deslizante (sliding window). Detecta firmas de inyección SQL, XSS, Path Traversal e intentos de fuerza bruta, bloqueando temporal o definitivamente la IP ofensiva mediante security_blacklist.json.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que una IP cliente realiza peticiones HTTP hacia cualquier endpoint del sistema.</w:t>
              <w:br/>
            </w:r>
            <w:r>
              <w:rPr>
                <w:b/>
                <w:color w:val="0284C7"/>
                <w:sz w:val="19"/>
              </w:rPr>
              <w:t xml:space="preserve">• WHEN </w:t>
            </w:r>
            <w:r>
              <w:rPr>
                <w:sz w:val="19"/>
              </w:rPr>
              <w:t>la tasa de peticiones supera el umbral configurado por minuto o se detecta un payload malicioso (ej. ' OR 1=1, &lt;script&gt;).</w:t>
              <w:br/>
            </w:r>
            <w:r>
              <w:rPr>
                <w:b/>
                <w:color w:val="0284C7"/>
                <w:sz w:val="19"/>
              </w:rPr>
              <w:t xml:space="preserve">• THEN </w:t>
            </w:r>
            <w:r>
              <w:rPr>
                <w:sz w:val="19"/>
              </w:rPr>
              <w:t>el sistema interrumpe la ejecución, responde con código HTTP 403, registra el incidente con nivel DANGER en la bitácora criptográfica e invoca la vista de bloqueo core/Views/seguridad_bloqueo.php.</w:t>
            </w:r>
          </w:p>
        </w:tc>
      </w:tr>
    </w:tbl>
    <w:p>
      <w:pPr>
        <w:spacing w:before="80" w:after="200" w:line="276" w:lineRule="auto"/>
      </w:pPr>
      <w:r>
        <w:rPr>
          <w:b/>
        </w:rPr>
        <w:t xml:space="preserve">Casos Límite / Edge Cases: </w:t>
      </w:r>
      <w:r>
        <w:t>Si la IP atacante pertenece a la lista blanca (security_whitelist.json), la petición es permitida pero se emite una advertencia de auditoría. Si el atacante intenta acceder al script CLI de desbloqueo vía web, el WAF deniega el acceso automáticamente.</w:t>
      </w:r>
    </w:p>
    <w:p>
      <w:pPr>
        <w:pStyle w:val="Heading2"/>
        <w:spacing w:before="240" w:after="80"/>
      </w:pPr>
      <w:r>
        <w:rPr>
          <w:color w:val="0284C7"/>
        </w:rPr>
        <w:t>RF-02: Control de Acceso Basado en Roles Dinámico (RBAC) y Revocación de Sesión Inmediata</w:t>
      </w:r>
    </w:p>
    <w:p>
      <w:pPr>
        <w:spacing w:after="60"/>
      </w:pPr>
      <w:r>
        <w:rPr>
          <w:b/>
        </w:rPr>
        <w:t xml:space="preserve">Módulo: </w:t>
      </w:r>
      <w:r>
        <w:t xml:space="preserve">Core / Security   |   </w:t>
      </w:r>
      <w:r>
        <w:rPr>
          <w:b/>
        </w:rPr>
        <w:t xml:space="preserve">Prioridad: </w:t>
      </w:r>
      <w:r>
        <w:rPr>
          <w:b/>
          <w:color w:val="B91C1C"/>
        </w:rPr>
        <w:t>Alta</w:t>
      </w:r>
    </w:p>
    <w:p>
      <w:pPr>
        <w:spacing w:after="80" w:line="276" w:lineRule="auto"/>
      </w:pPr>
      <w:r>
        <w:t>Control de permisos jerárquicos y matriciales (matriz_rbac). Permite al SuperAdmin (Nivel 0) operar sin restricciones, mientras que otros roles son validados por nivel mínimo y permiso específico por módulo (ver, crear, editar, eliminar, auditar). Incluye soporte de 'Kill Session' a través de revoked_sessions.json.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autenticado con nivel de privilegio restringido.</w:t>
              <w:br/>
            </w:r>
            <w:r>
              <w:rPr>
                <w:b/>
                <w:color w:val="0284C7"/>
                <w:sz w:val="19"/>
              </w:rPr>
              <w:t xml:space="preserve">• WHEN </w:t>
            </w:r>
            <w:r>
              <w:rPr>
                <w:sz w:val="19"/>
              </w:rPr>
              <w:t>intenta acceder a una ruta administrativa (ej. sudoadmin-usuarios o configuracion-articulos).</w:t>
              <w:br/>
            </w:r>
            <w:r>
              <w:rPr>
                <w:b/>
                <w:color w:val="0284C7"/>
                <w:sz w:val="19"/>
              </w:rPr>
              <w:t xml:space="preserve">• THEN </w:t>
            </w:r>
            <w:r>
              <w:rPr>
                <w:sz w:val="19"/>
              </w:rPr>
              <w:t>el método Auth::requierePrivilegioMinimo verifica la matriz; si no posee el permiso, emite HTTP 403 y renderiza core/Views/403.php. Si el administrador expulsa manualmente al usuario desde el panel SuperAdmin, en la siguiente petición HTTP se destruye la sesión, se regenera el ID de cookie y se le notifica la revocación.</w:t>
            </w:r>
          </w:p>
        </w:tc>
      </w:tr>
    </w:tbl>
    <w:p>
      <w:pPr>
        <w:spacing w:before="80" w:after="200" w:line="276" w:lineRule="auto"/>
      </w:pPr>
      <w:r>
        <w:rPr>
          <w:b/>
        </w:rPr>
        <w:t xml:space="preserve">Casos Límite / Edge Cases: </w:t>
      </w:r>
      <w:r>
        <w:t>Si la sesión expiró por inactividad (&gt;120 minutos), Auth::check() destruye la sesión y redirige al login con mensaje explicativo.</w:t>
      </w:r>
    </w:p>
    <w:p>
      <w:pPr>
        <w:pStyle w:val="Heading2"/>
        <w:spacing w:before="240" w:after="80"/>
      </w:pPr>
      <w:r>
        <w:rPr>
          <w:color w:val="0284C7"/>
        </w:rPr>
        <w:t>RF-03: Modo de Contingencia y Aislamiento por Fallo de Base de Datos</w:t>
      </w:r>
    </w:p>
    <w:p>
      <w:pPr>
        <w:spacing w:after="60"/>
      </w:pPr>
      <w:r>
        <w:rPr>
          <w:b/>
        </w:rPr>
        <w:t xml:space="preserve">Módulo: </w:t>
      </w:r>
      <w:r>
        <w:t xml:space="preserve">Core / Database   |   </w:t>
      </w:r>
      <w:r>
        <w:rPr>
          <w:b/>
        </w:rPr>
        <w:t xml:space="preserve">Prioridad: </w:t>
      </w:r>
      <w:r>
        <w:rPr>
          <w:b/>
          <w:color w:val="B91C1C"/>
        </w:rPr>
        <w:t>Alta</w:t>
      </w:r>
    </w:p>
    <w:p>
      <w:pPr>
        <w:spacing w:after="80" w:line="276" w:lineRule="auto"/>
      </w:pPr>
      <w:r>
        <w:t>Rescate automático ante indisponibilidad del motor PostgreSQL. En caso de excepción no controlada en la capa de datos (DatabaseConnectionException), el microkernel conmuta a un entorno aislado e independiente del DBMS.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que el servicio PostgreSQL se detiene o pierde conectividad.</w:t>
              <w:br/>
            </w:r>
            <w:r>
              <w:rPr>
                <w:b/>
                <w:color w:val="0284C7"/>
                <w:sz w:val="19"/>
              </w:rPr>
              <w:t xml:space="preserve">• WHEN </w:t>
            </w:r>
            <w:r>
              <w:rPr>
                <w:sz w:val="19"/>
              </w:rPr>
              <w:t>cualquier usuario realiza una solicitud web.</w:t>
              <w:br/>
            </w:r>
            <w:r>
              <w:rPr>
                <w:b/>
                <w:color w:val="0284C7"/>
                <w:sz w:val="19"/>
              </w:rPr>
              <w:t xml:space="preserve">• THEN </w:t>
            </w:r>
            <w:r>
              <w:rPr>
                <w:sz w:val="19"/>
              </w:rPr>
              <w:t>el sistema intercepta el error, establece HTTP 500 y presenta core/Views/500.php. Cuando un SuperAdministrador ingresa credenciales maestras en el formulario de emergencia de dicha pantalla, el servicio actualiza en caliente storage/db_config.json sin necesidad de reiniciar el servidor web Apache.</w:t>
            </w:r>
          </w:p>
        </w:tc>
      </w:tr>
    </w:tbl>
    <w:p>
      <w:pPr>
        <w:spacing w:before="80" w:after="200" w:line="276" w:lineRule="auto"/>
      </w:pPr>
      <w:r>
        <w:rPr>
          <w:b/>
        </w:rPr>
        <w:t xml:space="preserve">Casos Límite / Edge Cases: </w:t>
      </w:r>
      <w:r>
        <w:t>El formulario de emergencia en modo 500 permite limpiar sesión y reintentar conexión con validación aislada sin disparar errores fatales adicionales.</w:t>
      </w:r>
    </w:p>
    <w:p>
      <w:pPr>
        <w:pStyle w:val="Heading2"/>
        <w:spacing w:before="240" w:after="80"/>
      </w:pPr>
      <w:r>
        <w:rPr>
          <w:color w:val="0284C7"/>
        </w:rPr>
        <w:t>RF-04: Autenticación con Cédula Venezolana, Captcha y Bloqueo de Intentos</w:t>
      </w:r>
    </w:p>
    <w:p>
      <w:pPr>
        <w:spacing w:after="60"/>
      </w:pPr>
      <w:r>
        <w:rPr>
          <w:b/>
        </w:rPr>
        <w:t xml:space="preserve">Módulo: </w:t>
      </w:r>
      <w:r>
        <w:t xml:space="preserve">Autenticación   |   </w:t>
      </w:r>
      <w:r>
        <w:rPr>
          <w:b/>
        </w:rPr>
        <w:t xml:space="preserve">Prioridad: </w:t>
      </w:r>
      <w:r>
        <w:rPr>
          <w:b/>
          <w:color w:val="B91C1C"/>
        </w:rPr>
        <w:t>Alta</w:t>
      </w:r>
    </w:p>
    <w:p>
      <w:pPr>
        <w:spacing w:after="80" w:line="276" w:lineRule="auto"/>
      </w:pPr>
      <w:r>
        <w:t>Acceso unificado mediante cédula de identidad en múltiples formatos admitidos (V-12345678, E-12345678 o dígitos directos 12345678) y contraseña segura (hash BCRYPT). Integra captchas matemáticos/gráficos dinámicos autogenerados tras intentos erróneos.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registrado y activo en la tabla usuarios.</w:t>
              <w:br/>
            </w:r>
            <w:r>
              <w:rPr>
                <w:b/>
                <w:color w:val="0284C7"/>
                <w:sz w:val="19"/>
              </w:rPr>
              <w:t xml:space="preserve">• WHEN </w:t>
            </w:r>
            <w:r>
              <w:rPr>
                <w:sz w:val="19"/>
              </w:rPr>
              <w:t>ingresa su cédula con o sin prefijo y su contraseña correcta.</w:t>
              <w:br/>
            </w:r>
            <w:r>
              <w:rPr>
                <w:b/>
                <w:color w:val="0284C7"/>
                <w:sz w:val="19"/>
              </w:rPr>
              <w:t xml:space="preserve">• THEN </w:t>
            </w:r>
            <w:r>
              <w:rPr>
                <w:sz w:val="19"/>
              </w:rPr>
              <w:t>el sistema inicia sesión, actualiza registro_actividad (incrementando el contador y la estampa de tiempo), regenera el identificador de sesión y redirige al panel correspondiente.</w:t>
            </w:r>
          </w:p>
        </w:tc>
      </w:tr>
    </w:tbl>
    <w:p>
      <w:pPr>
        <w:spacing w:before="80" w:after="200" w:line="276" w:lineRule="auto"/>
      </w:pPr>
      <w:r>
        <w:rPr>
          <w:b/>
        </w:rPr>
        <w:t xml:space="preserve">Casos Límite / Edge Cases: </w:t>
      </w:r>
      <w:r>
        <w:t>Si la cuenta tiene activo = false, se rechaza el inicio de sesión indicando que la cuenta ha sido suspendida. Si acumula más de 5 intentos fallidos, el RateLimiter bloquea temporalmente el formulario.</w:t>
      </w:r>
    </w:p>
    <w:p>
      <w:pPr>
        <w:pStyle w:val="Heading2"/>
        <w:spacing w:before="240" w:after="80"/>
      </w:pPr>
      <w:r>
        <w:rPr>
          <w:color w:val="0284C7"/>
        </w:rPr>
        <w:t>RF-05: Registro de Nuevos Usuarios con Confirmación de Correo (Double Opt-In)</w:t>
      </w:r>
    </w:p>
    <w:p>
      <w:pPr>
        <w:spacing w:after="60"/>
      </w:pPr>
      <w:r>
        <w:rPr>
          <w:b/>
        </w:rPr>
        <w:t xml:space="preserve">Módulo: </w:t>
      </w:r>
      <w:r>
        <w:t xml:space="preserve">Autenticación   |   </w:t>
      </w:r>
      <w:r>
        <w:rPr>
          <w:b/>
        </w:rPr>
        <w:t xml:space="preserve">Prioridad: </w:t>
      </w:r>
      <w:r>
        <w:rPr>
          <w:b/>
          <w:color w:val="D97706"/>
        </w:rPr>
        <w:t>Media</w:t>
      </w:r>
    </w:p>
    <w:p>
      <w:pPr>
        <w:spacing w:after="80" w:line="276" w:lineRule="auto"/>
      </w:pPr>
      <w:r>
        <w:t>Auto-registro de usuarios con asignación por defecto del rol 'Usuario/Investigador' (Rol ID 3), generando un token criptográfico seguro de 32 bytes enviado vía SMTP para validar la posesión del correo electrónico.</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que completa el formulario de registro con cédula y correo únicos.</w:t>
              <w:br/>
            </w:r>
            <w:r>
              <w:rPr>
                <w:b/>
                <w:color w:val="0284C7"/>
                <w:sz w:val="19"/>
              </w:rPr>
              <w:t xml:space="preserve">• WHEN </w:t>
            </w:r>
            <w:r>
              <w:rPr>
                <w:sz w:val="19"/>
              </w:rPr>
              <w:t>envía la solicitud de registro con contraseña válida.</w:t>
              <w:br/>
            </w:r>
            <w:r>
              <w:rPr>
                <w:b/>
                <w:color w:val="0284C7"/>
                <w:sz w:val="19"/>
              </w:rPr>
              <w:t xml:space="preserve">• THEN </w:t>
            </w:r>
            <w:r>
              <w:rPr>
                <w:sz w:val="19"/>
              </w:rPr>
              <w:t>el sistema inserta el registro con email_verified = false, despacha un correo con la plantilla institucional y almacena activation_token. Al pulsar sobre el enlace de activación, cambia email_verified = true y habilita el login.</w:t>
            </w:r>
          </w:p>
        </w:tc>
      </w:tr>
    </w:tbl>
    <w:p>
      <w:pPr>
        <w:spacing w:before="80" w:after="200" w:line="276" w:lineRule="auto"/>
      </w:pPr>
      <w:r>
        <w:rPr>
          <w:b/>
        </w:rPr>
        <w:t xml:space="preserve">Casos Límite / Edge Cases: </w:t>
      </w:r>
      <w:r>
        <w:t>Si la cédula o correo ya existen en el sistema, se rechaza la operación sin crear duplicados.</w:t>
      </w:r>
    </w:p>
    <w:p>
      <w:pPr>
        <w:pStyle w:val="Heading2"/>
        <w:spacing w:before="240" w:after="80"/>
      </w:pPr>
      <w:r>
        <w:rPr>
          <w:color w:val="0284C7"/>
        </w:rPr>
        <w:t>RF-06: Recuperación Criptográfica de Contraseña con Caducidad Estricta</w:t>
      </w:r>
    </w:p>
    <w:p>
      <w:pPr>
        <w:spacing w:after="60"/>
      </w:pPr>
      <w:r>
        <w:rPr>
          <w:b/>
        </w:rPr>
        <w:t xml:space="preserve">Módulo: </w:t>
      </w:r>
      <w:r>
        <w:t xml:space="preserve">Autenticación   |   </w:t>
      </w:r>
      <w:r>
        <w:rPr>
          <w:b/>
        </w:rPr>
        <w:t xml:space="preserve">Prioridad: </w:t>
      </w:r>
      <w:r>
        <w:rPr>
          <w:b/>
          <w:color w:val="B91C1C"/>
        </w:rPr>
        <w:t>Alta</w:t>
      </w:r>
    </w:p>
    <w:p>
      <w:pPr>
        <w:spacing w:after="80" w:line="276" w:lineRule="auto"/>
      </w:pPr>
      <w:r>
        <w:t>Solicitud de restablecimiento de contraseña por correo o cédula, con generación de un token SHA-256 no reversible con vigencia improrrogable de 15 minutos.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que olvidó su clave e ingresa su correo en recuperar-cuenta.</w:t>
              <w:br/>
            </w:r>
            <w:r>
              <w:rPr>
                <w:b/>
                <w:color w:val="0284C7"/>
                <w:sz w:val="19"/>
              </w:rPr>
              <w:t xml:space="preserve">• WHEN </w:t>
            </w:r>
            <w:r>
              <w:rPr>
                <w:sz w:val="19"/>
              </w:rPr>
              <w:t>supera la verificación del captcha y envía el formulario.</w:t>
              <w:br/>
            </w:r>
            <w:r>
              <w:rPr>
                <w:b/>
                <w:color w:val="0284C7"/>
                <w:sz w:val="19"/>
              </w:rPr>
              <w:t xml:space="preserve">• THEN </w:t>
            </w:r>
            <w:r>
              <w:rPr>
                <w:sz w:val="19"/>
              </w:rPr>
              <w:t>el sistema genera un token de 64 caracteres hexadecimales, registra la solicitud en auditoría y envía el enlace a restablecer-clave.</w:t>
            </w:r>
          </w:p>
        </w:tc>
      </w:tr>
    </w:tbl>
    <w:p>
      <w:pPr>
        <w:spacing w:before="80" w:after="200" w:line="276" w:lineRule="auto"/>
      </w:pPr>
      <w:r>
        <w:rPr>
          <w:b/>
        </w:rPr>
        <w:t xml:space="preserve">Casos Límite / Edge Cases: </w:t>
      </w:r>
      <w:r>
        <w:t>Si el usuario utiliza un token expirado (&gt;15 minutos) o ya consumido, el sistema bloquea el cambio y solicita iniciar un nuevo ciclo de recuperación.</w:t>
      </w:r>
    </w:p>
    <w:p>
      <w:pPr>
        <w:pStyle w:val="Heading2"/>
        <w:spacing w:before="240" w:after="80"/>
      </w:pPr>
      <w:r>
        <w:rPr>
          <w:color w:val="0284C7"/>
        </w:rPr>
        <w:t>RF-07: Buscador Unificado y Filtrado Multifacético de Proyectos PST</w:t>
      </w:r>
    </w:p>
    <w:p>
      <w:pPr>
        <w:spacing w:after="60"/>
      </w:pPr>
      <w:r>
        <w:rPr>
          <w:b/>
        </w:rPr>
        <w:t xml:space="preserve">Módulo: </w:t>
      </w:r>
      <w:r>
        <w:t xml:space="preserve">Repositorio PST   |   </w:t>
      </w:r>
      <w:r>
        <w:rPr>
          <w:b/>
        </w:rPr>
        <w:t xml:space="preserve">Prioridad: </w:t>
      </w:r>
      <w:r>
        <w:rPr>
          <w:b/>
          <w:color w:val="B91C1C"/>
        </w:rPr>
        <w:t>Alta</w:t>
      </w:r>
    </w:p>
    <w:p>
      <w:pPr>
        <w:spacing w:after="80" w:line="276" w:lineRule="auto"/>
      </w:pPr>
      <w:r>
        <w:t>Motor de búsqueda que permite localizar proyectos académicos por título, resumen, autor, carrera (PNF), año, trayecto y línea de investigación, con soporte de ordenamiento y visualización en tarjetas.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el catálogo de proyectos PST publicado en repositorio.</w:t>
              <w:br/>
            </w:r>
            <w:r>
              <w:rPr>
                <w:b/>
                <w:color w:val="0284C7"/>
                <w:sz w:val="19"/>
              </w:rPr>
              <w:t xml:space="preserve">• WHEN </w:t>
            </w:r>
            <w:r>
              <w:rPr>
                <w:sz w:val="19"/>
              </w:rPr>
              <w:t>el usuario introduce términos en el buscador unificado o selecciona un PNF en el filtro lateral.</w:t>
              <w:br/>
            </w:r>
            <w:r>
              <w:rPr>
                <w:b/>
                <w:color w:val="0284C7"/>
                <w:sz w:val="19"/>
              </w:rPr>
              <w:t xml:space="preserve">• THEN </w:t>
            </w:r>
            <w:r>
              <w:rPr>
                <w:sz w:val="19"/>
              </w:rPr>
              <w:t>el sistema actualiza la lista de resultados paginados, computa el histograma de frecuencias por trayecto y preserva el estado del filtro en la URL.</w:t>
            </w:r>
          </w:p>
        </w:tc>
      </w:tr>
    </w:tbl>
    <w:p>
      <w:pPr>
        <w:spacing w:before="80" w:after="200" w:line="276" w:lineRule="auto"/>
      </w:pPr>
      <w:r>
        <w:rPr>
          <w:b/>
        </w:rPr>
        <w:t xml:space="preserve">Casos Límite / Edge Cases: </w:t>
      </w:r>
      <w:r>
        <w:t>Búsquedas sin resultados muestran sugerencias de términos afines y enlaces a los catálogos principales.</w:t>
      </w:r>
    </w:p>
    <w:p>
      <w:pPr>
        <w:pStyle w:val="Heading2"/>
        <w:spacing w:before="240" w:after="80"/>
      </w:pPr>
      <w:r>
        <w:rPr>
          <w:color w:val="0284C7"/>
        </w:rPr>
        <w:t>RF-08: Ingesta Documental con Extracción Automatizada (DOCX / PDF)</w:t>
      </w:r>
    </w:p>
    <w:p>
      <w:pPr>
        <w:spacing w:after="60"/>
      </w:pPr>
      <w:r>
        <w:rPr>
          <w:b/>
        </w:rPr>
        <w:t xml:space="preserve">Módulo: </w:t>
      </w:r>
      <w:r>
        <w:t xml:space="preserve">Repositorio PST   |   </w:t>
      </w:r>
      <w:r>
        <w:rPr>
          <w:b/>
        </w:rPr>
        <w:t xml:space="preserve">Prioridad: </w:t>
      </w:r>
      <w:r>
        <w:rPr>
          <w:b/>
          <w:color w:val="D97706"/>
        </w:rPr>
        <w:t>Media</w:t>
      </w:r>
    </w:p>
    <w:p>
      <w:pPr>
        <w:spacing w:after="80" w:line="276" w:lineRule="auto"/>
      </w:pPr>
      <w:r>
        <w:t>Carga de documentos de proyecto con extracción automática de texto, título, resumen, autores y palabras clave desde archivos Word (.docx) o PDF mediante librerías nativas (Mammoth / PhpWord).</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con permisos de carga en agregar-documento.</w:t>
              <w:br/>
            </w:r>
            <w:r>
              <w:rPr>
                <w:b/>
                <w:color w:val="0284C7"/>
                <w:sz w:val="19"/>
              </w:rPr>
              <w:t xml:space="preserve">• WHEN </w:t>
            </w:r>
            <w:r>
              <w:rPr>
                <w:sz w:val="19"/>
              </w:rPr>
              <w:t>selecciona y carga un archivo de tesis en formato .docx.</w:t>
              <w:br/>
            </w:r>
            <w:r>
              <w:rPr>
                <w:b/>
                <w:color w:val="0284C7"/>
                <w:sz w:val="19"/>
              </w:rPr>
              <w:t xml:space="preserve">• THEN </w:t>
            </w:r>
            <w:r>
              <w:rPr>
                <w:sz w:val="19"/>
              </w:rPr>
              <w:t>el servicio ExtractorPST procesa el documento, rellena automáticamente los campos del formulario y precarga los metadatos para confirmación del usuario.</w:t>
            </w:r>
          </w:p>
        </w:tc>
      </w:tr>
    </w:tbl>
    <w:p>
      <w:pPr>
        <w:spacing w:before="80" w:after="200" w:line="276" w:lineRule="auto"/>
      </w:pPr>
      <w:r>
        <w:rPr>
          <w:b/>
        </w:rPr>
        <w:t xml:space="preserve">Casos Límite / Edge Cases: </w:t>
      </w:r>
      <w:r>
        <w:t>Archivos con formatos no reconocidos o dañados generan un aviso preventivo sin interrumpir la sesión.</w:t>
      </w:r>
    </w:p>
    <w:p>
      <w:pPr>
        <w:pStyle w:val="Heading2"/>
        <w:spacing w:before="240" w:after="80"/>
      </w:pPr>
      <w:r>
        <w:rPr>
          <w:color w:val="0284C7"/>
        </w:rPr>
        <w:t>RF-09: Clasificación Asistida por Red Neuronal y Búsqueda Semántica Vectorial</w:t>
      </w:r>
    </w:p>
    <w:p>
      <w:pPr>
        <w:spacing w:after="60"/>
      </w:pPr>
      <w:r>
        <w:rPr>
          <w:b/>
        </w:rPr>
        <w:t xml:space="preserve">Módulo: </w:t>
      </w:r>
      <w:r>
        <w:t xml:space="preserve">Repositorio PST   |   </w:t>
      </w:r>
      <w:r>
        <w:rPr>
          <w:b/>
        </w:rPr>
        <w:t xml:space="preserve">Prioridad: </w:t>
      </w:r>
      <w:r>
        <w:rPr>
          <w:b/>
          <w:color w:val="D97706"/>
        </w:rPr>
        <w:t>Media</w:t>
      </w:r>
    </w:p>
    <w:p>
      <w:pPr>
        <w:spacing w:after="80" w:line="276" w:lineRule="auto"/>
      </w:pPr>
      <w:r>
        <w:t>Tokenización del resumen del proyecto (TokenizerService) y clasificación temática automática en las líneas de investigación mediante pesos neuronales (NeuralClassifier). Incorpora soporte para índice vectorial HNSW (pgvector) de 384 dimensiones.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el resumen y título de un proyecto PST recién procesado.</w:t>
              <w:br/>
            </w:r>
            <w:r>
              <w:rPr>
                <w:b/>
                <w:color w:val="0284C7"/>
                <w:sz w:val="19"/>
              </w:rPr>
              <w:t xml:space="preserve">• WHEN </w:t>
            </w:r>
            <w:r>
              <w:rPr>
                <w:sz w:val="19"/>
              </w:rPr>
              <w:t>el sistema invoca al clasificador neuronal interno.</w:t>
              <w:br/>
            </w:r>
            <w:r>
              <w:rPr>
                <w:b/>
                <w:color w:val="0284C7"/>
                <w:sz w:val="19"/>
              </w:rPr>
              <w:t xml:space="preserve">• THEN </w:t>
            </w:r>
            <w:r>
              <w:rPr>
                <w:sz w:val="19"/>
              </w:rPr>
              <w:t>el modelo retorna las tres líneas de investigación más probables con su porcentaje de afinidad, sugiriendo la catalogación óptima al docente revisor.</w:t>
            </w:r>
          </w:p>
        </w:tc>
      </w:tr>
    </w:tbl>
    <w:p>
      <w:pPr>
        <w:spacing w:before="80" w:after="200" w:line="276" w:lineRule="auto"/>
      </w:pPr>
      <w:r>
        <w:rPr>
          <w:b/>
        </w:rPr>
        <w:t xml:space="preserve">Casos Límite / Edge Cases: </w:t>
      </w:r>
      <w:r>
        <w:t>Si el texto es demasiado breve para clasificar, el sistema recurre a la asignación manual por el usuario.</w:t>
      </w:r>
    </w:p>
    <w:p>
      <w:pPr>
        <w:pStyle w:val="Heading2"/>
        <w:spacing w:before="240" w:after="80"/>
      </w:pPr>
      <w:r>
        <w:rPr>
          <w:color w:val="0284C7"/>
        </w:rPr>
        <w:t>RF-10: Ficha Técnica Única, Visor Documental Integrado y Contador de Visitas</w:t>
      </w:r>
    </w:p>
    <w:p>
      <w:pPr>
        <w:spacing w:after="60"/>
      </w:pPr>
      <w:r>
        <w:rPr>
          <w:b/>
        </w:rPr>
        <w:t xml:space="preserve">Módulo: </w:t>
      </w:r>
      <w:r>
        <w:t xml:space="preserve">Repositorio PST   |   </w:t>
      </w:r>
      <w:r>
        <w:rPr>
          <w:b/>
        </w:rPr>
        <w:t xml:space="preserve">Prioridad: </w:t>
      </w:r>
      <w:r>
        <w:rPr>
          <w:b/>
          <w:color w:val="B91C1C"/>
        </w:rPr>
        <w:t>Alta</w:t>
      </w:r>
    </w:p>
    <w:p>
      <w:pPr>
        <w:spacing w:after="80" w:line="276" w:lineRule="auto"/>
      </w:pPr>
      <w:r>
        <w:t>Presentación de la ficha del proyecto en detalle-pst, integrando visor seguro de PDF embebido, generador automático de citas bibliográficas (normas APA / IEEE) y contador atómico de visualizaciones y descargas.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visitante visualizando una ficha PST.</w:t>
              <w:br/>
            </w:r>
            <w:r>
              <w:rPr>
                <w:b/>
                <w:color w:val="0284C7"/>
                <w:sz w:val="19"/>
              </w:rPr>
              <w:t xml:space="preserve">• WHEN </w:t>
            </w:r>
            <w:r>
              <w:rPr>
                <w:sz w:val="19"/>
              </w:rPr>
              <w:t>pulsa el botón 'Copiar Cita APA' o 'Descargar PDF'.</w:t>
              <w:br/>
            </w:r>
            <w:r>
              <w:rPr>
                <w:b/>
                <w:color w:val="0284C7"/>
                <w:sz w:val="19"/>
              </w:rPr>
              <w:t xml:space="preserve">• THEN </w:t>
            </w:r>
            <w:r>
              <w:rPr>
                <w:sz w:val="19"/>
              </w:rPr>
              <w:t>el sistema copia la referencia al portapapeles, despacha el archivo binario desde la bóveda protegida storage/documentos/pst/ e incrementa el contador en base de datos.</w:t>
            </w:r>
          </w:p>
        </w:tc>
      </w:tr>
    </w:tbl>
    <w:p>
      <w:pPr>
        <w:spacing w:before="80" w:after="200" w:line="276" w:lineRule="auto"/>
      </w:pPr>
      <w:r>
        <w:rPr>
          <w:b/>
        </w:rPr>
        <w:t xml:space="preserve">Casos Límite / Edge Cases: </w:t>
      </w:r>
      <w:r>
        <w:t>El PDF está alojado en storage/ protegido por .htaccess, impidiendo descargas arbitrarias directas sin pasar por el controlador.</w:t>
      </w:r>
    </w:p>
    <w:p>
      <w:pPr>
        <w:pStyle w:val="Heading2"/>
        <w:spacing w:before="240" w:after="80"/>
      </w:pPr>
      <w:r>
        <w:rPr>
          <w:color w:val="0284C7"/>
        </w:rPr>
        <w:t>RF-11: Cartelera Pública de Proyectos I+D y Directorio de Investigadores</w:t>
      </w:r>
    </w:p>
    <w:p>
      <w:pPr>
        <w:spacing w:after="60"/>
      </w:pPr>
      <w:r>
        <w:rPr>
          <w:b/>
        </w:rPr>
        <w:t xml:space="preserve">Módulo: </w:t>
      </w:r>
      <w:r>
        <w:t xml:space="preserve">Investigaciones   |   </w:t>
      </w:r>
      <w:r>
        <w:rPr>
          <w:b/>
        </w:rPr>
        <w:t xml:space="preserve">Prioridad: </w:t>
      </w:r>
      <w:r>
        <w:rPr>
          <w:b/>
          <w:color w:val="D97706"/>
        </w:rPr>
        <w:t>Media</w:t>
      </w:r>
    </w:p>
    <w:p>
      <w:pPr>
        <w:spacing w:after="80" w:line="276" w:lineRule="auto"/>
      </w:pPr>
      <w:r>
        <w:t>Catálogo de iniciativas de investigación institucionales abiertas, permitiendo explorar objetivos, requerimientos de personal, estado de convocatoria y perfiles de los docentes líderes en investigadores-directorio.</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navegando por la cartelera de investigaciones.</w:t>
              <w:br/>
            </w:r>
            <w:r>
              <w:rPr>
                <w:b/>
                <w:color w:val="0284C7"/>
                <w:sz w:val="19"/>
              </w:rPr>
              <w:t xml:space="preserve">• WHEN </w:t>
            </w:r>
            <w:r>
              <w:rPr>
                <w:sz w:val="19"/>
              </w:rPr>
              <w:t>consulta la ficha técnica de un docente líder.</w:t>
              <w:br/>
            </w:r>
            <w:r>
              <w:rPr>
                <w:b/>
                <w:color w:val="0284C7"/>
                <w:sz w:val="19"/>
              </w:rPr>
              <w:t xml:space="preserve">• THEN </w:t>
            </w:r>
            <w:r>
              <w:rPr>
                <w:sz w:val="19"/>
              </w:rPr>
              <w:t>el sistema presenta el histórico de proyectos activos, concluidos y las líneas científicas vinculadas al investigador.</w:t>
            </w:r>
          </w:p>
        </w:tc>
      </w:tr>
    </w:tbl>
    <w:p>
      <w:pPr>
        <w:spacing w:before="80" w:after="200" w:line="276" w:lineRule="auto"/>
      </w:pPr>
      <w:r>
        <w:rPr>
          <w:b/>
        </w:rPr>
        <w:t xml:space="preserve">Casos Límite / Edge Cases: </w:t>
      </w:r>
      <w:r>
        <w:t>Filtro por estado de convocatoria oculta automáticamente convocatorias expiradas.</w:t>
      </w:r>
    </w:p>
    <w:p>
      <w:pPr>
        <w:pStyle w:val="Heading2"/>
        <w:spacing w:before="240" w:after="80"/>
      </w:pPr>
      <w:r>
        <w:rPr>
          <w:color w:val="0284C7"/>
        </w:rPr>
        <w:t>RF-12: Sistema de Postulación de Estudiantes y Colaboradores</w:t>
      </w:r>
    </w:p>
    <w:p>
      <w:pPr>
        <w:spacing w:after="60"/>
      </w:pPr>
      <w:r>
        <w:rPr>
          <w:b/>
        </w:rPr>
        <w:t xml:space="preserve">Módulo: </w:t>
      </w:r>
      <w:r>
        <w:t xml:space="preserve">Investigaciones   |   </w:t>
      </w:r>
      <w:r>
        <w:rPr>
          <w:b/>
        </w:rPr>
        <w:t xml:space="preserve">Prioridad: </w:t>
      </w:r>
      <w:r>
        <w:rPr>
          <w:b/>
          <w:color w:val="D97706"/>
        </w:rPr>
        <w:t>Media</w:t>
      </w:r>
    </w:p>
    <w:p>
      <w:pPr>
        <w:spacing w:after="80" w:line="276" w:lineRule="auto"/>
      </w:pPr>
      <w:r>
        <w:t>Flujo interactivo mediante modal que permite a estudiantes y docentes autenticados postularse para colaborar en un proyecto de investigación específico.</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estudiante autenticado frente a un proyecto con convocatoria abierta.</w:t>
              <w:br/>
            </w:r>
            <w:r>
              <w:rPr>
                <w:b/>
                <w:color w:val="0284C7"/>
                <w:sz w:val="19"/>
              </w:rPr>
              <w:t xml:space="preserve">• WHEN </w:t>
            </w:r>
            <w:r>
              <w:rPr>
                <w:sz w:val="19"/>
              </w:rPr>
              <w:t>completa el formulario de postulación indicando rol deseado, motivación y adjunta síntesis curricular.</w:t>
              <w:br/>
            </w:r>
            <w:r>
              <w:rPr>
                <w:b/>
                <w:color w:val="0284C7"/>
                <w:sz w:val="19"/>
              </w:rPr>
              <w:t xml:space="preserve">• THEN </w:t>
            </w:r>
            <w:r>
              <w:rPr>
                <w:sz w:val="19"/>
              </w:rPr>
              <w:t>el sistema almacena la postulación en estado Pendiente, notifica al líder del proyecto por correo electrónico y habilita el seguimiento en mis-postulaciones.</w:t>
            </w:r>
          </w:p>
        </w:tc>
      </w:tr>
    </w:tbl>
    <w:p>
      <w:pPr>
        <w:spacing w:before="80" w:after="200" w:line="276" w:lineRule="auto"/>
      </w:pPr>
      <w:r>
        <w:rPr>
          <w:b/>
        </w:rPr>
        <w:t xml:space="preserve">Casos Límite / Edge Cases: </w:t>
      </w:r>
      <w:r>
        <w:t>Si el usuario ya posee una postulación previa en curso para el mismo proyecto, el sistema bloquea el envío duplicado con un mensaje de alerta informativo.</w:t>
      </w:r>
    </w:p>
    <w:p>
      <w:pPr>
        <w:pStyle w:val="Heading2"/>
        <w:spacing w:before="240" w:after="80"/>
      </w:pPr>
      <w:r>
        <w:rPr>
          <w:color w:val="0284C7"/>
        </w:rPr>
        <w:t>RF-13: Panel de Arbitraje y Aprobación Administrativa de Proyectos</w:t>
      </w:r>
    </w:p>
    <w:p>
      <w:pPr>
        <w:spacing w:after="60"/>
      </w:pPr>
      <w:r>
        <w:rPr>
          <w:b/>
        </w:rPr>
        <w:t xml:space="preserve">Módulo: </w:t>
      </w:r>
      <w:r>
        <w:t xml:space="preserve">Investigaciones   |   </w:t>
      </w:r>
      <w:r>
        <w:rPr>
          <w:b/>
        </w:rPr>
        <w:t xml:space="preserve">Prioridad: </w:t>
      </w:r>
      <w:r>
        <w:rPr>
          <w:b/>
          <w:color w:val="B91C1C"/>
        </w:rPr>
        <w:t>Alta</w:t>
      </w:r>
    </w:p>
    <w:p>
      <w:pPr>
        <w:spacing w:after="80" w:line="276" w:lineRule="auto"/>
      </w:pPr>
      <w:r>
        <w:t>Módulo de revisión para el comité de investigación en investigaciones-admin, permitiendo evaluar, aprobar, rechazar o solicitar correcciones a los proyectos postulados.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revisor con permisos del comité evaluador.</w:t>
              <w:br/>
            </w:r>
            <w:r>
              <w:rPr>
                <w:b/>
                <w:color w:val="0284C7"/>
                <w:sz w:val="19"/>
              </w:rPr>
              <w:t xml:space="preserve">• WHEN </w:t>
            </w:r>
            <w:r>
              <w:rPr>
                <w:sz w:val="19"/>
              </w:rPr>
              <w:t>cambia el estado de un proyecto a Aprobado y añade observaciones.</w:t>
              <w:br/>
            </w:r>
            <w:r>
              <w:rPr>
                <w:b/>
                <w:color w:val="0284C7"/>
                <w:sz w:val="19"/>
              </w:rPr>
              <w:t xml:space="preserve">• THEN </w:t>
            </w:r>
            <w:r>
              <w:rPr>
                <w:sz w:val="19"/>
              </w:rPr>
              <w:t>el proyecto pasa inmediatamente a estado visible en la cartelera pública y se despacha la resolución formal al autor principal.</w:t>
            </w:r>
          </w:p>
        </w:tc>
      </w:tr>
    </w:tbl>
    <w:p>
      <w:pPr>
        <w:spacing w:before="80" w:after="200" w:line="276" w:lineRule="auto"/>
      </w:pPr>
      <w:r>
        <w:rPr>
          <w:b/>
        </w:rPr>
        <w:t xml:space="preserve">Casos Límite / Edge Cases: </w:t>
      </w:r>
      <w:r>
        <w:t>Todo cambio de estado registra trazabilidad en auditoría con fecha y responsable.</w:t>
      </w:r>
    </w:p>
    <w:p>
      <w:pPr>
        <w:pStyle w:val="Heading2"/>
        <w:spacing w:before="240" w:after="80"/>
      </w:pPr>
      <w:r>
        <w:rPr>
          <w:color w:val="0284C7"/>
        </w:rPr>
        <w:t>RF-14: Publicación, Edición y Flujo Editorial de Artículos Científicos</w:t>
      </w:r>
    </w:p>
    <w:p>
      <w:pPr>
        <w:spacing w:after="60"/>
      </w:pPr>
      <w:r>
        <w:rPr>
          <w:b/>
        </w:rPr>
        <w:t xml:space="preserve">Módulo: </w:t>
      </w:r>
      <w:r>
        <w:t xml:space="preserve">Artículos   |   </w:t>
      </w:r>
      <w:r>
        <w:rPr>
          <w:b/>
        </w:rPr>
        <w:t xml:space="preserve">Prioridad: </w:t>
      </w:r>
      <w:r>
        <w:rPr>
          <w:b/>
          <w:color w:val="B91C1C"/>
        </w:rPr>
        <w:t>Alta</w:t>
      </w:r>
    </w:p>
    <w:p>
      <w:pPr>
        <w:spacing w:after="80" w:line="276" w:lineRule="auto"/>
      </w:pPr>
      <w:r>
        <w:t>Gestor administrativo de artículos científicos que permite redactar contenido, asignar autores primarios y coautores, establecer resúmenes, palabras clave y cargar imágenes de portada con compresión automática.</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editor en la vista nuevo-articulo.</w:t>
              <w:br/>
            </w:r>
            <w:r>
              <w:rPr>
                <w:b/>
                <w:color w:val="0284C7"/>
                <w:sz w:val="19"/>
              </w:rPr>
              <w:t xml:space="preserve">• WHEN </w:t>
            </w:r>
            <w:r>
              <w:rPr>
                <w:sz w:val="19"/>
              </w:rPr>
              <w:t>ingresa el título, resumen, cuerpo del artículo, selecciona la categoría temática y carga la portada.</w:t>
              <w:br/>
            </w:r>
            <w:r>
              <w:rPr>
                <w:b/>
                <w:color w:val="0284C7"/>
                <w:sz w:val="19"/>
              </w:rPr>
              <w:t xml:space="preserve">• THEN </w:t>
            </w:r>
            <w:r>
              <w:rPr>
                <w:sz w:val="19"/>
              </w:rPr>
              <w:t>el sistema valida los campos obligatorios, almacena el artículo en estado Borrador o Publicado y genera su identificador único amigable.</w:t>
            </w:r>
          </w:p>
        </w:tc>
      </w:tr>
    </w:tbl>
    <w:p>
      <w:pPr>
        <w:spacing w:before="80" w:after="200" w:line="276" w:lineRule="auto"/>
      </w:pPr>
      <w:r>
        <w:rPr>
          <w:b/>
        </w:rPr>
        <w:t xml:space="preserve">Casos Límite / Edge Cases: </w:t>
      </w:r>
      <w:r>
        <w:t>La portada se comprime y convierte automáticamente a formato WebP optimizado.</w:t>
      </w:r>
    </w:p>
    <w:p>
      <w:pPr>
        <w:pStyle w:val="Heading2"/>
        <w:spacing w:before="240" w:after="80"/>
      </w:pPr>
      <w:r>
        <w:rPr>
          <w:color w:val="0284C7"/>
        </w:rPr>
        <w:t>RF-15: Visor de Lectura Inmersivo y Catálogo Taxonómico de la Revista</w:t>
      </w:r>
    </w:p>
    <w:p>
      <w:pPr>
        <w:spacing w:after="60"/>
      </w:pPr>
      <w:r>
        <w:rPr>
          <w:b/>
        </w:rPr>
        <w:t xml:space="preserve">Módulo: </w:t>
      </w:r>
      <w:r>
        <w:t xml:space="preserve">Artículos   |   </w:t>
      </w:r>
      <w:r>
        <w:rPr>
          <w:b/>
        </w:rPr>
        <w:t xml:space="preserve">Prioridad: </w:t>
      </w:r>
      <w:r>
        <w:rPr>
          <w:b/>
          <w:color w:val="D97706"/>
        </w:rPr>
        <w:t>Media</w:t>
      </w:r>
    </w:p>
    <w:p>
      <w:pPr>
        <w:spacing w:after="80" w:line="276" w:lineRule="auto"/>
      </w:pPr>
      <w:r>
        <w:t>Interfaz de lectura digital optimizada (leer-articulo) con estimación de tiempo de lectura, formato tipográfico académico, botones para compartir y filtrado por catálogos temáticos.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lector en la revista digital.</w:t>
              <w:br/>
            </w:r>
            <w:r>
              <w:rPr>
                <w:b/>
                <w:color w:val="0284C7"/>
                <w:sz w:val="19"/>
              </w:rPr>
              <w:t xml:space="preserve">• WHEN </w:t>
            </w:r>
            <w:r>
              <w:rPr>
                <w:sz w:val="19"/>
              </w:rPr>
              <w:t>hace clic en un artículo específico.</w:t>
              <w:br/>
            </w:r>
            <w:r>
              <w:rPr>
                <w:b/>
                <w:color w:val="0284C7"/>
                <w:sz w:val="19"/>
              </w:rPr>
              <w:t xml:space="preserve">• THEN </w:t>
            </w:r>
            <w:r>
              <w:rPr>
                <w:sz w:val="19"/>
              </w:rPr>
              <w:t>la vista presenta el contenido en maquetación limpia, con barra de progreso de lectura y listado de referencias bibliográficas relacionadas.</w:t>
            </w:r>
          </w:p>
        </w:tc>
      </w:tr>
    </w:tbl>
    <w:p>
      <w:pPr>
        <w:spacing w:before="80" w:after="200" w:line="276" w:lineRule="auto"/>
      </w:pPr>
      <w:r>
        <w:rPr>
          <w:b/>
        </w:rPr>
        <w:t xml:space="preserve">Casos Límite / Edge Cases: </w:t>
      </w:r>
      <w:r>
        <w:t>Artículos en estado Borrador sólo son legibles por autores o editores con sesión activa.</w:t>
      </w:r>
    </w:p>
    <w:p>
      <w:pPr>
        <w:pStyle w:val="Heading2"/>
        <w:spacing w:before="240" w:after="80"/>
      </w:pPr>
      <w:r>
        <w:rPr>
          <w:color w:val="0284C7"/>
        </w:rPr>
        <w:t>RF-16: Administración y Publicación de Oferta Formativa y Cursos</w:t>
      </w:r>
    </w:p>
    <w:p>
      <w:pPr>
        <w:spacing w:after="60"/>
      </w:pPr>
      <w:r>
        <w:rPr>
          <w:b/>
        </w:rPr>
        <w:t xml:space="preserve">Módulo: </w:t>
      </w:r>
      <w:r>
        <w:t xml:space="preserve">Cursos   |   </w:t>
      </w:r>
      <w:r>
        <w:rPr>
          <w:b/>
        </w:rPr>
        <w:t xml:space="preserve">Prioridad: </w:t>
      </w:r>
      <w:r>
        <w:rPr>
          <w:b/>
          <w:color w:val="D97706"/>
        </w:rPr>
        <w:t>Media</w:t>
      </w:r>
    </w:p>
    <w:p>
      <w:pPr>
        <w:spacing w:after="80" w:line="276" w:lineRule="auto"/>
      </w:pPr>
      <w:r>
        <w:t>CRUD integral para cursos, diplomados y talleres ofrecidos por la universidad, gestionando facilitadores, fechas de inicio, cupos máximos, modalidad (Presencial/Virtual/Híbrida) y enlace de registro.</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administrador en cursos-gestion.</w:t>
              <w:br/>
            </w:r>
            <w:r>
              <w:rPr>
                <w:b/>
                <w:color w:val="0284C7"/>
                <w:sz w:val="19"/>
              </w:rPr>
              <w:t xml:space="preserve">• WHEN </w:t>
            </w:r>
            <w:r>
              <w:rPr>
                <w:sz w:val="19"/>
              </w:rPr>
              <w:t>registra una nueva oferta formativa especificando horario, cupos e imagen promocional.</w:t>
              <w:br/>
            </w:r>
            <w:r>
              <w:rPr>
                <w:b/>
                <w:color w:val="0284C7"/>
                <w:sz w:val="19"/>
              </w:rPr>
              <w:t xml:space="preserve">• THEN </w:t>
            </w:r>
            <w:r>
              <w:rPr>
                <w:sz w:val="19"/>
              </w:rPr>
              <w:t>el servicio ImagenService optimiza la portada convirtiéndola a WebP y el curso pasa a estar disponible en cursos.</w:t>
            </w:r>
          </w:p>
        </w:tc>
      </w:tr>
    </w:tbl>
    <w:p>
      <w:pPr>
        <w:spacing w:before="80" w:after="200" w:line="276" w:lineRule="auto"/>
      </w:pPr>
      <w:r>
        <w:rPr>
          <w:b/>
        </w:rPr>
        <w:t xml:space="preserve">Casos Límite / Edge Cases: </w:t>
      </w:r>
      <w:r>
        <w:t>Cursos que alcanzan cupo máximo deshabilitan automáticamente el botón de inscripción.</w:t>
      </w:r>
    </w:p>
    <w:p>
      <w:pPr>
        <w:pStyle w:val="Heading2"/>
        <w:spacing w:before="240" w:after="80"/>
      </w:pPr>
      <w:r>
        <w:rPr>
          <w:color w:val="0284C7"/>
        </w:rPr>
        <w:t>RF-17: Visualización Jerárquica y Grafo Analítico de Líneas de Investigación</w:t>
      </w:r>
    </w:p>
    <w:p>
      <w:pPr>
        <w:spacing w:after="60"/>
      </w:pPr>
      <w:r>
        <w:rPr>
          <w:b/>
        </w:rPr>
        <w:t xml:space="preserve">Módulo: </w:t>
      </w:r>
      <w:r>
        <w:t xml:space="preserve">Líneas de Investigación   |   </w:t>
      </w:r>
      <w:r>
        <w:rPr>
          <w:b/>
        </w:rPr>
        <w:t xml:space="preserve">Prioridad: </w:t>
      </w:r>
      <w:r>
        <w:rPr>
          <w:b/>
          <w:color w:val="D97706"/>
        </w:rPr>
        <w:t>Media</w:t>
      </w:r>
    </w:p>
    <w:p>
      <w:pPr>
        <w:spacing w:after="80" w:line="276" w:lineRule="auto"/>
      </w:pPr>
      <w:r>
        <w:t>Exposición pública de las líneas matrices institucionales, sus dimensiones operativas y su vinculación con los Programas Nacionales de Formación (PNF). Incluye dashboard con grafos interactivos (pst_network.js) de cobertura de proyectos.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usuario en analitica o lineas-investigacion.</w:t>
              <w:br/>
            </w:r>
            <w:r>
              <w:rPr>
                <w:b/>
                <w:color w:val="0284C7"/>
                <w:sz w:val="19"/>
              </w:rPr>
              <w:t xml:space="preserve">• WHEN </w:t>
            </w:r>
            <w:r>
              <w:rPr>
                <w:sz w:val="19"/>
              </w:rPr>
              <w:t>selecciona una línea de investigación particular.</w:t>
              <w:br/>
            </w:r>
            <w:r>
              <w:rPr>
                <w:b/>
                <w:color w:val="0284C7"/>
                <w:sz w:val="19"/>
              </w:rPr>
              <w:t xml:space="preserve">• THEN </w:t>
            </w:r>
            <w:r>
              <w:rPr>
                <w:sz w:val="19"/>
              </w:rPr>
              <w:t>el sistema carga la estructura de dimensiones asociadas, la cantidad de proyectos PST adscritos y genera el grafo de relaciones temáticas.</w:t>
            </w:r>
          </w:p>
        </w:tc>
      </w:tr>
    </w:tbl>
    <w:p>
      <w:pPr>
        <w:spacing w:before="80" w:after="200" w:line="276" w:lineRule="auto"/>
      </w:pPr>
      <w:r>
        <w:rPr>
          <w:b/>
        </w:rPr>
        <w:t xml:space="preserve">Casos Límite / Edge Cases: </w:t>
      </w:r>
      <w:r>
        <w:t>Exportación de ficha técnica de la línea a formato PDF formateado institucionalmente.</w:t>
      </w:r>
    </w:p>
    <w:p>
      <w:pPr>
        <w:pStyle w:val="Heading2"/>
        <w:spacing w:before="240" w:after="80"/>
      </w:pPr>
      <w:r>
        <w:rPr>
          <w:color w:val="0284C7"/>
        </w:rPr>
        <w:t>RF-18: Formulación y Recepción de Demandas Tecnológicas Empresariales</w:t>
      </w:r>
    </w:p>
    <w:p>
      <w:pPr>
        <w:spacing w:after="60"/>
      </w:pPr>
      <w:r>
        <w:rPr>
          <w:b/>
        </w:rPr>
        <w:t xml:space="preserve">Módulo: </w:t>
      </w:r>
      <w:r>
        <w:t xml:space="preserve">Vinculación Empresarial   |   </w:t>
      </w:r>
      <w:r>
        <w:rPr>
          <w:b/>
        </w:rPr>
        <w:t xml:space="preserve">Prioridad: </w:t>
      </w:r>
      <w:r>
        <w:rPr>
          <w:b/>
          <w:color w:val="D97706"/>
        </w:rPr>
        <w:t>Media</w:t>
      </w:r>
    </w:p>
    <w:p>
      <w:pPr>
        <w:spacing w:after="80" w:line="276" w:lineRule="auto"/>
      </w:pPr>
      <w:r>
        <w:t>Formulario público en form-aplicar-problema donde organizaciones públicas y privadas inscriben necesidades técnicas, comunitarias o productivas para ser atendidas mediante proyectos académicos.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 representante empresarial en el portal de vinculación.</w:t>
              <w:br/>
            </w:r>
            <w:r>
              <w:rPr>
                <w:b/>
                <w:color w:val="0284C7"/>
                <w:sz w:val="19"/>
              </w:rPr>
              <w:t xml:space="preserve">• WHEN </w:t>
            </w:r>
            <w:r>
              <w:rPr>
                <w:sz w:val="19"/>
              </w:rPr>
              <w:t>remite la descripción de un problema técnico, datos del RIF y persona de contacto.</w:t>
              <w:br/>
            </w:r>
            <w:r>
              <w:rPr>
                <w:b/>
                <w:color w:val="0284C7"/>
                <w:sz w:val="19"/>
              </w:rPr>
              <w:t xml:space="preserve">• THEN </w:t>
            </w:r>
            <w:r>
              <w:rPr>
                <w:sz w:val="19"/>
              </w:rPr>
              <w:t>el sistema valida los datos, genera un código alfanumérico único de seguimiento y registra la solicitud en el banco de propuestas.</w:t>
            </w:r>
          </w:p>
        </w:tc>
      </w:tr>
    </w:tbl>
    <w:p>
      <w:pPr>
        <w:spacing w:before="80" w:after="200" w:line="276" w:lineRule="auto"/>
      </w:pPr>
      <w:r>
        <w:rPr>
          <w:b/>
        </w:rPr>
        <w:t xml:space="preserve">Casos Límite / Edge Cases: </w:t>
      </w:r>
      <w:r>
        <w:t>Validación de formato estricto sobre el RIF de la empresa (J-, G-, V-, E-).</w:t>
      </w:r>
    </w:p>
    <w:p>
      <w:pPr>
        <w:pStyle w:val="Heading2"/>
        <w:spacing w:before="240" w:after="80"/>
      </w:pPr>
      <w:r>
        <w:rPr>
          <w:color w:val="0284C7"/>
        </w:rPr>
        <w:t>RF-19: Consulta Pública por Código de Trámite o RIF Empresarial</w:t>
      </w:r>
    </w:p>
    <w:p>
      <w:pPr>
        <w:spacing w:after="60"/>
      </w:pPr>
      <w:r>
        <w:rPr>
          <w:b/>
        </w:rPr>
        <w:t xml:space="preserve">Módulo: </w:t>
      </w:r>
      <w:r>
        <w:t xml:space="preserve">Vinculación Empresarial   |   </w:t>
      </w:r>
      <w:r>
        <w:rPr>
          <w:b/>
        </w:rPr>
        <w:t xml:space="preserve">Prioridad: </w:t>
      </w:r>
      <w:r>
        <w:rPr>
          <w:b/>
          <w:color w:val="D97706"/>
        </w:rPr>
        <w:t>Media</w:t>
      </w:r>
    </w:p>
    <w:p>
      <w:pPr>
        <w:spacing w:after="80" w:line="276" w:lineRule="auto"/>
      </w:pPr>
      <w:r>
        <w:t>Rastreador de estado en tiempo real en seguimiento-empresa que permite a las organizaciones verificar la evolución de su requerimiento (Registrada, En Evaluación, Asignada a Equipo, En Desarrollo, Culminada).</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una empresa que posee su código de seguimiento institucional.</w:t>
              <w:br/>
            </w:r>
            <w:r>
              <w:rPr>
                <w:b/>
                <w:color w:val="0284C7"/>
                <w:sz w:val="19"/>
              </w:rPr>
              <w:t xml:space="preserve">• WHEN </w:t>
            </w:r>
            <w:r>
              <w:rPr>
                <w:sz w:val="19"/>
              </w:rPr>
              <w:t>consulta dicho código en el rastreador público.</w:t>
              <w:br/>
            </w:r>
            <w:r>
              <w:rPr>
                <w:b/>
                <w:color w:val="0284C7"/>
                <w:sz w:val="19"/>
              </w:rPr>
              <w:t xml:space="preserve">• THEN </w:t>
            </w:r>
            <w:r>
              <w:rPr>
                <w:sz w:val="19"/>
              </w:rPr>
              <w:t>el sistema muestra la línea de tiempo del proyecto y el equipo académico asignado sin exponer información sensible interna.</w:t>
            </w:r>
          </w:p>
        </w:tc>
      </w:tr>
    </w:tbl>
    <w:p>
      <w:pPr>
        <w:spacing w:before="80" w:after="200" w:line="276" w:lineRule="auto"/>
      </w:pPr>
      <w:r>
        <w:rPr>
          <w:b/>
        </w:rPr>
        <w:t xml:space="preserve">Casos Límite / Edge Cases: </w:t>
      </w:r>
      <w:r>
        <w:t>Códigos no existentes muestran pantalla amigable de no coincidencia con sugerencia de soporte.</w:t>
      </w:r>
    </w:p>
    <w:p>
      <w:pPr>
        <w:pStyle w:val="Heading2"/>
        <w:spacing w:before="240" w:after="80"/>
      </w:pPr>
      <w:r>
        <w:rPr>
          <w:color w:val="0284C7"/>
        </w:rPr>
        <w:t>RF-20: Tablero de Control Ejecutivo y Métricas del Servidor</w:t>
      </w:r>
    </w:p>
    <w:p>
      <w:pPr>
        <w:spacing w:after="60"/>
      </w:pPr>
      <w:r>
        <w:rPr>
          <w:b/>
        </w:rPr>
        <w:t xml:space="preserve">Módulo: </w:t>
      </w:r>
      <w:r>
        <w:t xml:space="preserve">SuperAdmin   |   </w:t>
      </w:r>
      <w:r>
        <w:rPr>
          <w:b/>
        </w:rPr>
        <w:t xml:space="preserve">Prioridad: </w:t>
      </w:r>
      <w:r>
        <w:rPr>
          <w:b/>
          <w:color w:val="B91C1C"/>
        </w:rPr>
        <w:t>Alta</w:t>
      </w:r>
    </w:p>
    <w:p>
      <w:pPr>
        <w:spacing w:after="80" w:line="276" w:lineRule="auto"/>
      </w:pPr>
      <w:r>
        <w:t>Panel centralizado en sudoadmin con telemetría del servidor en tiempo real (uso de memoria RAM, espacio en disco de storage/, versión de PHP/PostgreSQL, conteo de tablas y usuarios activos).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el SuperAdministrador autenticado en el panel principal.</w:t>
              <w:br/>
            </w:r>
            <w:r>
              <w:rPr>
                <w:b/>
                <w:color w:val="0284C7"/>
                <w:sz w:val="19"/>
              </w:rPr>
              <w:t xml:space="preserve">• WHEN </w:t>
            </w:r>
            <w:r>
              <w:rPr>
                <w:sz w:val="19"/>
              </w:rPr>
              <w:t>carga el dashboard.</w:t>
              <w:br/>
            </w:r>
            <w:r>
              <w:rPr>
                <w:b/>
                <w:color w:val="0284C7"/>
                <w:sz w:val="19"/>
              </w:rPr>
              <w:t xml:space="preserve">• THEN </w:t>
            </w:r>
            <w:r>
              <w:rPr>
                <w:sz w:val="19"/>
              </w:rPr>
              <w:t>el sistema compila las métricas del sistema operativo y base de datos, mostrándolas en widgets interactivos con estados de salud visuales.</w:t>
            </w:r>
          </w:p>
        </w:tc>
      </w:tr>
    </w:tbl>
    <w:p>
      <w:pPr>
        <w:spacing w:before="80" w:after="200" w:line="276" w:lineRule="auto"/>
      </w:pPr>
      <w:r>
        <w:rPr>
          <w:b/>
        </w:rPr>
        <w:t xml:space="preserve">Casos Límite / Edge Cases: </w:t>
      </w:r>
      <w:r>
        <w:t>Detección automática de discos con espacio crítico (&lt;10%) con alerta destacada.</w:t>
      </w:r>
    </w:p>
    <w:p>
      <w:pPr>
        <w:pStyle w:val="Heading2"/>
        <w:spacing w:before="240" w:after="80"/>
      </w:pPr>
      <w:r>
        <w:rPr>
          <w:color w:val="0284C7"/>
        </w:rPr>
        <w:t>RF-21: Gestor de Mantenimiento, Respaldos de BD y Restauración de Puntos de Control</w:t>
      </w:r>
    </w:p>
    <w:p>
      <w:pPr>
        <w:spacing w:after="60"/>
      </w:pPr>
      <w:r>
        <w:rPr>
          <w:b/>
        </w:rPr>
        <w:t xml:space="preserve">Módulo: </w:t>
      </w:r>
      <w:r>
        <w:t xml:space="preserve">SuperAdmin   |   </w:t>
      </w:r>
      <w:r>
        <w:rPr>
          <w:b/>
        </w:rPr>
        <w:t xml:space="preserve">Prioridad: </w:t>
      </w:r>
      <w:r>
        <w:rPr>
          <w:b/>
          <w:color w:val="B91C1C"/>
        </w:rPr>
        <w:t>Alta</w:t>
      </w:r>
    </w:p>
    <w:p>
      <w:pPr>
        <w:spacing w:after="80" w:line="276" w:lineRule="auto"/>
      </w:pPr>
      <w:r>
        <w:t>Motor de copias de seguridad de la base de datos PostgreSQL utilizando pg_dump con compresión nativa GZIP, catálogo histórico con tamaños de archivo y restauración de emergencia con checkpoint previo.</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el SuperAdmin en la vista de mantenimiento.</w:t>
              <w:br/>
            </w:r>
            <w:r>
              <w:rPr>
                <w:b/>
                <w:color w:val="0284C7"/>
                <w:sz w:val="19"/>
              </w:rPr>
              <w:t xml:space="preserve">• WHEN </w:t>
            </w:r>
            <w:r>
              <w:rPr>
                <w:sz w:val="19"/>
              </w:rPr>
              <w:t>acciona el botón 'Generar Respaldo Ahora'.</w:t>
              <w:br/>
            </w:r>
            <w:r>
              <w:rPr>
                <w:b/>
                <w:color w:val="0284C7"/>
                <w:sz w:val="19"/>
              </w:rPr>
              <w:t xml:space="preserve">• THEN </w:t>
            </w:r>
            <w:r>
              <w:rPr>
                <w:sz w:val="19"/>
              </w:rPr>
              <w:t>BackupService ejecuta el volcado, lo comprime en storage/backups/*.sql.gz, registra la estampa cronológica y lo añade al listado de descarga inmediata.</w:t>
            </w:r>
          </w:p>
        </w:tc>
      </w:tr>
    </w:tbl>
    <w:p>
      <w:pPr>
        <w:spacing w:before="80" w:after="200" w:line="276" w:lineRule="auto"/>
      </w:pPr>
      <w:r>
        <w:rPr>
          <w:b/>
        </w:rPr>
        <w:t xml:space="preserve">Casos Límite / Edge Cases: </w:t>
      </w:r>
      <w:r>
        <w:t>Antes de cualquier restauración, el sistema crea automáticamente un pre_restore_checkpoint para evitar pérdidas accidentales.</w:t>
      </w:r>
    </w:p>
    <w:p>
      <w:pPr>
        <w:pStyle w:val="Heading2"/>
        <w:spacing w:before="240" w:after="80"/>
      </w:pPr>
      <w:r>
        <w:rPr>
          <w:color w:val="0284C7"/>
        </w:rPr>
        <w:t>RF-22: Interruptor de Módulos (Feature Flags) y Ventana de Mantenimiento Global</w:t>
      </w:r>
    </w:p>
    <w:p>
      <w:pPr>
        <w:spacing w:after="60"/>
      </w:pPr>
      <w:r>
        <w:rPr>
          <w:b/>
        </w:rPr>
        <w:t xml:space="preserve">Módulo: </w:t>
      </w:r>
      <w:r>
        <w:t xml:space="preserve">SuperAdmin   |   </w:t>
      </w:r>
      <w:r>
        <w:rPr>
          <w:b/>
        </w:rPr>
        <w:t xml:space="preserve">Prioridad: </w:t>
      </w:r>
      <w:r>
        <w:rPr>
          <w:b/>
          <w:color w:val="B91C1C"/>
        </w:rPr>
        <w:t>Alta</w:t>
      </w:r>
    </w:p>
    <w:p>
      <w:pPr>
        <w:spacing w:after="80" w:line="276" w:lineRule="auto"/>
      </w:pPr>
      <w:r>
        <w:t>Control dinámico de estado por módulo (Activo / Desactivado / Solo Lectura) y activación de ventana de mantenimiento global con mensaje personalizado y cronómetro regresivo (mantenimiento.json).</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que el SuperAdmin programa una ventana de mantenimiento de 30 minutos.</w:t>
              <w:br/>
            </w:r>
            <w:r>
              <w:rPr>
                <w:b/>
                <w:color w:val="0284C7"/>
                <w:sz w:val="19"/>
              </w:rPr>
              <w:t xml:space="preserve">• WHEN </w:t>
            </w:r>
            <w:r>
              <w:rPr>
                <w:sz w:val="19"/>
              </w:rPr>
              <w:t>un usuario convencional navega por el sitio.</w:t>
              <w:br/>
            </w:r>
            <w:r>
              <w:rPr>
                <w:b/>
                <w:color w:val="0284C7"/>
                <w:sz w:val="19"/>
              </w:rPr>
              <w:t xml:space="preserve">• THEN </w:t>
            </w:r>
            <w:r>
              <w:rPr>
                <w:sz w:val="19"/>
              </w:rPr>
              <w:t>FeatureFlagMiddleware intercepta la navegación y muestra core/Views/mantenimiento.php con el temporizador activo, permitiendo el bypass exclusivamente a sesiones de nivel 0.</w:t>
            </w:r>
          </w:p>
        </w:tc>
      </w:tr>
    </w:tbl>
    <w:p>
      <w:pPr>
        <w:spacing w:before="80" w:after="200" w:line="276" w:lineRule="auto"/>
      </w:pPr>
      <w:r>
        <w:rPr>
          <w:b/>
        </w:rPr>
        <w:t xml:space="preserve">Casos Límite / Edge Cases: </w:t>
      </w:r>
      <w:r>
        <w:t>Módulos en 'solo_lectura' permiten visualización pública pero bloquean envíos POST y formularios de edición.</w:t>
      </w:r>
    </w:p>
    <w:p>
      <w:pPr>
        <w:pStyle w:val="Heading2"/>
        <w:spacing w:before="240" w:after="80"/>
      </w:pPr>
      <w:r>
        <w:rPr>
          <w:color w:val="0284C7"/>
        </w:rPr>
        <w:t>RF-23: Visor de Auditoría Inmutable y Logs del Sistema</w:t>
      </w:r>
    </w:p>
    <w:p>
      <w:pPr>
        <w:spacing w:after="60"/>
      </w:pPr>
      <w:r>
        <w:rPr>
          <w:b/>
        </w:rPr>
        <w:t xml:space="preserve">Módulo: </w:t>
      </w:r>
      <w:r>
        <w:t xml:space="preserve">SuperAdmin   |   </w:t>
      </w:r>
      <w:r>
        <w:rPr>
          <w:b/>
        </w:rPr>
        <w:t xml:space="preserve">Prioridad: </w:t>
      </w:r>
      <w:r>
        <w:rPr>
          <w:b/>
          <w:color w:val="D97706"/>
        </w:rPr>
        <w:t>Media</w:t>
      </w:r>
    </w:p>
    <w:p>
      <w:pPr>
        <w:spacing w:after="80" w:line="276" w:lineRule="auto"/>
      </w:pPr>
      <w:r>
        <w:t>Consola interactiva para inspección de trazas en storage/logs/ y eventos de seguridad registrados por AuditLogger según estándar RFC-5424.</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Pr>
          <w:p>
            <w:pPr>
              <w:spacing w:after="40"/>
            </w:pPr>
            <w:r>
              <w:rPr>
                <w:b/>
                <w:color w:val="002244"/>
                <w:sz w:val="19"/>
              </w:rPr>
              <w:t>Criterios de Aceptación (Formato Given/When/Then):</w:t>
              <w:br/>
            </w:r>
            <w:r>
              <w:rPr>
                <w:b/>
                <w:color w:val="0284C7"/>
                <w:sz w:val="19"/>
              </w:rPr>
              <w:t xml:space="preserve">• GIVEN </w:t>
            </w:r>
            <w:r>
              <w:rPr>
                <w:sz w:val="19"/>
              </w:rPr>
              <w:t>el SuperAdmin auditando la plataforma.</w:t>
              <w:br/>
            </w:r>
            <w:r>
              <w:rPr>
                <w:b/>
                <w:color w:val="0284C7"/>
                <w:sz w:val="19"/>
              </w:rPr>
              <w:t xml:space="preserve">• WHEN </w:t>
            </w:r>
            <w:r>
              <w:rPr>
                <w:sz w:val="19"/>
              </w:rPr>
              <w:t>filtra los registros por severidad CRITICAL o DANGER en un rango de fechas.</w:t>
              <w:br/>
            </w:r>
            <w:r>
              <w:rPr>
                <w:b/>
                <w:color w:val="0284C7"/>
                <w:sz w:val="19"/>
              </w:rPr>
              <w:t xml:space="preserve">• THEN </w:t>
            </w:r>
            <w:r>
              <w:rPr>
                <w:sz w:val="19"/>
              </w:rPr>
              <w:t>el sistema presenta el detalle cronológico, IP de origen, usuario causante, módulo y permite la exportación a formato estructurado.</w:t>
            </w:r>
          </w:p>
        </w:tc>
      </w:tr>
    </w:tbl>
    <w:p>
      <w:pPr>
        <w:spacing w:before="80" w:after="200" w:line="276" w:lineRule="auto"/>
      </w:pPr>
      <w:r>
        <w:rPr>
          <w:b/>
        </w:rPr>
        <w:t xml:space="preserve">Casos Límite / Edge Cases: </w:t>
      </w:r>
      <w:r>
        <w:t>Rotación automática de logs para evitar archivos de texto desmedidos.</w:t>
      </w:r>
    </w:p>
    <w:p>
      <w:pPr>
        <w:pStyle w:val="Heading1"/>
        <w:spacing w:before="360" w:after="160"/>
      </w:pPr>
      <w:r>
        <w:rPr>
          <w:color w:val="002244"/>
        </w:rPr>
        <w:t>3. Matriz Resumen de Requisitos Funcionales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1296"/>
            <w:shd w:fill="002244"/>
            <w:tcMar>
              <w:top w:w="100" w:type="dxa"/>
              <w:bottom w:w="100" w:type="dxa"/>
              <w:left w:w="100" w:type="dxa"/>
              <w:right w:w="100" w:type="dxa"/>
            </w:tcMar>
          </w:tcPr>
          <w:p>
            <w:pPr>
              <w:spacing w:after="0"/>
            </w:pPr>
            <w:r>
              <w:rPr>
                <w:b/>
                <w:color w:val="FFFFFF"/>
                <w:sz w:val="20"/>
              </w:rPr>
              <w:t>ID</w:t>
            </w:r>
          </w:p>
        </w:tc>
        <w:tc>
          <w:tcPr>
            <w:tcW w:type="dxa" w:w="4608"/>
            <w:shd w:fill="002244"/>
            <w:tcMar>
              <w:top w:w="100" w:type="dxa"/>
              <w:bottom w:w="100" w:type="dxa"/>
              <w:left w:w="100" w:type="dxa"/>
              <w:right w:w="100" w:type="dxa"/>
            </w:tcMar>
          </w:tcPr>
          <w:p>
            <w:pPr>
              <w:spacing w:after="0"/>
            </w:pPr>
            <w:r>
              <w:rPr>
                <w:b/>
                <w:color w:val="FFFFFF"/>
                <w:sz w:val="20"/>
              </w:rPr>
              <w:t>Requisito Funcional</w:t>
            </w:r>
          </w:p>
        </w:tc>
        <w:tc>
          <w:tcPr>
            <w:tcW w:type="dxa" w:w="2016"/>
            <w:shd w:fill="002244"/>
            <w:tcMar>
              <w:top w:w="100" w:type="dxa"/>
              <w:bottom w:w="100" w:type="dxa"/>
              <w:left w:w="100" w:type="dxa"/>
              <w:right w:w="100" w:type="dxa"/>
            </w:tcMar>
          </w:tcPr>
          <w:p>
            <w:pPr>
              <w:spacing w:after="0"/>
            </w:pPr>
            <w:r>
              <w:rPr>
                <w:b/>
                <w:color w:val="FFFFFF"/>
                <w:sz w:val="20"/>
              </w:rPr>
              <w:t>Módulo</w:t>
            </w:r>
          </w:p>
        </w:tc>
        <w:tc>
          <w:tcPr>
            <w:tcW w:type="dxa" w:w="1440"/>
            <w:shd w:fill="002244"/>
            <w:tcMar>
              <w:top w:w="100" w:type="dxa"/>
              <w:bottom w:w="100" w:type="dxa"/>
              <w:left w:w="100" w:type="dxa"/>
              <w:right w:w="100" w:type="dxa"/>
            </w:tcMar>
          </w:tcPr>
          <w:p>
            <w:pPr>
              <w:spacing w:after="0"/>
            </w:pPr>
            <w:r>
              <w:rPr>
                <w:b/>
                <w:color w:val="FFFFFF"/>
                <w:sz w:val="20"/>
              </w:rPr>
              <w:t>Prioridad</w:t>
            </w:r>
          </w:p>
        </w:tc>
      </w:tr>
      <w:tr>
        <w:tc>
          <w:tcPr>
            <w:tcW w:type="dxa" w:w="1296"/>
            <w:shd w:fill="F8FAFC"/>
            <w:tcMar>
              <w:top w:w="70" w:type="dxa"/>
              <w:bottom w:w="70" w:type="dxa"/>
              <w:left w:w="100" w:type="dxa"/>
              <w:right w:w="100" w:type="dxa"/>
            </w:tcMar>
          </w:tcPr>
          <w:p>
            <w:pPr>
              <w:spacing w:after="0"/>
            </w:pPr>
            <w:r>
              <w:rPr>
                <w:b/>
                <w:sz w:val="19"/>
              </w:rPr>
              <w:t>RF-01</w:t>
            </w:r>
          </w:p>
        </w:tc>
        <w:tc>
          <w:tcPr>
            <w:tcW w:type="dxa" w:w="4608"/>
            <w:shd w:fill="F8FAFC"/>
            <w:tcMar>
              <w:top w:w="70" w:type="dxa"/>
              <w:bottom w:w="70" w:type="dxa"/>
              <w:left w:w="100" w:type="dxa"/>
              <w:right w:w="100" w:type="dxa"/>
            </w:tcMar>
          </w:tcPr>
          <w:p>
            <w:pPr>
              <w:spacing w:after="0"/>
            </w:pPr>
            <w:r>
              <w:rPr>
                <w:sz w:val="19"/>
              </w:rPr>
              <w:t>Cortafuegos de Aplicación Web (WAF) y Limitador de Tasa (Rate Limiting)</w:t>
            </w:r>
          </w:p>
        </w:tc>
        <w:tc>
          <w:tcPr>
            <w:tcW w:type="dxa" w:w="2016"/>
            <w:shd w:fill="F8FAFC"/>
            <w:tcMar>
              <w:top w:w="70" w:type="dxa"/>
              <w:bottom w:w="70" w:type="dxa"/>
              <w:left w:w="100" w:type="dxa"/>
              <w:right w:w="100" w:type="dxa"/>
            </w:tcMar>
          </w:tcPr>
          <w:p>
            <w:pPr>
              <w:spacing w:after="0"/>
            </w:pPr>
            <w:r>
              <w:rPr>
                <w:sz w:val="19"/>
              </w:rPr>
              <w:t>Core / Security</w:t>
            </w:r>
          </w:p>
        </w:tc>
        <w:tc>
          <w:tcPr>
            <w:tcW w:type="dxa" w:w="1440"/>
            <w:shd w:fill="F8FAFC"/>
            <w:tcMar>
              <w:top w:w="70" w:type="dxa"/>
              <w:bottom w:w="70" w:type="dxa"/>
              <w:left w:w="100" w:type="dxa"/>
              <w:right w:w="100" w:type="dxa"/>
            </w:tcMar>
          </w:tcPr>
          <w:p>
            <w:pPr>
              <w:spacing w:after="0"/>
            </w:pPr>
            <w:r>
              <w:rPr>
                <w:b/>
                <w:color w:val="B91C1C"/>
                <w:sz w:val="19"/>
              </w:rPr>
              <w:t>Alta</w:t>
            </w:r>
          </w:p>
        </w:tc>
      </w:tr>
      <w:tr>
        <w:tc>
          <w:tcPr>
            <w:tcW w:type="dxa" w:w="1296"/>
            <w:shd w:fill="FFFFFF"/>
            <w:tcMar>
              <w:top w:w="70" w:type="dxa"/>
              <w:bottom w:w="70" w:type="dxa"/>
              <w:left w:w="100" w:type="dxa"/>
              <w:right w:w="100" w:type="dxa"/>
            </w:tcMar>
          </w:tcPr>
          <w:p>
            <w:pPr>
              <w:spacing w:after="0"/>
            </w:pPr>
            <w:r>
              <w:rPr>
                <w:b/>
                <w:sz w:val="19"/>
              </w:rPr>
              <w:t>RF-02</w:t>
            </w:r>
          </w:p>
        </w:tc>
        <w:tc>
          <w:tcPr>
            <w:tcW w:type="dxa" w:w="4608"/>
            <w:shd w:fill="FFFFFF"/>
            <w:tcMar>
              <w:top w:w="70" w:type="dxa"/>
              <w:bottom w:w="70" w:type="dxa"/>
              <w:left w:w="100" w:type="dxa"/>
              <w:right w:w="100" w:type="dxa"/>
            </w:tcMar>
          </w:tcPr>
          <w:p>
            <w:pPr>
              <w:spacing w:after="0"/>
            </w:pPr>
            <w:r>
              <w:rPr>
                <w:sz w:val="19"/>
              </w:rPr>
              <w:t>Control de Acceso Basado en Roles Dinámico (RBAC) y Revocación de Sesión Inmediata</w:t>
            </w:r>
          </w:p>
        </w:tc>
        <w:tc>
          <w:tcPr>
            <w:tcW w:type="dxa" w:w="2016"/>
            <w:shd w:fill="FFFFFF"/>
            <w:tcMar>
              <w:top w:w="70" w:type="dxa"/>
              <w:bottom w:w="70" w:type="dxa"/>
              <w:left w:w="100" w:type="dxa"/>
              <w:right w:w="100" w:type="dxa"/>
            </w:tcMar>
          </w:tcPr>
          <w:p>
            <w:pPr>
              <w:spacing w:after="0"/>
            </w:pPr>
            <w:r>
              <w:rPr>
                <w:sz w:val="19"/>
              </w:rPr>
              <w:t>Core / Security</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RF-03</w:t>
            </w:r>
          </w:p>
        </w:tc>
        <w:tc>
          <w:tcPr>
            <w:tcW w:type="dxa" w:w="4608"/>
            <w:shd w:fill="F8FAFC"/>
            <w:tcMar>
              <w:top w:w="70" w:type="dxa"/>
              <w:bottom w:w="70" w:type="dxa"/>
              <w:left w:w="100" w:type="dxa"/>
              <w:right w:w="100" w:type="dxa"/>
            </w:tcMar>
          </w:tcPr>
          <w:p>
            <w:pPr>
              <w:spacing w:after="0"/>
            </w:pPr>
            <w:r>
              <w:rPr>
                <w:sz w:val="19"/>
              </w:rPr>
              <w:t>Modo de Contingencia y Aislamiento por Fallo de Base de Datos</w:t>
            </w:r>
          </w:p>
        </w:tc>
        <w:tc>
          <w:tcPr>
            <w:tcW w:type="dxa" w:w="2016"/>
            <w:shd w:fill="F8FAFC"/>
            <w:tcMar>
              <w:top w:w="70" w:type="dxa"/>
              <w:bottom w:w="70" w:type="dxa"/>
              <w:left w:w="100" w:type="dxa"/>
              <w:right w:w="100" w:type="dxa"/>
            </w:tcMar>
          </w:tcPr>
          <w:p>
            <w:pPr>
              <w:spacing w:after="0"/>
            </w:pPr>
            <w:r>
              <w:rPr>
                <w:sz w:val="19"/>
              </w:rPr>
              <w:t>Core / Database</w:t>
            </w:r>
          </w:p>
        </w:tc>
        <w:tc>
          <w:tcPr>
            <w:tcW w:type="dxa" w:w="1440"/>
            <w:shd w:fill="F8FAFC"/>
            <w:tcMar>
              <w:top w:w="70" w:type="dxa"/>
              <w:bottom w:w="70" w:type="dxa"/>
              <w:left w:w="100" w:type="dxa"/>
              <w:right w:w="100" w:type="dxa"/>
            </w:tcMar>
          </w:tcPr>
          <w:p>
            <w:pPr>
              <w:spacing w:after="0"/>
            </w:pPr>
            <w:r>
              <w:rPr>
                <w:b/>
                <w:color w:val="B91C1C"/>
                <w:sz w:val="19"/>
              </w:rPr>
              <w:t>Alta</w:t>
            </w:r>
          </w:p>
        </w:tc>
      </w:tr>
      <w:tr>
        <w:tc>
          <w:tcPr>
            <w:tcW w:type="dxa" w:w="1296"/>
            <w:shd w:fill="FFFFFF"/>
            <w:tcMar>
              <w:top w:w="70" w:type="dxa"/>
              <w:bottom w:w="70" w:type="dxa"/>
              <w:left w:w="100" w:type="dxa"/>
              <w:right w:w="100" w:type="dxa"/>
            </w:tcMar>
          </w:tcPr>
          <w:p>
            <w:pPr>
              <w:spacing w:after="0"/>
            </w:pPr>
            <w:r>
              <w:rPr>
                <w:b/>
                <w:sz w:val="19"/>
              </w:rPr>
              <w:t>RF-04</w:t>
            </w:r>
          </w:p>
        </w:tc>
        <w:tc>
          <w:tcPr>
            <w:tcW w:type="dxa" w:w="4608"/>
            <w:shd w:fill="FFFFFF"/>
            <w:tcMar>
              <w:top w:w="70" w:type="dxa"/>
              <w:bottom w:w="70" w:type="dxa"/>
              <w:left w:w="100" w:type="dxa"/>
              <w:right w:w="100" w:type="dxa"/>
            </w:tcMar>
          </w:tcPr>
          <w:p>
            <w:pPr>
              <w:spacing w:after="0"/>
            </w:pPr>
            <w:r>
              <w:rPr>
                <w:sz w:val="19"/>
              </w:rPr>
              <w:t>Autenticación con Cédula Venezolana, Captcha y Bloqueo de Intentos</w:t>
            </w:r>
          </w:p>
        </w:tc>
        <w:tc>
          <w:tcPr>
            <w:tcW w:type="dxa" w:w="2016"/>
            <w:shd w:fill="FFFFFF"/>
            <w:tcMar>
              <w:top w:w="70" w:type="dxa"/>
              <w:bottom w:w="70" w:type="dxa"/>
              <w:left w:w="100" w:type="dxa"/>
              <w:right w:w="100" w:type="dxa"/>
            </w:tcMar>
          </w:tcPr>
          <w:p>
            <w:pPr>
              <w:spacing w:after="0"/>
            </w:pPr>
            <w:r>
              <w:rPr>
                <w:sz w:val="19"/>
              </w:rPr>
              <w:t>Autenticación</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RF-05</w:t>
            </w:r>
          </w:p>
        </w:tc>
        <w:tc>
          <w:tcPr>
            <w:tcW w:type="dxa" w:w="4608"/>
            <w:shd w:fill="F8FAFC"/>
            <w:tcMar>
              <w:top w:w="70" w:type="dxa"/>
              <w:bottom w:w="70" w:type="dxa"/>
              <w:left w:w="100" w:type="dxa"/>
              <w:right w:w="100" w:type="dxa"/>
            </w:tcMar>
          </w:tcPr>
          <w:p>
            <w:pPr>
              <w:spacing w:after="0"/>
            </w:pPr>
            <w:r>
              <w:rPr>
                <w:sz w:val="19"/>
              </w:rPr>
              <w:t>Registro de Nuevos Usuarios con Confirmación de Correo (Double Opt-In)</w:t>
            </w:r>
          </w:p>
        </w:tc>
        <w:tc>
          <w:tcPr>
            <w:tcW w:type="dxa" w:w="2016"/>
            <w:shd w:fill="F8FAFC"/>
            <w:tcMar>
              <w:top w:w="70" w:type="dxa"/>
              <w:bottom w:w="70" w:type="dxa"/>
              <w:left w:w="100" w:type="dxa"/>
              <w:right w:w="100" w:type="dxa"/>
            </w:tcMar>
          </w:tcPr>
          <w:p>
            <w:pPr>
              <w:spacing w:after="0"/>
            </w:pPr>
            <w:r>
              <w:rPr>
                <w:sz w:val="19"/>
              </w:rPr>
              <w:t>Autenticación</w:t>
            </w:r>
          </w:p>
        </w:tc>
        <w:tc>
          <w:tcPr>
            <w:tcW w:type="dxa" w:w="1440"/>
            <w:shd w:fill="F8FAFC"/>
            <w:tcMar>
              <w:top w:w="70" w:type="dxa"/>
              <w:bottom w:w="70" w:type="dxa"/>
              <w:left w:w="100" w:type="dxa"/>
              <w:right w:w="100" w:type="dxa"/>
            </w:tcMar>
          </w:tcPr>
          <w:p>
            <w:pPr>
              <w:spacing w:after="0"/>
            </w:pPr>
            <w:r>
              <w:rPr>
                <w:b/>
                <w:color w:val="D97706"/>
                <w:sz w:val="19"/>
              </w:rPr>
              <w:t>Media</w:t>
            </w:r>
          </w:p>
        </w:tc>
      </w:tr>
      <w:tr>
        <w:tc>
          <w:tcPr>
            <w:tcW w:type="dxa" w:w="1296"/>
            <w:shd w:fill="FFFFFF"/>
            <w:tcMar>
              <w:top w:w="70" w:type="dxa"/>
              <w:bottom w:w="70" w:type="dxa"/>
              <w:left w:w="100" w:type="dxa"/>
              <w:right w:w="100" w:type="dxa"/>
            </w:tcMar>
          </w:tcPr>
          <w:p>
            <w:pPr>
              <w:spacing w:after="0"/>
            </w:pPr>
            <w:r>
              <w:rPr>
                <w:b/>
                <w:sz w:val="19"/>
              </w:rPr>
              <w:t>RF-06</w:t>
            </w:r>
          </w:p>
        </w:tc>
        <w:tc>
          <w:tcPr>
            <w:tcW w:type="dxa" w:w="4608"/>
            <w:shd w:fill="FFFFFF"/>
            <w:tcMar>
              <w:top w:w="70" w:type="dxa"/>
              <w:bottom w:w="70" w:type="dxa"/>
              <w:left w:w="100" w:type="dxa"/>
              <w:right w:w="100" w:type="dxa"/>
            </w:tcMar>
          </w:tcPr>
          <w:p>
            <w:pPr>
              <w:spacing w:after="0"/>
            </w:pPr>
            <w:r>
              <w:rPr>
                <w:sz w:val="19"/>
              </w:rPr>
              <w:t>Recuperación Criptográfica de Contraseña con Caducidad Estricta</w:t>
            </w:r>
          </w:p>
        </w:tc>
        <w:tc>
          <w:tcPr>
            <w:tcW w:type="dxa" w:w="2016"/>
            <w:shd w:fill="FFFFFF"/>
            <w:tcMar>
              <w:top w:w="70" w:type="dxa"/>
              <w:bottom w:w="70" w:type="dxa"/>
              <w:left w:w="100" w:type="dxa"/>
              <w:right w:w="100" w:type="dxa"/>
            </w:tcMar>
          </w:tcPr>
          <w:p>
            <w:pPr>
              <w:spacing w:after="0"/>
            </w:pPr>
            <w:r>
              <w:rPr>
                <w:sz w:val="19"/>
              </w:rPr>
              <w:t>Autenticación</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RF-07</w:t>
            </w:r>
          </w:p>
        </w:tc>
        <w:tc>
          <w:tcPr>
            <w:tcW w:type="dxa" w:w="4608"/>
            <w:shd w:fill="F8FAFC"/>
            <w:tcMar>
              <w:top w:w="70" w:type="dxa"/>
              <w:bottom w:w="70" w:type="dxa"/>
              <w:left w:w="100" w:type="dxa"/>
              <w:right w:w="100" w:type="dxa"/>
            </w:tcMar>
          </w:tcPr>
          <w:p>
            <w:pPr>
              <w:spacing w:after="0"/>
            </w:pPr>
            <w:r>
              <w:rPr>
                <w:sz w:val="19"/>
              </w:rPr>
              <w:t>Buscador Unificado y Filtrado Multifacético de Proyectos PST</w:t>
            </w:r>
          </w:p>
        </w:tc>
        <w:tc>
          <w:tcPr>
            <w:tcW w:type="dxa" w:w="2016"/>
            <w:shd w:fill="F8FAFC"/>
            <w:tcMar>
              <w:top w:w="70" w:type="dxa"/>
              <w:bottom w:w="70" w:type="dxa"/>
              <w:left w:w="100" w:type="dxa"/>
              <w:right w:w="100" w:type="dxa"/>
            </w:tcMar>
          </w:tcPr>
          <w:p>
            <w:pPr>
              <w:spacing w:after="0"/>
            </w:pPr>
            <w:r>
              <w:rPr>
                <w:sz w:val="19"/>
              </w:rPr>
              <w:t>Repositorio PST</w:t>
            </w:r>
          </w:p>
        </w:tc>
        <w:tc>
          <w:tcPr>
            <w:tcW w:type="dxa" w:w="1440"/>
            <w:shd w:fill="F8FAFC"/>
            <w:tcMar>
              <w:top w:w="70" w:type="dxa"/>
              <w:bottom w:w="70" w:type="dxa"/>
              <w:left w:w="100" w:type="dxa"/>
              <w:right w:w="100" w:type="dxa"/>
            </w:tcMar>
          </w:tcPr>
          <w:p>
            <w:pPr>
              <w:spacing w:after="0"/>
            </w:pPr>
            <w:r>
              <w:rPr>
                <w:b/>
                <w:color w:val="B91C1C"/>
                <w:sz w:val="19"/>
              </w:rPr>
              <w:t>Alta</w:t>
            </w:r>
          </w:p>
        </w:tc>
      </w:tr>
      <w:tr>
        <w:tc>
          <w:tcPr>
            <w:tcW w:type="dxa" w:w="1296"/>
            <w:shd w:fill="FFFFFF"/>
            <w:tcMar>
              <w:top w:w="70" w:type="dxa"/>
              <w:bottom w:w="70" w:type="dxa"/>
              <w:left w:w="100" w:type="dxa"/>
              <w:right w:w="100" w:type="dxa"/>
            </w:tcMar>
          </w:tcPr>
          <w:p>
            <w:pPr>
              <w:spacing w:after="0"/>
            </w:pPr>
            <w:r>
              <w:rPr>
                <w:b/>
                <w:sz w:val="19"/>
              </w:rPr>
              <w:t>RF-08</w:t>
            </w:r>
          </w:p>
        </w:tc>
        <w:tc>
          <w:tcPr>
            <w:tcW w:type="dxa" w:w="4608"/>
            <w:shd w:fill="FFFFFF"/>
            <w:tcMar>
              <w:top w:w="70" w:type="dxa"/>
              <w:bottom w:w="70" w:type="dxa"/>
              <w:left w:w="100" w:type="dxa"/>
              <w:right w:w="100" w:type="dxa"/>
            </w:tcMar>
          </w:tcPr>
          <w:p>
            <w:pPr>
              <w:spacing w:after="0"/>
            </w:pPr>
            <w:r>
              <w:rPr>
                <w:sz w:val="19"/>
              </w:rPr>
              <w:t>Ingesta Documental con Extracción Automatizada (DOCX / PDF)</w:t>
            </w:r>
          </w:p>
        </w:tc>
        <w:tc>
          <w:tcPr>
            <w:tcW w:type="dxa" w:w="2016"/>
            <w:shd w:fill="FFFFFF"/>
            <w:tcMar>
              <w:top w:w="70" w:type="dxa"/>
              <w:bottom w:w="70" w:type="dxa"/>
              <w:left w:w="100" w:type="dxa"/>
              <w:right w:w="100" w:type="dxa"/>
            </w:tcMar>
          </w:tcPr>
          <w:p>
            <w:pPr>
              <w:spacing w:after="0"/>
            </w:pPr>
            <w:r>
              <w:rPr>
                <w:sz w:val="19"/>
              </w:rPr>
              <w:t>Repositorio PST</w:t>
            </w:r>
          </w:p>
        </w:tc>
        <w:tc>
          <w:tcPr>
            <w:tcW w:type="dxa" w:w="1440"/>
            <w:shd w:fill="FFFFFF"/>
            <w:tcMar>
              <w:top w:w="70" w:type="dxa"/>
              <w:bottom w:w="70" w:type="dxa"/>
              <w:left w:w="100" w:type="dxa"/>
              <w:right w:w="100" w:type="dxa"/>
            </w:tcMar>
          </w:tcPr>
          <w:p>
            <w:pPr>
              <w:spacing w:after="0"/>
            </w:pPr>
            <w:r>
              <w:rPr>
                <w:b/>
                <w:color w:val="D97706"/>
                <w:sz w:val="19"/>
              </w:rPr>
              <w:t>Media</w:t>
            </w:r>
          </w:p>
        </w:tc>
      </w:tr>
      <w:tr>
        <w:tc>
          <w:tcPr>
            <w:tcW w:type="dxa" w:w="1296"/>
            <w:shd w:fill="F8FAFC"/>
            <w:tcMar>
              <w:top w:w="70" w:type="dxa"/>
              <w:bottom w:w="70" w:type="dxa"/>
              <w:left w:w="100" w:type="dxa"/>
              <w:right w:w="100" w:type="dxa"/>
            </w:tcMar>
          </w:tcPr>
          <w:p>
            <w:pPr>
              <w:spacing w:after="0"/>
            </w:pPr>
            <w:r>
              <w:rPr>
                <w:b/>
                <w:sz w:val="19"/>
              </w:rPr>
              <w:t>RF-09</w:t>
            </w:r>
          </w:p>
        </w:tc>
        <w:tc>
          <w:tcPr>
            <w:tcW w:type="dxa" w:w="4608"/>
            <w:shd w:fill="F8FAFC"/>
            <w:tcMar>
              <w:top w:w="70" w:type="dxa"/>
              <w:bottom w:w="70" w:type="dxa"/>
              <w:left w:w="100" w:type="dxa"/>
              <w:right w:w="100" w:type="dxa"/>
            </w:tcMar>
          </w:tcPr>
          <w:p>
            <w:pPr>
              <w:spacing w:after="0"/>
            </w:pPr>
            <w:r>
              <w:rPr>
                <w:sz w:val="19"/>
              </w:rPr>
              <w:t>Clasificación Asistida por Red Neuronal y Búsqueda Semántica Vectorial</w:t>
            </w:r>
          </w:p>
        </w:tc>
        <w:tc>
          <w:tcPr>
            <w:tcW w:type="dxa" w:w="2016"/>
            <w:shd w:fill="F8FAFC"/>
            <w:tcMar>
              <w:top w:w="70" w:type="dxa"/>
              <w:bottom w:w="70" w:type="dxa"/>
              <w:left w:w="100" w:type="dxa"/>
              <w:right w:w="100" w:type="dxa"/>
            </w:tcMar>
          </w:tcPr>
          <w:p>
            <w:pPr>
              <w:spacing w:after="0"/>
            </w:pPr>
            <w:r>
              <w:rPr>
                <w:sz w:val="19"/>
              </w:rPr>
              <w:t>Repositorio PST</w:t>
            </w:r>
          </w:p>
        </w:tc>
        <w:tc>
          <w:tcPr>
            <w:tcW w:type="dxa" w:w="1440"/>
            <w:shd w:fill="F8FAFC"/>
            <w:tcMar>
              <w:top w:w="70" w:type="dxa"/>
              <w:bottom w:w="70" w:type="dxa"/>
              <w:left w:w="100" w:type="dxa"/>
              <w:right w:w="100" w:type="dxa"/>
            </w:tcMar>
          </w:tcPr>
          <w:p>
            <w:pPr>
              <w:spacing w:after="0"/>
            </w:pPr>
            <w:r>
              <w:rPr>
                <w:b/>
                <w:color w:val="D97706"/>
                <w:sz w:val="19"/>
              </w:rPr>
              <w:t>Media</w:t>
            </w:r>
          </w:p>
        </w:tc>
      </w:tr>
      <w:tr>
        <w:tc>
          <w:tcPr>
            <w:tcW w:type="dxa" w:w="1296"/>
            <w:shd w:fill="FFFFFF"/>
            <w:tcMar>
              <w:top w:w="70" w:type="dxa"/>
              <w:bottom w:w="70" w:type="dxa"/>
              <w:left w:w="100" w:type="dxa"/>
              <w:right w:w="100" w:type="dxa"/>
            </w:tcMar>
          </w:tcPr>
          <w:p>
            <w:pPr>
              <w:spacing w:after="0"/>
            </w:pPr>
            <w:r>
              <w:rPr>
                <w:b/>
                <w:sz w:val="19"/>
              </w:rPr>
              <w:t>RF-10</w:t>
            </w:r>
          </w:p>
        </w:tc>
        <w:tc>
          <w:tcPr>
            <w:tcW w:type="dxa" w:w="4608"/>
            <w:shd w:fill="FFFFFF"/>
            <w:tcMar>
              <w:top w:w="70" w:type="dxa"/>
              <w:bottom w:w="70" w:type="dxa"/>
              <w:left w:w="100" w:type="dxa"/>
              <w:right w:w="100" w:type="dxa"/>
            </w:tcMar>
          </w:tcPr>
          <w:p>
            <w:pPr>
              <w:spacing w:after="0"/>
            </w:pPr>
            <w:r>
              <w:rPr>
                <w:sz w:val="19"/>
              </w:rPr>
              <w:t>Ficha Técnica Única, Visor Documental Integrado y Contador de Visitas</w:t>
            </w:r>
          </w:p>
        </w:tc>
        <w:tc>
          <w:tcPr>
            <w:tcW w:type="dxa" w:w="2016"/>
            <w:shd w:fill="FFFFFF"/>
            <w:tcMar>
              <w:top w:w="70" w:type="dxa"/>
              <w:bottom w:w="70" w:type="dxa"/>
              <w:left w:w="100" w:type="dxa"/>
              <w:right w:w="100" w:type="dxa"/>
            </w:tcMar>
          </w:tcPr>
          <w:p>
            <w:pPr>
              <w:spacing w:after="0"/>
            </w:pPr>
            <w:r>
              <w:rPr>
                <w:sz w:val="19"/>
              </w:rPr>
              <w:t>Repositorio PST</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RF-11</w:t>
            </w:r>
          </w:p>
        </w:tc>
        <w:tc>
          <w:tcPr>
            <w:tcW w:type="dxa" w:w="4608"/>
            <w:shd w:fill="F8FAFC"/>
            <w:tcMar>
              <w:top w:w="70" w:type="dxa"/>
              <w:bottom w:w="70" w:type="dxa"/>
              <w:left w:w="100" w:type="dxa"/>
              <w:right w:w="100" w:type="dxa"/>
            </w:tcMar>
          </w:tcPr>
          <w:p>
            <w:pPr>
              <w:spacing w:after="0"/>
            </w:pPr>
            <w:r>
              <w:rPr>
                <w:sz w:val="19"/>
              </w:rPr>
              <w:t>Cartelera Pública de Proyectos I+D y Directorio de Investigadores</w:t>
            </w:r>
          </w:p>
        </w:tc>
        <w:tc>
          <w:tcPr>
            <w:tcW w:type="dxa" w:w="2016"/>
            <w:shd w:fill="F8FAFC"/>
            <w:tcMar>
              <w:top w:w="70" w:type="dxa"/>
              <w:bottom w:w="70" w:type="dxa"/>
              <w:left w:w="100" w:type="dxa"/>
              <w:right w:w="100" w:type="dxa"/>
            </w:tcMar>
          </w:tcPr>
          <w:p>
            <w:pPr>
              <w:spacing w:after="0"/>
            </w:pPr>
            <w:r>
              <w:rPr>
                <w:sz w:val="19"/>
              </w:rPr>
              <w:t>Investigaciones</w:t>
            </w:r>
          </w:p>
        </w:tc>
        <w:tc>
          <w:tcPr>
            <w:tcW w:type="dxa" w:w="1440"/>
            <w:shd w:fill="F8FAFC"/>
            <w:tcMar>
              <w:top w:w="70" w:type="dxa"/>
              <w:bottom w:w="70" w:type="dxa"/>
              <w:left w:w="100" w:type="dxa"/>
              <w:right w:w="100" w:type="dxa"/>
            </w:tcMar>
          </w:tcPr>
          <w:p>
            <w:pPr>
              <w:spacing w:after="0"/>
            </w:pPr>
            <w:r>
              <w:rPr>
                <w:b/>
                <w:color w:val="D97706"/>
                <w:sz w:val="19"/>
              </w:rPr>
              <w:t>Media</w:t>
            </w:r>
          </w:p>
        </w:tc>
      </w:tr>
      <w:tr>
        <w:tc>
          <w:tcPr>
            <w:tcW w:type="dxa" w:w="1296"/>
            <w:shd w:fill="FFFFFF"/>
            <w:tcMar>
              <w:top w:w="70" w:type="dxa"/>
              <w:bottom w:w="70" w:type="dxa"/>
              <w:left w:w="100" w:type="dxa"/>
              <w:right w:w="100" w:type="dxa"/>
            </w:tcMar>
          </w:tcPr>
          <w:p>
            <w:pPr>
              <w:spacing w:after="0"/>
            </w:pPr>
            <w:r>
              <w:rPr>
                <w:b/>
                <w:sz w:val="19"/>
              </w:rPr>
              <w:t>RF-12</w:t>
            </w:r>
          </w:p>
        </w:tc>
        <w:tc>
          <w:tcPr>
            <w:tcW w:type="dxa" w:w="4608"/>
            <w:shd w:fill="FFFFFF"/>
            <w:tcMar>
              <w:top w:w="70" w:type="dxa"/>
              <w:bottom w:w="70" w:type="dxa"/>
              <w:left w:w="100" w:type="dxa"/>
              <w:right w:w="100" w:type="dxa"/>
            </w:tcMar>
          </w:tcPr>
          <w:p>
            <w:pPr>
              <w:spacing w:after="0"/>
            </w:pPr>
            <w:r>
              <w:rPr>
                <w:sz w:val="19"/>
              </w:rPr>
              <w:t>Sistema de Postulación de Estudiantes y Colaboradores</w:t>
            </w:r>
          </w:p>
        </w:tc>
        <w:tc>
          <w:tcPr>
            <w:tcW w:type="dxa" w:w="2016"/>
            <w:shd w:fill="FFFFFF"/>
            <w:tcMar>
              <w:top w:w="70" w:type="dxa"/>
              <w:bottom w:w="70" w:type="dxa"/>
              <w:left w:w="100" w:type="dxa"/>
              <w:right w:w="100" w:type="dxa"/>
            </w:tcMar>
          </w:tcPr>
          <w:p>
            <w:pPr>
              <w:spacing w:after="0"/>
            </w:pPr>
            <w:r>
              <w:rPr>
                <w:sz w:val="19"/>
              </w:rPr>
              <w:t>Investigaciones</w:t>
            </w:r>
          </w:p>
        </w:tc>
        <w:tc>
          <w:tcPr>
            <w:tcW w:type="dxa" w:w="1440"/>
            <w:shd w:fill="FFFFFF"/>
            <w:tcMar>
              <w:top w:w="70" w:type="dxa"/>
              <w:bottom w:w="70" w:type="dxa"/>
              <w:left w:w="100" w:type="dxa"/>
              <w:right w:w="100" w:type="dxa"/>
            </w:tcMar>
          </w:tcPr>
          <w:p>
            <w:pPr>
              <w:spacing w:after="0"/>
            </w:pPr>
            <w:r>
              <w:rPr>
                <w:b/>
                <w:color w:val="D97706"/>
                <w:sz w:val="19"/>
              </w:rPr>
              <w:t>Media</w:t>
            </w:r>
          </w:p>
        </w:tc>
      </w:tr>
      <w:tr>
        <w:tc>
          <w:tcPr>
            <w:tcW w:type="dxa" w:w="1296"/>
            <w:shd w:fill="F8FAFC"/>
            <w:tcMar>
              <w:top w:w="70" w:type="dxa"/>
              <w:bottom w:w="70" w:type="dxa"/>
              <w:left w:w="100" w:type="dxa"/>
              <w:right w:w="100" w:type="dxa"/>
            </w:tcMar>
          </w:tcPr>
          <w:p>
            <w:pPr>
              <w:spacing w:after="0"/>
            </w:pPr>
            <w:r>
              <w:rPr>
                <w:b/>
                <w:sz w:val="19"/>
              </w:rPr>
              <w:t>RF-13</w:t>
            </w:r>
          </w:p>
        </w:tc>
        <w:tc>
          <w:tcPr>
            <w:tcW w:type="dxa" w:w="4608"/>
            <w:shd w:fill="F8FAFC"/>
            <w:tcMar>
              <w:top w:w="70" w:type="dxa"/>
              <w:bottom w:w="70" w:type="dxa"/>
              <w:left w:w="100" w:type="dxa"/>
              <w:right w:w="100" w:type="dxa"/>
            </w:tcMar>
          </w:tcPr>
          <w:p>
            <w:pPr>
              <w:spacing w:after="0"/>
            </w:pPr>
            <w:r>
              <w:rPr>
                <w:sz w:val="19"/>
              </w:rPr>
              <w:t>Panel de Arbitraje y Aprobación Administrativa de Proyectos</w:t>
            </w:r>
          </w:p>
        </w:tc>
        <w:tc>
          <w:tcPr>
            <w:tcW w:type="dxa" w:w="2016"/>
            <w:shd w:fill="F8FAFC"/>
            <w:tcMar>
              <w:top w:w="70" w:type="dxa"/>
              <w:bottom w:w="70" w:type="dxa"/>
              <w:left w:w="100" w:type="dxa"/>
              <w:right w:w="100" w:type="dxa"/>
            </w:tcMar>
          </w:tcPr>
          <w:p>
            <w:pPr>
              <w:spacing w:after="0"/>
            </w:pPr>
            <w:r>
              <w:rPr>
                <w:sz w:val="19"/>
              </w:rPr>
              <w:t>Investigaciones</w:t>
            </w:r>
          </w:p>
        </w:tc>
        <w:tc>
          <w:tcPr>
            <w:tcW w:type="dxa" w:w="1440"/>
            <w:shd w:fill="F8FAFC"/>
            <w:tcMar>
              <w:top w:w="70" w:type="dxa"/>
              <w:bottom w:w="70" w:type="dxa"/>
              <w:left w:w="100" w:type="dxa"/>
              <w:right w:w="100" w:type="dxa"/>
            </w:tcMar>
          </w:tcPr>
          <w:p>
            <w:pPr>
              <w:spacing w:after="0"/>
            </w:pPr>
            <w:r>
              <w:rPr>
                <w:b/>
                <w:color w:val="B91C1C"/>
                <w:sz w:val="19"/>
              </w:rPr>
              <w:t>Alta</w:t>
            </w:r>
          </w:p>
        </w:tc>
      </w:tr>
      <w:tr>
        <w:tc>
          <w:tcPr>
            <w:tcW w:type="dxa" w:w="1296"/>
            <w:shd w:fill="FFFFFF"/>
            <w:tcMar>
              <w:top w:w="70" w:type="dxa"/>
              <w:bottom w:w="70" w:type="dxa"/>
              <w:left w:w="100" w:type="dxa"/>
              <w:right w:w="100" w:type="dxa"/>
            </w:tcMar>
          </w:tcPr>
          <w:p>
            <w:pPr>
              <w:spacing w:after="0"/>
            </w:pPr>
            <w:r>
              <w:rPr>
                <w:b/>
                <w:sz w:val="19"/>
              </w:rPr>
              <w:t>RF-14</w:t>
            </w:r>
          </w:p>
        </w:tc>
        <w:tc>
          <w:tcPr>
            <w:tcW w:type="dxa" w:w="4608"/>
            <w:shd w:fill="FFFFFF"/>
            <w:tcMar>
              <w:top w:w="70" w:type="dxa"/>
              <w:bottom w:w="70" w:type="dxa"/>
              <w:left w:w="100" w:type="dxa"/>
              <w:right w:w="100" w:type="dxa"/>
            </w:tcMar>
          </w:tcPr>
          <w:p>
            <w:pPr>
              <w:spacing w:after="0"/>
            </w:pPr>
            <w:r>
              <w:rPr>
                <w:sz w:val="19"/>
              </w:rPr>
              <w:t>Publicación, Edición y Flujo Editorial de Artículos Científicos</w:t>
            </w:r>
          </w:p>
        </w:tc>
        <w:tc>
          <w:tcPr>
            <w:tcW w:type="dxa" w:w="2016"/>
            <w:shd w:fill="FFFFFF"/>
            <w:tcMar>
              <w:top w:w="70" w:type="dxa"/>
              <w:bottom w:w="70" w:type="dxa"/>
              <w:left w:w="100" w:type="dxa"/>
              <w:right w:w="100" w:type="dxa"/>
            </w:tcMar>
          </w:tcPr>
          <w:p>
            <w:pPr>
              <w:spacing w:after="0"/>
            </w:pPr>
            <w:r>
              <w:rPr>
                <w:sz w:val="19"/>
              </w:rPr>
              <w:t>Artículos</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RF-15</w:t>
            </w:r>
          </w:p>
        </w:tc>
        <w:tc>
          <w:tcPr>
            <w:tcW w:type="dxa" w:w="4608"/>
            <w:shd w:fill="F8FAFC"/>
            <w:tcMar>
              <w:top w:w="70" w:type="dxa"/>
              <w:bottom w:w="70" w:type="dxa"/>
              <w:left w:w="100" w:type="dxa"/>
              <w:right w:w="100" w:type="dxa"/>
            </w:tcMar>
          </w:tcPr>
          <w:p>
            <w:pPr>
              <w:spacing w:after="0"/>
            </w:pPr>
            <w:r>
              <w:rPr>
                <w:sz w:val="19"/>
              </w:rPr>
              <w:t>Visor de Lectura Inmersivo y Catálogo Taxonómico de la Revista</w:t>
            </w:r>
          </w:p>
        </w:tc>
        <w:tc>
          <w:tcPr>
            <w:tcW w:type="dxa" w:w="2016"/>
            <w:shd w:fill="F8FAFC"/>
            <w:tcMar>
              <w:top w:w="70" w:type="dxa"/>
              <w:bottom w:w="70" w:type="dxa"/>
              <w:left w:w="100" w:type="dxa"/>
              <w:right w:w="100" w:type="dxa"/>
            </w:tcMar>
          </w:tcPr>
          <w:p>
            <w:pPr>
              <w:spacing w:after="0"/>
            </w:pPr>
            <w:r>
              <w:rPr>
                <w:sz w:val="19"/>
              </w:rPr>
              <w:t>Artículos</w:t>
            </w:r>
          </w:p>
        </w:tc>
        <w:tc>
          <w:tcPr>
            <w:tcW w:type="dxa" w:w="1440"/>
            <w:shd w:fill="F8FAFC"/>
            <w:tcMar>
              <w:top w:w="70" w:type="dxa"/>
              <w:bottom w:w="70" w:type="dxa"/>
              <w:left w:w="100" w:type="dxa"/>
              <w:right w:w="100" w:type="dxa"/>
            </w:tcMar>
          </w:tcPr>
          <w:p>
            <w:pPr>
              <w:spacing w:after="0"/>
            </w:pPr>
            <w:r>
              <w:rPr>
                <w:b/>
                <w:color w:val="D97706"/>
                <w:sz w:val="19"/>
              </w:rPr>
              <w:t>Media</w:t>
            </w:r>
          </w:p>
        </w:tc>
      </w:tr>
      <w:tr>
        <w:tc>
          <w:tcPr>
            <w:tcW w:type="dxa" w:w="1296"/>
            <w:shd w:fill="FFFFFF"/>
            <w:tcMar>
              <w:top w:w="70" w:type="dxa"/>
              <w:bottom w:w="70" w:type="dxa"/>
              <w:left w:w="100" w:type="dxa"/>
              <w:right w:w="100" w:type="dxa"/>
            </w:tcMar>
          </w:tcPr>
          <w:p>
            <w:pPr>
              <w:spacing w:after="0"/>
            </w:pPr>
            <w:r>
              <w:rPr>
                <w:b/>
                <w:sz w:val="19"/>
              </w:rPr>
              <w:t>RF-16</w:t>
            </w:r>
          </w:p>
        </w:tc>
        <w:tc>
          <w:tcPr>
            <w:tcW w:type="dxa" w:w="4608"/>
            <w:shd w:fill="FFFFFF"/>
            <w:tcMar>
              <w:top w:w="70" w:type="dxa"/>
              <w:bottom w:w="70" w:type="dxa"/>
              <w:left w:w="100" w:type="dxa"/>
              <w:right w:w="100" w:type="dxa"/>
            </w:tcMar>
          </w:tcPr>
          <w:p>
            <w:pPr>
              <w:spacing w:after="0"/>
            </w:pPr>
            <w:r>
              <w:rPr>
                <w:sz w:val="19"/>
              </w:rPr>
              <w:t>Administración y Publicación de Oferta Formativa y Cursos</w:t>
            </w:r>
          </w:p>
        </w:tc>
        <w:tc>
          <w:tcPr>
            <w:tcW w:type="dxa" w:w="2016"/>
            <w:shd w:fill="FFFFFF"/>
            <w:tcMar>
              <w:top w:w="70" w:type="dxa"/>
              <w:bottom w:w="70" w:type="dxa"/>
              <w:left w:w="100" w:type="dxa"/>
              <w:right w:w="100" w:type="dxa"/>
            </w:tcMar>
          </w:tcPr>
          <w:p>
            <w:pPr>
              <w:spacing w:after="0"/>
            </w:pPr>
            <w:r>
              <w:rPr>
                <w:sz w:val="19"/>
              </w:rPr>
              <w:t>Cursos</w:t>
            </w:r>
          </w:p>
        </w:tc>
        <w:tc>
          <w:tcPr>
            <w:tcW w:type="dxa" w:w="1440"/>
            <w:shd w:fill="FFFFFF"/>
            <w:tcMar>
              <w:top w:w="70" w:type="dxa"/>
              <w:bottom w:w="70" w:type="dxa"/>
              <w:left w:w="100" w:type="dxa"/>
              <w:right w:w="100" w:type="dxa"/>
            </w:tcMar>
          </w:tcPr>
          <w:p>
            <w:pPr>
              <w:spacing w:after="0"/>
            </w:pPr>
            <w:r>
              <w:rPr>
                <w:b/>
                <w:color w:val="D97706"/>
                <w:sz w:val="19"/>
              </w:rPr>
              <w:t>Media</w:t>
            </w:r>
          </w:p>
        </w:tc>
      </w:tr>
      <w:tr>
        <w:tc>
          <w:tcPr>
            <w:tcW w:type="dxa" w:w="1296"/>
            <w:shd w:fill="F8FAFC"/>
            <w:tcMar>
              <w:top w:w="70" w:type="dxa"/>
              <w:bottom w:w="70" w:type="dxa"/>
              <w:left w:w="100" w:type="dxa"/>
              <w:right w:w="100" w:type="dxa"/>
            </w:tcMar>
          </w:tcPr>
          <w:p>
            <w:pPr>
              <w:spacing w:after="0"/>
            </w:pPr>
            <w:r>
              <w:rPr>
                <w:b/>
                <w:sz w:val="19"/>
              </w:rPr>
              <w:t>RF-17</w:t>
            </w:r>
          </w:p>
        </w:tc>
        <w:tc>
          <w:tcPr>
            <w:tcW w:type="dxa" w:w="4608"/>
            <w:shd w:fill="F8FAFC"/>
            <w:tcMar>
              <w:top w:w="70" w:type="dxa"/>
              <w:bottom w:w="70" w:type="dxa"/>
              <w:left w:w="100" w:type="dxa"/>
              <w:right w:w="100" w:type="dxa"/>
            </w:tcMar>
          </w:tcPr>
          <w:p>
            <w:pPr>
              <w:spacing w:after="0"/>
            </w:pPr>
            <w:r>
              <w:rPr>
                <w:sz w:val="19"/>
              </w:rPr>
              <w:t>Visualización Jerárquica y Grafo Analítico de Líneas de Investigación</w:t>
            </w:r>
          </w:p>
        </w:tc>
        <w:tc>
          <w:tcPr>
            <w:tcW w:type="dxa" w:w="2016"/>
            <w:shd w:fill="F8FAFC"/>
            <w:tcMar>
              <w:top w:w="70" w:type="dxa"/>
              <w:bottom w:w="70" w:type="dxa"/>
              <w:left w:w="100" w:type="dxa"/>
              <w:right w:w="100" w:type="dxa"/>
            </w:tcMar>
          </w:tcPr>
          <w:p>
            <w:pPr>
              <w:spacing w:after="0"/>
            </w:pPr>
            <w:r>
              <w:rPr>
                <w:sz w:val="19"/>
              </w:rPr>
              <w:t>Líneas de Investigación</w:t>
            </w:r>
          </w:p>
        </w:tc>
        <w:tc>
          <w:tcPr>
            <w:tcW w:type="dxa" w:w="1440"/>
            <w:shd w:fill="F8FAFC"/>
            <w:tcMar>
              <w:top w:w="70" w:type="dxa"/>
              <w:bottom w:w="70" w:type="dxa"/>
              <w:left w:w="100" w:type="dxa"/>
              <w:right w:w="100" w:type="dxa"/>
            </w:tcMar>
          </w:tcPr>
          <w:p>
            <w:pPr>
              <w:spacing w:after="0"/>
            </w:pPr>
            <w:r>
              <w:rPr>
                <w:b/>
                <w:color w:val="D97706"/>
                <w:sz w:val="19"/>
              </w:rPr>
              <w:t>Media</w:t>
            </w:r>
          </w:p>
        </w:tc>
      </w:tr>
      <w:tr>
        <w:tc>
          <w:tcPr>
            <w:tcW w:type="dxa" w:w="1296"/>
            <w:shd w:fill="FFFFFF"/>
            <w:tcMar>
              <w:top w:w="70" w:type="dxa"/>
              <w:bottom w:w="70" w:type="dxa"/>
              <w:left w:w="100" w:type="dxa"/>
              <w:right w:w="100" w:type="dxa"/>
            </w:tcMar>
          </w:tcPr>
          <w:p>
            <w:pPr>
              <w:spacing w:after="0"/>
            </w:pPr>
            <w:r>
              <w:rPr>
                <w:b/>
                <w:sz w:val="19"/>
              </w:rPr>
              <w:t>RF-18</w:t>
            </w:r>
          </w:p>
        </w:tc>
        <w:tc>
          <w:tcPr>
            <w:tcW w:type="dxa" w:w="4608"/>
            <w:shd w:fill="FFFFFF"/>
            <w:tcMar>
              <w:top w:w="70" w:type="dxa"/>
              <w:bottom w:w="70" w:type="dxa"/>
              <w:left w:w="100" w:type="dxa"/>
              <w:right w:w="100" w:type="dxa"/>
            </w:tcMar>
          </w:tcPr>
          <w:p>
            <w:pPr>
              <w:spacing w:after="0"/>
            </w:pPr>
            <w:r>
              <w:rPr>
                <w:sz w:val="19"/>
              </w:rPr>
              <w:t>Formulación y Recepción de Demandas Tecnológicas Empresariales</w:t>
            </w:r>
          </w:p>
        </w:tc>
        <w:tc>
          <w:tcPr>
            <w:tcW w:type="dxa" w:w="2016"/>
            <w:shd w:fill="FFFFFF"/>
            <w:tcMar>
              <w:top w:w="70" w:type="dxa"/>
              <w:bottom w:w="70" w:type="dxa"/>
              <w:left w:w="100" w:type="dxa"/>
              <w:right w:w="100" w:type="dxa"/>
            </w:tcMar>
          </w:tcPr>
          <w:p>
            <w:pPr>
              <w:spacing w:after="0"/>
            </w:pPr>
            <w:r>
              <w:rPr>
                <w:sz w:val="19"/>
              </w:rPr>
              <w:t>Vinculación Empresarial</w:t>
            </w:r>
          </w:p>
        </w:tc>
        <w:tc>
          <w:tcPr>
            <w:tcW w:type="dxa" w:w="1440"/>
            <w:shd w:fill="FFFFFF"/>
            <w:tcMar>
              <w:top w:w="70" w:type="dxa"/>
              <w:bottom w:w="70" w:type="dxa"/>
              <w:left w:w="100" w:type="dxa"/>
              <w:right w:w="100" w:type="dxa"/>
            </w:tcMar>
          </w:tcPr>
          <w:p>
            <w:pPr>
              <w:spacing w:after="0"/>
            </w:pPr>
            <w:r>
              <w:rPr>
                <w:b/>
                <w:color w:val="D97706"/>
                <w:sz w:val="19"/>
              </w:rPr>
              <w:t>Media</w:t>
            </w:r>
          </w:p>
        </w:tc>
      </w:tr>
      <w:tr>
        <w:tc>
          <w:tcPr>
            <w:tcW w:type="dxa" w:w="1296"/>
            <w:shd w:fill="F8FAFC"/>
            <w:tcMar>
              <w:top w:w="70" w:type="dxa"/>
              <w:bottom w:w="70" w:type="dxa"/>
              <w:left w:w="100" w:type="dxa"/>
              <w:right w:w="100" w:type="dxa"/>
            </w:tcMar>
          </w:tcPr>
          <w:p>
            <w:pPr>
              <w:spacing w:after="0"/>
            </w:pPr>
            <w:r>
              <w:rPr>
                <w:b/>
                <w:sz w:val="19"/>
              </w:rPr>
              <w:t>RF-19</w:t>
            </w:r>
          </w:p>
        </w:tc>
        <w:tc>
          <w:tcPr>
            <w:tcW w:type="dxa" w:w="4608"/>
            <w:shd w:fill="F8FAFC"/>
            <w:tcMar>
              <w:top w:w="70" w:type="dxa"/>
              <w:bottom w:w="70" w:type="dxa"/>
              <w:left w:w="100" w:type="dxa"/>
              <w:right w:w="100" w:type="dxa"/>
            </w:tcMar>
          </w:tcPr>
          <w:p>
            <w:pPr>
              <w:spacing w:after="0"/>
            </w:pPr>
            <w:r>
              <w:rPr>
                <w:sz w:val="19"/>
              </w:rPr>
              <w:t>Consulta Pública por Código de Trámite o RIF Empresarial</w:t>
            </w:r>
          </w:p>
        </w:tc>
        <w:tc>
          <w:tcPr>
            <w:tcW w:type="dxa" w:w="2016"/>
            <w:shd w:fill="F8FAFC"/>
            <w:tcMar>
              <w:top w:w="70" w:type="dxa"/>
              <w:bottom w:w="70" w:type="dxa"/>
              <w:left w:w="100" w:type="dxa"/>
              <w:right w:w="100" w:type="dxa"/>
            </w:tcMar>
          </w:tcPr>
          <w:p>
            <w:pPr>
              <w:spacing w:after="0"/>
            </w:pPr>
            <w:r>
              <w:rPr>
                <w:sz w:val="19"/>
              </w:rPr>
              <w:t>Vinculación Empresarial</w:t>
            </w:r>
          </w:p>
        </w:tc>
        <w:tc>
          <w:tcPr>
            <w:tcW w:type="dxa" w:w="1440"/>
            <w:shd w:fill="F8FAFC"/>
            <w:tcMar>
              <w:top w:w="70" w:type="dxa"/>
              <w:bottom w:w="70" w:type="dxa"/>
              <w:left w:w="100" w:type="dxa"/>
              <w:right w:w="100" w:type="dxa"/>
            </w:tcMar>
          </w:tcPr>
          <w:p>
            <w:pPr>
              <w:spacing w:after="0"/>
            </w:pPr>
            <w:r>
              <w:rPr>
                <w:b/>
                <w:color w:val="D97706"/>
                <w:sz w:val="19"/>
              </w:rPr>
              <w:t>Media</w:t>
            </w:r>
          </w:p>
        </w:tc>
      </w:tr>
      <w:tr>
        <w:tc>
          <w:tcPr>
            <w:tcW w:type="dxa" w:w="1296"/>
            <w:shd w:fill="FFFFFF"/>
            <w:tcMar>
              <w:top w:w="70" w:type="dxa"/>
              <w:bottom w:w="70" w:type="dxa"/>
              <w:left w:w="100" w:type="dxa"/>
              <w:right w:w="100" w:type="dxa"/>
            </w:tcMar>
          </w:tcPr>
          <w:p>
            <w:pPr>
              <w:spacing w:after="0"/>
            </w:pPr>
            <w:r>
              <w:rPr>
                <w:b/>
                <w:sz w:val="19"/>
              </w:rPr>
              <w:t>RF-20</w:t>
            </w:r>
          </w:p>
        </w:tc>
        <w:tc>
          <w:tcPr>
            <w:tcW w:type="dxa" w:w="4608"/>
            <w:shd w:fill="FFFFFF"/>
            <w:tcMar>
              <w:top w:w="70" w:type="dxa"/>
              <w:bottom w:w="70" w:type="dxa"/>
              <w:left w:w="100" w:type="dxa"/>
              <w:right w:w="100" w:type="dxa"/>
            </w:tcMar>
          </w:tcPr>
          <w:p>
            <w:pPr>
              <w:spacing w:after="0"/>
            </w:pPr>
            <w:r>
              <w:rPr>
                <w:sz w:val="19"/>
              </w:rPr>
              <w:t>Tablero de Control Ejecutivo y Métricas del Servidor</w:t>
            </w:r>
          </w:p>
        </w:tc>
        <w:tc>
          <w:tcPr>
            <w:tcW w:type="dxa" w:w="2016"/>
            <w:shd w:fill="FFFFFF"/>
            <w:tcMar>
              <w:top w:w="70" w:type="dxa"/>
              <w:bottom w:w="70" w:type="dxa"/>
              <w:left w:w="100" w:type="dxa"/>
              <w:right w:w="100" w:type="dxa"/>
            </w:tcMar>
          </w:tcPr>
          <w:p>
            <w:pPr>
              <w:spacing w:after="0"/>
            </w:pPr>
            <w:r>
              <w:rPr>
                <w:sz w:val="19"/>
              </w:rPr>
              <w:t>SuperAdmin</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RF-21</w:t>
            </w:r>
          </w:p>
        </w:tc>
        <w:tc>
          <w:tcPr>
            <w:tcW w:type="dxa" w:w="4608"/>
            <w:shd w:fill="F8FAFC"/>
            <w:tcMar>
              <w:top w:w="70" w:type="dxa"/>
              <w:bottom w:w="70" w:type="dxa"/>
              <w:left w:w="100" w:type="dxa"/>
              <w:right w:w="100" w:type="dxa"/>
            </w:tcMar>
          </w:tcPr>
          <w:p>
            <w:pPr>
              <w:spacing w:after="0"/>
            </w:pPr>
            <w:r>
              <w:rPr>
                <w:sz w:val="19"/>
              </w:rPr>
              <w:t>Gestor de Mantenimiento, Respaldos de BD y Restauración de Puntos de Control</w:t>
            </w:r>
          </w:p>
        </w:tc>
        <w:tc>
          <w:tcPr>
            <w:tcW w:type="dxa" w:w="2016"/>
            <w:shd w:fill="F8FAFC"/>
            <w:tcMar>
              <w:top w:w="70" w:type="dxa"/>
              <w:bottom w:w="70" w:type="dxa"/>
              <w:left w:w="100" w:type="dxa"/>
              <w:right w:w="100" w:type="dxa"/>
            </w:tcMar>
          </w:tcPr>
          <w:p>
            <w:pPr>
              <w:spacing w:after="0"/>
            </w:pPr>
            <w:r>
              <w:rPr>
                <w:sz w:val="19"/>
              </w:rPr>
              <w:t>SuperAdmin</w:t>
            </w:r>
          </w:p>
        </w:tc>
        <w:tc>
          <w:tcPr>
            <w:tcW w:type="dxa" w:w="1440"/>
            <w:shd w:fill="F8FAFC"/>
            <w:tcMar>
              <w:top w:w="70" w:type="dxa"/>
              <w:bottom w:w="70" w:type="dxa"/>
              <w:left w:w="100" w:type="dxa"/>
              <w:right w:w="100" w:type="dxa"/>
            </w:tcMar>
          </w:tcPr>
          <w:p>
            <w:pPr>
              <w:spacing w:after="0"/>
            </w:pPr>
            <w:r>
              <w:rPr>
                <w:b/>
                <w:color w:val="B91C1C"/>
                <w:sz w:val="19"/>
              </w:rPr>
              <w:t>Alta</w:t>
            </w:r>
          </w:p>
        </w:tc>
      </w:tr>
      <w:tr>
        <w:tc>
          <w:tcPr>
            <w:tcW w:type="dxa" w:w="1296"/>
            <w:shd w:fill="FFFFFF"/>
            <w:tcMar>
              <w:top w:w="70" w:type="dxa"/>
              <w:bottom w:w="70" w:type="dxa"/>
              <w:left w:w="100" w:type="dxa"/>
              <w:right w:w="100" w:type="dxa"/>
            </w:tcMar>
          </w:tcPr>
          <w:p>
            <w:pPr>
              <w:spacing w:after="0"/>
            </w:pPr>
            <w:r>
              <w:rPr>
                <w:b/>
                <w:sz w:val="19"/>
              </w:rPr>
              <w:t>RF-22</w:t>
            </w:r>
          </w:p>
        </w:tc>
        <w:tc>
          <w:tcPr>
            <w:tcW w:type="dxa" w:w="4608"/>
            <w:shd w:fill="FFFFFF"/>
            <w:tcMar>
              <w:top w:w="70" w:type="dxa"/>
              <w:bottom w:w="70" w:type="dxa"/>
              <w:left w:w="100" w:type="dxa"/>
              <w:right w:w="100" w:type="dxa"/>
            </w:tcMar>
          </w:tcPr>
          <w:p>
            <w:pPr>
              <w:spacing w:after="0"/>
            </w:pPr>
            <w:r>
              <w:rPr>
                <w:sz w:val="19"/>
              </w:rPr>
              <w:t>Interruptor de Módulos (Feature Flags) y Ventana de Mantenimiento Global</w:t>
            </w:r>
          </w:p>
        </w:tc>
        <w:tc>
          <w:tcPr>
            <w:tcW w:type="dxa" w:w="2016"/>
            <w:shd w:fill="FFFFFF"/>
            <w:tcMar>
              <w:top w:w="70" w:type="dxa"/>
              <w:bottom w:w="70" w:type="dxa"/>
              <w:left w:w="100" w:type="dxa"/>
              <w:right w:w="100" w:type="dxa"/>
            </w:tcMar>
          </w:tcPr>
          <w:p>
            <w:pPr>
              <w:spacing w:after="0"/>
            </w:pPr>
            <w:r>
              <w:rPr>
                <w:sz w:val="19"/>
              </w:rPr>
              <w:t>SuperAdmin</w:t>
            </w:r>
          </w:p>
        </w:tc>
        <w:tc>
          <w:tcPr>
            <w:tcW w:type="dxa" w:w="1440"/>
            <w:shd w:fill="FFFFFF"/>
            <w:tcMar>
              <w:top w:w="70" w:type="dxa"/>
              <w:bottom w:w="70" w:type="dxa"/>
              <w:left w:w="100" w:type="dxa"/>
              <w:right w:w="100" w:type="dxa"/>
            </w:tcMar>
          </w:tcPr>
          <w:p>
            <w:pPr>
              <w:spacing w:after="0"/>
            </w:pPr>
            <w:r>
              <w:rPr>
                <w:b/>
                <w:color w:val="B91C1C"/>
                <w:sz w:val="19"/>
              </w:rPr>
              <w:t>Alta</w:t>
            </w:r>
          </w:p>
        </w:tc>
      </w:tr>
      <w:tr>
        <w:tc>
          <w:tcPr>
            <w:tcW w:type="dxa" w:w="1296"/>
            <w:shd w:fill="F8FAFC"/>
            <w:tcMar>
              <w:top w:w="70" w:type="dxa"/>
              <w:bottom w:w="70" w:type="dxa"/>
              <w:left w:w="100" w:type="dxa"/>
              <w:right w:w="100" w:type="dxa"/>
            </w:tcMar>
          </w:tcPr>
          <w:p>
            <w:pPr>
              <w:spacing w:after="0"/>
            </w:pPr>
            <w:r>
              <w:rPr>
                <w:b/>
                <w:sz w:val="19"/>
              </w:rPr>
              <w:t>RF-23</w:t>
            </w:r>
          </w:p>
        </w:tc>
        <w:tc>
          <w:tcPr>
            <w:tcW w:type="dxa" w:w="4608"/>
            <w:shd w:fill="F8FAFC"/>
            <w:tcMar>
              <w:top w:w="70" w:type="dxa"/>
              <w:bottom w:w="70" w:type="dxa"/>
              <w:left w:w="100" w:type="dxa"/>
              <w:right w:w="100" w:type="dxa"/>
            </w:tcMar>
          </w:tcPr>
          <w:p>
            <w:pPr>
              <w:spacing w:after="0"/>
            </w:pPr>
            <w:r>
              <w:rPr>
                <w:sz w:val="19"/>
              </w:rPr>
              <w:t>Visor de Auditoría Inmutable y Logs del Sistema</w:t>
            </w:r>
          </w:p>
        </w:tc>
        <w:tc>
          <w:tcPr>
            <w:tcW w:type="dxa" w:w="2016"/>
            <w:shd w:fill="F8FAFC"/>
            <w:tcMar>
              <w:top w:w="70" w:type="dxa"/>
              <w:bottom w:w="70" w:type="dxa"/>
              <w:left w:w="100" w:type="dxa"/>
              <w:right w:w="100" w:type="dxa"/>
            </w:tcMar>
          </w:tcPr>
          <w:p>
            <w:pPr>
              <w:spacing w:after="0"/>
            </w:pPr>
            <w:r>
              <w:rPr>
                <w:sz w:val="19"/>
              </w:rPr>
              <w:t>SuperAdmin</w:t>
            </w:r>
          </w:p>
        </w:tc>
        <w:tc>
          <w:tcPr>
            <w:tcW w:type="dxa" w:w="1440"/>
            <w:shd w:fill="F8FAFC"/>
            <w:tcMar>
              <w:top w:w="70" w:type="dxa"/>
              <w:bottom w:w="70" w:type="dxa"/>
              <w:left w:w="100" w:type="dxa"/>
              <w:right w:w="100" w:type="dxa"/>
            </w:tcMar>
          </w:tcPr>
          <w:p>
            <w:pPr>
              <w:spacing w:after="0"/>
            </w:pPr>
            <w:r>
              <w:rPr>
                <w:b/>
                <w:color w:val="D97706"/>
                <w:sz w:val="19"/>
              </w:rPr>
              <w:t>Media</w:t>
            </w:r>
          </w:p>
        </w:tc>
      </w:tr>
    </w:tbl>
    <w:p>
      <w:pPr>
        <w:spacing w:after="240"/>
      </w:pPr>
    </w:p>
    <w:p>
      <w:pPr>
        <w:pStyle w:val="Heading1"/>
        <w:spacing w:before="360" w:after="160"/>
      </w:pPr>
      <w:r>
        <w:rPr>
          <w:color w:val="002244"/>
        </w:rPr>
        <w:t>4. Requisitos No Funcionales (RNF)</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1296"/>
            <w:shd w:fill="002244"/>
            <w:tcMar>
              <w:top w:w="100" w:type="dxa"/>
              <w:bottom w:w="100" w:type="dxa"/>
              <w:left w:w="100" w:type="dxa"/>
              <w:right w:w="100" w:type="dxa"/>
            </w:tcMar>
          </w:tcPr>
          <w:p>
            <w:pPr>
              <w:spacing w:after="0"/>
            </w:pPr>
            <w:r>
              <w:rPr>
                <w:b/>
                <w:color w:val="FFFFFF"/>
                <w:sz w:val="20"/>
              </w:rPr>
              <w:t>ID</w:t>
            </w:r>
          </w:p>
        </w:tc>
        <w:tc>
          <w:tcPr>
            <w:tcW w:type="dxa" w:w="1872"/>
            <w:shd w:fill="002244"/>
            <w:tcMar>
              <w:top w:w="100" w:type="dxa"/>
              <w:bottom w:w="100" w:type="dxa"/>
              <w:left w:w="100" w:type="dxa"/>
              <w:right w:w="100" w:type="dxa"/>
            </w:tcMar>
          </w:tcPr>
          <w:p>
            <w:pPr>
              <w:spacing w:after="0"/>
            </w:pPr>
            <w:r>
              <w:rPr>
                <w:b/>
                <w:color w:val="FFFFFF"/>
                <w:sz w:val="20"/>
              </w:rPr>
              <w:t>Categoría</w:t>
            </w:r>
          </w:p>
        </w:tc>
        <w:tc>
          <w:tcPr>
            <w:tcW w:type="dxa" w:w="3744"/>
            <w:shd w:fill="002244"/>
            <w:tcMar>
              <w:top w:w="100" w:type="dxa"/>
              <w:bottom w:w="100" w:type="dxa"/>
              <w:left w:w="100" w:type="dxa"/>
              <w:right w:w="100" w:type="dxa"/>
            </w:tcMar>
          </w:tcPr>
          <w:p>
            <w:pPr>
              <w:spacing w:after="0"/>
            </w:pPr>
            <w:r>
              <w:rPr>
                <w:b/>
                <w:color w:val="FFFFFF"/>
                <w:sz w:val="20"/>
              </w:rPr>
              <w:t>Descripción Técnica</w:t>
            </w:r>
          </w:p>
        </w:tc>
        <w:tc>
          <w:tcPr>
            <w:tcW w:type="dxa" w:w="2448"/>
            <w:shd w:fill="002244"/>
            <w:tcMar>
              <w:top w:w="100" w:type="dxa"/>
              <w:bottom w:w="100" w:type="dxa"/>
              <w:left w:w="100" w:type="dxa"/>
              <w:right w:w="100" w:type="dxa"/>
            </w:tcMar>
          </w:tcPr>
          <w:p>
            <w:pPr>
              <w:spacing w:after="0"/>
            </w:pPr>
            <w:r>
              <w:rPr>
                <w:b/>
                <w:color w:val="FFFFFF"/>
                <w:sz w:val="20"/>
              </w:rPr>
              <w:t>Métrica / Criterio Verificable</w:t>
            </w:r>
          </w:p>
        </w:tc>
      </w:tr>
      <w:tr>
        <w:tc>
          <w:tcPr>
            <w:tcW w:type="dxa" w:w="1296"/>
            <w:shd w:fill="F8FAFC"/>
            <w:tcMar>
              <w:top w:w="70" w:type="dxa"/>
              <w:bottom w:w="70" w:type="dxa"/>
              <w:left w:w="100" w:type="dxa"/>
              <w:right w:w="100" w:type="dxa"/>
            </w:tcMar>
          </w:tcPr>
          <w:p>
            <w:pPr>
              <w:spacing w:after="0"/>
            </w:pPr>
            <w:r>
              <w:rPr>
                <w:b/>
                <w:sz w:val="19"/>
              </w:rPr>
              <w:t>RNF-01</w:t>
            </w:r>
          </w:p>
        </w:tc>
        <w:tc>
          <w:tcPr>
            <w:tcW w:type="dxa" w:w="1872"/>
            <w:shd w:fill="F8FAFC"/>
            <w:tcMar>
              <w:top w:w="70" w:type="dxa"/>
              <w:bottom w:w="70" w:type="dxa"/>
              <w:left w:w="100" w:type="dxa"/>
              <w:right w:w="100" w:type="dxa"/>
            </w:tcMar>
          </w:tcPr>
          <w:p>
            <w:pPr>
              <w:spacing w:after="0"/>
            </w:pPr>
            <w:r>
              <w:rPr>
                <w:b/>
                <w:color w:val="0284C7"/>
                <w:sz w:val="19"/>
              </w:rPr>
              <w:t>Rendimiento</w:t>
            </w:r>
          </w:p>
        </w:tc>
        <w:tc>
          <w:tcPr>
            <w:tcW w:type="dxa" w:w="3744"/>
            <w:shd w:fill="F8FAFC"/>
            <w:tcMar>
              <w:top w:w="70" w:type="dxa"/>
              <w:bottom w:w="70" w:type="dxa"/>
              <w:left w:w="100" w:type="dxa"/>
              <w:right w:w="100" w:type="dxa"/>
            </w:tcMar>
          </w:tcPr>
          <w:p>
            <w:pPr>
              <w:spacing w:after="0"/>
            </w:pPr>
            <w:r>
              <w:rPr>
                <w:sz w:val="18"/>
              </w:rPr>
              <w:t>Optimización de Activos Multimedia: Las imágenes maestras de vistas de error y recursos estáticos deben almacenarse y despacharse en formato .webp, limitando el peso individual por debajo de 180 KB por gráfico full-HD y reduciendo la carga global del DOM en más del 85%.</w:t>
            </w:r>
          </w:p>
        </w:tc>
        <w:tc>
          <w:tcPr>
            <w:tcW w:type="dxa" w:w="2448"/>
            <w:shd w:fill="F8FAFC"/>
            <w:tcMar>
              <w:top w:w="70" w:type="dxa"/>
              <w:bottom w:w="70" w:type="dxa"/>
              <w:left w:w="100" w:type="dxa"/>
              <w:right w:w="100" w:type="dxa"/>
            </w:tcMar>
          </w:tcPr>
          <w:p>
            <w:pPr>
              <w:spacing w:after="0"/>
            </w:pPr>
            <w:r>
              <w:rPr>
                <w:sz w:val="18"/>
              </w:rPr>
              <w:t>Tiempo de transferencia de imágenes de error inferior a 120 ms en conexiones locales.</w:t>
            </w:r>
          </w:p>
        </w:tc>
      </w:tr>
      <w:tr>
        <w:tc>
          <w:tcPr>
            <w:tcW w:type="dxa" w:w="1296"/>
            <w:shd w:fill="FFFFFF"/>
            <w:tcMar>
              <w:top w:w="70" w:type="dxa"/>
              <w:bottom w:w="70" w:type="dxa"/>
              <w:left w:w="100" w:type="dxa"/>
              <w:right w:w="100" w:type="dxa"/>
            </w:tcMar>
          </w:tcPr>
          <w:p>
            <w:pPr>
              <w:spacing w:after="0"/>
            </w:pPr>
            <w:r>
              <w:rPr>
                <w:b/>
                <w:sz w:val="19"/>
              </w:rPr>
              <w:t>RNF-02</w:t>
            </w:r>
          </w:p>
        </w:tc>
        <w:tc>
          <w:tcPr>
            <w:tcW w:type="dxa" w:w="1872"/>
            <w:shd w:fill="FFFFFF"/>
            <w:tcMar>
              <w:top w:w="70" w:type="dxa"/>
              <w:bottom w:w="70" w:type="dxa"/>
              <w:left w:w="100" w:type="dxa"/>
              <w:right w:w="100" w:type="dxa"/>
            </w:tcMar>
          </w:tcPr>
          <w:p>
            <w:pPr>
              <w:spacing w:after="0"/>
            </w:pPr>
            <w:r>
              <w:rPr>
                <w:b/>
                <w:color w:val="0284C7"/>
                <w:sz w:val="19"/>
              </w:rPr>
              <w:t>Rendimiento</w:t>
            </w:r>
          </w:p>
        </w:tc>
        <w:tc>
          <w:tcPr>
            <w:tcW w:type="dxa" w:w="3744"/>
            <w:shd w:fill="FFFFFF"/>
            <w:tcMar>
              <w:top w:w="70" w:type="dxa"/>
              <w:bottom w:w="70" w:type="dxa"/>
              <w:left w:w="100" w:type="dxa"/>
              <w:right w:w="100" w:type="dxa"/>
            </w:tcMar>
          </w:tcPr>
          <w:p>
            <w:pPr>
              <w:spacing w:after="0"/>
            </w:pPr>
            <w:r>
              <w:rPr>
                <w:sz w:val="18"/>
              </w:rPr>
              <w:t>Consultas Vectoriales HNSW: La búsqueda semántica asistida en PostgreSQL debe aprovechar índices jerárquicos de grafos navegables de mundos pequeños (HNSW con métrica coseno) sobre el vector de 384 dimensiones.</w:t>
            </w:r>
          </w:p>
        </w:tc>
        <w:tc>
          <w:tcPr>
            <w:tcW w:type="dxa" w:w="2448"/>
            <w:shd w:fill="FFFFFF"/>
            <w:tcMar>
              <w:top w:w="70" w:type="dxa"/>
              <w:bottom w:w="70" w:type="dxa"/>
              <w:left w:w="100" w:type="dxa"/>
              <w:right w:w="100" w:type="dxa"/>
            </w:tcMar>
          </w:tcPr>
          <w:p>
            <w:pPr>
              <w:spacing w:after="0"/>
            </w:pPr>
            <w:r>
              <w:rPr>
                <w:sz w:val="18"/>
              </w:rPr>
              <w:t>Tiempo de cálculo de similitud sobre catálogo de documentos menor a 50 ms.</w:t>
            </w:r>
          </w:p>
        </w:tc>
      </w:tr>
      <w:tr>
        <w:tc>
          <w:tcPr>
            <w:tcW w:type="dxa" w:w="1296"/>
            <w:shd w:fill="F8FAFC"/>
            <w:tcMar>
              <w:top w:w="70" w:type="dxa"/>
              <w:bottom w:w="70" w:type="dxa"/>
              <w:left w:w="100" w:type="dxa"/>
              <w:right w:w="100" w:type="dxa"/>
            </w:tcMar>
          </w:tcPr>
          <w:p>
            <w:pPr>
              <w:spacing w:after="0"/>
            </w:pPr>
            <w:r>
              <w:rPr>
                <w:b/>
                <w:sz w:val="19"/>
              </w:rPr>
              <w:t>RNF-03</w:t>
            </w:r>
          </w:p>
        </w:tc>
        <w:tc>
          <w:tcPr>
            <w:tcW w:type="dxa" w:w="1872"/>
            <w:shd w:fill="F8FAFC"/>
            <w:tcMar>
              <w:top w:w="70" w:type="dxa"/>
              <w:bottom w:w="70" w:type="dxa"/>
              <w:left w:w="100" w:type="dxa"/>
              <w:right w:w="100" w:type="dxa"/>
            </w:tcMar>
          </w:tcPr>
          <w:p>
            <w:pPr>
              <w:spacing w:after="0"/>
            </w:pPr>
            <w:r>
              <w:rPr>
                <w:b/>
                <w:color w:val="0284C7"/>
                <w:sz w:val="19"/>
              </w:rPr>
              <w:t>Rendimiento</w:t>
            </w:r>
          </w:p>
        </w:tc>
        <w:tc>
          <w:tcPr>
            <w:tcW w:type="dxa" w:w="3744"/>
            <w:shd w:fill="F8FAFC"/>
            <w:tcMar>
              <w:top w:w="70" w:type="dxa"/>
              <w:bottom w:w="70" w:type="dxa"/>
              <w:left w:w="100" w:type="dxa"/>
              <w:right w:w="100" w:type="dxa"/>
            </w:tcMar>
          </w:tcPr>
          <w:p>
            <w:pPr>
              <w:spacing w:after="0"/>
            </w:pPr>
            <w:r>
              <w:rPr>
                <w:sz w:val="18"/>
              </w:rPr>
              <w:t>Almacenamiento Comprimido de Respaldos: Los volcados de base de datos ejecutados por BackupService deben comprimirse en flujo continuo GZIP.</w:t>
            </w:r>
          </w:p>
        </w:tc>
        <w:tc>
          <w:tcPr>
            <w:tcW w:type="dxa" w:w="2448"/>
            <w:shd w:fill="F8FAFC"/>
            <w:tcMar>
              <w:top w:w="70" w:type="dxa"/>
              <w:bottom w:w="70" w:type="dxa"/>
              <w:left w:w="100" w:type="dxa"/>
              <w:right w:w="100" w:type="dxa"/>
            </w:tcMar>
          </w:tcPr>
          <w:p>
            <w:pPr>
              <w:spacing w:after="0"/>
            </w:pPr>
            <w:r>
              <w:rPr>
                <w:sz w:val="18"/>
              </w:rPr>
              <w:t>Reducción de más del 70% del tamaño del archivo .sql resultante en disco.</w:t>
            </w:r>
          </w:p>
        </w:tc>
      </w:tr>
      <w:tr>
        <w:tc>
          <w:tcPr>
            <w:tcW w:type="dxa" w:w="1296"/>
            <w:shd w:fill="FFFFFF"/>
            <w:tcMar>
              <w:top w:w="70" w:type="dxa"/>
              <w:bottom w:w="70" w:type="dxa"/>
              <w:left w:w="100" w:type="dxa"/>
              <w:right w:w="100" w:type="dxa"/>
            </w:tcMar>
          </w:tcPr>
          <w:p>
            <w:pPr>
              <w:spacing w:after="0"/>
            </w:pPr>
            <w:r>
              <w:rPr>
                <w:b/>
                <w:sz w:val="19"/>
              </w:rPr>
              <w:t>RNF-04</w:t>
            </w:r>
          </w:p>
        </w:tc>
        <w:tc>
          <w:tcPr>
            <w:tcW w:type="dxa" w:w="1872"/>
            <w:shd w:fill="FFFFFF"/>
            <w:tcMar>
              <w:top w:w="70" w:type="dxa"/>
              <w:bottom w:w="70" w:type="dxa"/>
              <w:left w:w="100" w:type="dxa"/>
              <w:right w:w="100" w:type="dxa"/>
            </w:tcMar>
          </w:tcPr>
          <w:p>
            <w:pPr>
              <w:spacing w:after="0"/>
            </w:pPr>
            <w:r>
              <w:rPr>
                <w:b/>
                <w:color w:val="0284C7"/>
                <w:sz w:val="19"/>
              </w:rPr>
              <w:t>Seguridad</w:t>
            </w:r>
          </w:p>
        </w:tc>
        <w:tc>
          <w:tcPr>
            <w:tcW w:type="dxa" w:w="3744"/>
            <w:shd w:fill="FFFFFF"/>
            <w:tcMar>
              <w:top w:w="70" w:type="dxa"/>
              <w:bottom w:w="70" w:type="dxa"/>
              <w:left w:w="100" w:type="dxa"/>
              <w:right w:w="100" w:type="dxa"/>
            </w:tcMar>
          </w:tcPr>
          <w:p>
            <w:pPr>
              <w:spacing w:after="0"/>
            </w:pPr>
            <w:r>
              <w:rPr>
                <w:sz w:val="18"/>
              </w:rPr>
              <w:t>Blindaje de Sesiones HTTP: Las cookies de sesión PHP deben generarse obligatoriamente con las banderas HttpOnly, SameSite=Lax (o Strict) y el prefijo de seguridad correspondiente, previniendo el robo de sesiones vía Cross-Site Scripting (XSS).</w:t>
            </w:r>
          </w:p>
        </w:tc>
        <w:tc>
          <w:tcPr>
            <w:tcW w:type="dxa" w:w="2448"/>
            <w:shd w:fill="FFFFFF"/>
            <w:tcMar>
              <w:top w:w="70" w:type="dxa"/>
              <w:bottom w:w="70" w:type="dxa"/>
              <w:left w:w="100" w:type="dxa"/>
              <w:right w:w="100" w:type="dxa"/>
            </w:tcMar>
          </w:tcPr>
          <w:p>
            <w:pPr>
              <w:spacing w:after="0"/>
            </w:pPr>
            <w:r>
              <w:rPr>
                <w:sz w:val="18"/>
              </w:rPr>
              <w:t>Atributos verificables en los encabezados Set-Cookie de cada respuesta HTTP.</w:t>
            </w:r>
          </w:p>
        </w:tc>
      </w:tr>
      <w:tr>
        <w:tc>
          <w:tcPr>
            <w:tcW w:type="dxa" w:w="1296"/>
            <w:shd w:fill="F8FAFC"/>
            <w:tcMar>
              <w:top w:w="70" w:type="dxa"/>
              <w:bottom w:w="70" w:type="dxa"/>
              <w:left w:w="100" w:type="dxa"/>
              <w:right w:w="100" w:type="dxa"/>
            </w:tcMar>
          </w:tcPr>
          <w:p>
            <w:pPr>
              <w:spacing w:after="0"/>
            </w:pPr>
            <w:r>
              <w:rPr>
                <w:b/>
                <w:sz w:val="19"/>
              </w:rPr>
              <w:t>RNF-05</w:t>
            </w:r>
          </w:p>
        </w:tc>
        <w:tc>
          <w:tcPr>
            <w:tcW w:type="dxa" w:w="1872"/>
            <w:shd w:fill="F8FAFC"/>
            <w:tcMar>
              <w:top w:w="70" w:type="dxa"/>
              <w:bottom w:w="70" w:type="dxa"/>
              <w:left w:w="100" w:type="dxa"/>
              <w:right w:w="100" w:type="dxa"/>
            </w:tcMar>
          </w:tcPr>
          <w:p>
            <w:pPr>
              <w:spacing w:after="0"/>
            </w:pPr>
            <w:r>
              <w:rPr>
                <w:b/>
                <w:color w:val="0284C7"/>
                <w:sz w:val="19"/>
              </w:rPr>
              <w:t>Seguridad</w:t>
            </w:r>
          </w:p>
        </w:tc>
        <w:tc>
          <w:tcPr>
            <w:tcW w:type="dxa" w:w="3744"/>
            <w:shd w:fill="F8FAFC"/>
            <w:tcMar>
              <w:top w:w="70" w:type="dxa"/>
              <w:bottom w:w="70" w:type="dxa"/>
              <w:left w:w="100" w:type="dxa"/>
              <w:right w:w="100" w:type="dxa"/>
            </w:tcMar>
          </w:tcPr>
          <w:p>
            <w:pPr>
              <w:spacing w:after="0"/>
            </w:pPr>
            <w:r>
              <w:rPr>
                <w:sz w:val="18"/>
              </w:rPr>
              <w:t>Defensa Anti-CSRF Universal: Todo formulario de modificación de estado (POST, PUT, DELETE) debe validar un token criptográfico anti-falsificación sincronizado con la sesión activa.</w:t>
            </w:r>
          </w:p>
        </w:tc>
        <w:tc>
          <w:tcPr>
            <w:tcW w:type="dxa" w:w="2448"/>
            <w:shd w:fill="F8FAFC"/>
            <w:tcMar>
              <w:top w:w="70" w:type="dxa"/>
              <w:bottom w:w="70" w:type="dxa"/>
              <w:left w:w="100" w:type="dxa"/>
              <w:right w:w="100" w:type="dxa"/>
            </w:tcMar>
          </w:tcPr>
          <w:p>
            <w:pPr>
              <w:spacing w:after="0"/>
            </w:pPr>
            <w:r>
              <w:rPr>
                <w:sz w:val="18"/>
              </w:rPr>
              <w:t>Cualquier petición POST sin token o con token discordante debe ser rechazada con código HTTP 403.</w:t>
            </w:r>
          </w:p>
        </w:tc>
      </w:tr>
      <w:tr>
        <w:tc>
          <w:tcPr>
            <w:tcW w:type="dxa" w:w="1296"/>
            <w:shd w:fill="FFFFFF"/>
            <w:tcMar>
              <w:top w:w="70" w:type="dxa"/>
              <w:bottom w:w="70" w:type="dxa"/>
              <w:left w:w="100" w:type="dxa"/>
              <w:right w:w="100" w:type="dxa"/>
            </w:tcMar>
          </w:tcPr>
          <w:p>
            <w:pPr>
              <w:spacing w:after="0"/>
            </w:pPr>
            <w:r>
              <w:rPr>
                <w:b/>
                <w:sz w:val="19"/>
              </w:rPr>
              <w:t>RNF-06</w:t>
            </w:r>
          </w:p>
        </w:tc>
        <w:tc>
          <w:tcPr>
            <w:tcW w:type="dxa" w:w="1872"/>
            <w:shd w:fill="FFFFFF"/>
            <w:tcMar>
              <w:top w:w="70" w:type="dxa"/>
              <w:bottom w:w="70" w:type="dxa"/>
              <w:left w:w="100" w:type="dxa"/>
              <w:right w:w="100" w:type="dxa"/>
            </w:tcMar>
          </w:tcPr>
          <w:p>
            <w:pPr>
              <w:spacing w:after="0"/>
            </w:pPr>
            <w:r>
              <w:rPr>
                <w:b/>
                <w:color w:val="0284C7"/>
                <w:sz w:val="19"/>
              </w:rPr>
              <w:t>Seguridad</w:t>
            </w:r>
          </w:p>
        </w:tc>
        <w:tc>
          <w:tcPr>
            <w:tcW w:type="dxa" w:w="3744"/>
            <w:shd w:fill="FFFFFF"/>
            <w:tcMar>
              <w:top w:w="70" w:type="dxa"/>
              <w:bottom w:w="70" w:type="dxa"/>
              <w:left w:w="100" w:type="dxa"/>
              <w:right w:w="100" w:type="dxa"/>
            </w:tcMar>
          </w:tcPr>
          <w:p>
            <w:pPr>
              <w:spacing w:after="0"/>
            </w:pPr>
            <w:r>
              <w:rPr>
                <w:sz w:val="18"/>
              </w:rPr>
              <w:t>Almacenamiento Criptográfico de Contraseñas: Las contraseñas de usuario nunca se guardan en texto plano; se procesan mediante algoritmo BCRYPT con factor de costo adaptativo (mínimo 10).</w:t>
            </w:r>
          </w:p>
        </w:tc>
        <w:tc>
          <w:tcPr>
            <w:tcW w:type="dxa" w:w="2448"/>
            <w:shd w:fill="FFFFFF"/>
            <w:tcMar>
              <w:top w:w="70" w:type="dxa"/>
              <w:bottom w:w="70" w:type="dxa"/>
              <w:left w:w="100" w:type="dxa"/>
              <w:right w:w="100" w:type="dxa"/>
            </w:tcMar>
          </w:tcPr>
          <w:p>
            <w:pPr>
              <w:spacing w:after="0"/>
            </w:pPr>
            <w:r>
              <w:rPr>
                <w:sz w:val="18"/>
              </w:rPr>
              <w:t>Coincidencia de prefijo $2y$ en todos los registros del campo contrasena en la tabla usuarios.</w:t>
            </w:r>
          </w:p>
        </w:tc>
      </w:tr>
      <w:tr>
        <w:tc>
          <w:tcPr>
            <w:tcW w:type="dxa" w:w="1296"/>
            <w:shd w:fill="F8FAFC"/>
            <w:tcMar>
              <w:top w:w="70" w:type="dxa"/>
              <w:bottom w:w="70" w:type="dxa"/>
              <w:left w:w="100" w:type="dxa"/>
              <w:right w:w="100" w:type="dxa"/>
            </w:tcMar>
          </w:tcPr>
          <w:p>
            <w:pPr>
              <w:spacing w:after="0"/>
            </w:pPr>
            <w:r>
              <w:rPr>
                <w:b/>
                <w:sz w:val="19"/>
              </w:rPr>
              <w:t>RNF-07</w:t>
            </w:r>
          </w:p>
        </w:tc>
        <w:tc>
          <w:tcPr>
            <w:tcW w:type="dxa" w:w="1872"/>
            <w:shd w:fill="F8FAFC"/>
            <w:tcMar>
              <w:top w:w="70" w:type="dxa"/>
              <w:bottom w:w="70" w:type="dxa"/>
              <w:left w:w="100" w:type="dxa"/>
              <w:right w:w="100" w:type="dxa"/>
            </w:tcMar>
          </w:tcPr>
          <w:p>
            <w:pPr>
              <w:spacing w:after="0"/>
            </w:pPr>
            <w:r>
              <w:rPr>
                <w:b/>
                <w:color w:val="0284C7"/>
                <w:sz w:val="19"/>
              </w:rPr>
              <w:t>Seguridad</w:t>
            </w:r>
          </w:p>
        </w:tc>
        <w:tc>
          <w:tcPr>
            <w:tcW w:type="dxa" w:w="3744"/>
            <w:shd w:fill="F8FAFC"/>
            <w:tcMar>
              <w:top w:w="70" w:type="dxa"/>
              <w:bottom w:w="70" w:type="dxa"/>
              <w:left w:w="100" w:type="dxa"/>
              <w:right w:w="100" w:type="dxa"/>
            </w:tcMar>
          </w:tcPr>
          <w:p>
            <w:pPr>
              <w:spacing w:after="0"/>
            </w:pPr>
            <w:r>
              <w:rPr>
                <w:sz w:val="18"/>
              </w:rPr>
              <w:t>Trazabilidad y No Repudio: Todo evento administrativo crítico (modificación de roles, inicio de sesión, cambio de configuraciones, restauración de BD) debe quedar grabado de forma inmutable con marca temporal UTC, IP del cliente y severidad.</w:t>
            </w:r>
          </w:p>
        </w:tc>
        <w:tc>
          <w:tcPr>
            <w:tcW w:type="dxa" w:w="2448"/>
            <w:shd w:fill="F8FAFC"/>
            <w:tcMar>
              <w:top w:w="70" w:type="dxa"/>
              <w:bottom w:w="70" w:type="dxa"/>
              <w:left w:w="100" w:type="dxa"/>
              <w:right w:w="100" w:type="dxa"/>
            </w:tcMar>
          </w:tcPr>
          <w:p>
            <w:pPr>
              <w:spacing w:after="0"/>
            </w:pPr>
            <w:r>
              <w:rPr>
                <w:sz w:val="18"/>
              </w:rPr>
              <w:t>Registro íntegro en storage/logs/ y tabla de auditoría.</w:t>
            </w:r>
          </w:p>
        </w:tc>
      </w:tr>
      <w:tr>
        <w:tc>
          <w:tcPr>
            <w:tcW w:type="dxa" w:w="1296"/>
            <w:shd w:fill="FFFFFF"/>
            <w:tcMar>
              <w:top w:w="70" w:type="dxa"/>
              <w:bottom w:w="70" w:type="dxa"/>
              <w:left w:w="100" w:type="dxa"/>
              <w:right w:w="100" w:type="dxa"/>
            </w:tcMar>
          </w:tcPr>
          <w:p>
            <w:pPr>
              <w:spacing w:after="0"/>
            </w:pPr>
            <w:r>
              <w:rPr>
                <w:b/>
                <w:sz w:val="19"/>
              </w:rPr>
              <w:t>RNF-08</w:t>
            </w:r>
          </w:p>
        </w:tc>
        <w:tc>
          <w:tcPr>
            <w:tcW w:type="dxa" w:w="1872"/>
            <w:shd w:fill="FFFFFF"/>
            <w:tcMar>
              <w:top w:w="70" w:type="dxa"/>
              <w:bottom w:w="70" w:type="dxa"/>
              <w:left w:w="100" w:type="dxa"/>
              <w:right w:w="100" w:type="dxa"/>
            </w:tcMar>
          </w:tcPr>
          <w:p>
            <w:pPr>
              <w:spacing w:after="0"/>
            </w:pPr>
            <w:r>
              <w:rPr>
                <w:b/>
                <w:color w:val="0284C7"/>
                <w:sz w:val="19"/>
              </w:rPr>
              <w:t>Usabilidad</w:t>
            </w:r>
          </w:p>
        </w:tc>
        <w:tc>
          <w:tcPr>
            <w:tcW w:type="dxa" w:w="3744"/>
            <w:shd w:fill="FFFFFF"/>
            <w:tcMar>
              <w:top w:w="70" w:type="dxa"/>
              <w:bottom w:w="70" w:type="dxa"/>
              <w:left w:w="100" w:type="dxa"/>
              <w:right w:w="100" w:type="dxa"/>
            </w:tcMar>
          </w:tcPr>
          <w:p>
            <w:pPr>
              <w:spacing w:after="0"/>
            </w:pPr>
            <w:r>
              <w:rPr>
                <w:sz w:val="18"/>
              </w:rPr>
              <w:t>Diseño Responsivo Universal: La interfaz de usuario debe adaptarse fluidamente a dispositivos móviles, tablets y pantallas de escritorio (breakpoints 640px, 768px, 1024px, 1280px).</w:t>
            </w:r>
          </w:p>
        </w:tc>
        <w:tc>
          <w:tcPr>
            <w:tcW w:type="dxa" w:w="2448"/>
            <w:shd w:fill="FFFFFF"/>
            <w:tcMar>
              <w:top w:w="70" w:type="dxa"/>
              <w:bottom w:w="70" w:type="dxa"/>
              <w:left w:w="100" w:type="dxa"/>
              <w:right w:w="100" w:type="dxa"/>
            </w:tcMar>
          </w:tcPr>
          <w:p>
            <w:pPr>
              <w:spacing w:after="0"/>
            </w:pPr>
            <w:r>
              <w:rPr>
                <w:sz w:val="18"/>
              </w:rPr>
              <w:t>Cero desbordamiento horizontal (horizontal scrolling) en pantallas desde 360px de ancho.</w:t>
            </w:r>
          </w:p>
        </w:tc>
      </w:tr>
      <w:tr>
        <w:tc>
          <w:tcPr>
            <w:tcW w:type="dxa" w:w="1296"/>
            <w:shd w:fill="F8FAFC"/>
            <w:tcMar>
              <w:top w:w="70" w:type="dxa"/>
              <w:bottom w:w="70" w:type="dxa"/>
              <w:left w:w="100" w:type="dxa"/>
              <w:right w:w="100" w:type="dxa"/>
            </w:tcMar>
          </w:tcPr>
          <w:p>
            <w:pPr>
              <w:spacing w:after="0"/>
            </w:pPr>
            <w:r>
              <w:rPr>
                <w:b/>
                <w:sz w:val="19"/>
              </w:rPr>
              <w:t>RNF-09</w:t>
            </w:r>
          </w:p>
        </w:tc>
        <w:tc>
          <w:tcPr>
            <w:tcW w:type="dxa" w:w="1872"/>
            <w:shd w:fill="F8FAFC"/>
            <w:tcMar>
              <w:top w:w="70" w:type="dxa"/>
              <w:bottom w:w="70" w:type="dxa"/>
              <w:left w:w="100" w:type="dxa"/>
              <w:right w:w="100" w:type="dxa"/>
            </w:tcMar>
          </w:tcPr>
          <w:p>
            <w:pPr>
              <w:spacing w:after="0"/>
            </w:pPr>
            <w:r>
              <w:rPr>
                <w:b/>
                <w:color w:val="0284C7"/>
                <w:sz w:val="19"/>
              </w:rPr>
              <w:t>Usabilidad</w:t>
            </w:r>
          </w:p>
        </w:tc>
        <w:tc>
          <w:tcPr>
            <w:tcW w:type="dxa" w:w="3744"/>
            <w:shd w:fill="F8FAFC"/>
            <w:tcMar>
              <w:top w:w="70" w:type="dxa"/>
              <w:bottom w:w="70" w:type="dxa"/>
              <w:left w:w="100" w:type="dxa"/>
              <w:right w:w="100" w:type="dxa"/>
            </w:tcMar>
          </w:tcPr>
          <w:p>
            <w:pPr>
              <w:spacing w:after="0"/>
            </w:pPr>
            <w:r>
              <w:rPr>
                <w:sz w:val="18"/>
              </w:rPr>
              <w:t>Claridad en la Gestión de Errores: Los códigos de estado HTTP 403, 404, 500 y 503 deben presentar interfaces ilustradas claras, con lenguaje comprensible para el usuario y acciones de recuperación directas ("Regresar al Inicio" o "Reintentar Conexión").</w:t>
            </w:r>
          </w:p>
        </w:tc>
        <w:tc>
          <w:tcPr>
            <w:tcW w:type="dxa" w:w="2448"/>
            <w:shd w:fill="F8FAFC"/>
            <w:tcMar>
              <w:top w:w="70" w:type="dxa"/>
              <w:bottom w:w="70" w:type="dxa"/>
              <w:left w:w="100" w:type="dxa"/>
              <w:right w:w="100" w:type="dxa"/>
            </w:tcMar>
          </w:tcPr>
          <w:p>
            <w:pPr>
              <w:spacing w:after="0"/>
            </w:pPr>
            <w:r>
              <w:rPr>
                <w:sz w:val="18"/>
              </w:rPr>
              <w:t>Presencia obligatoria de enlaces de retorno y feedback semántico visual.</w:t>
            </w:r>
          </w:p>
        </w:tc>
      </w:tr>
      <w:tr>
        <w:tc>
          <w:tcPr>
            <w:tcW w:type="dxa" w:w="1296"/>
            <w:shd w:fill="FFFFFF"/>
            <w:tcMar>
              <w:top w:w="70" w:type="dxa"/>
              <w:bottom w:w="70" w:type="dxa"/>
              <w:left w:w="100" w:type="dxa"/>
              <w:right w:w="100" w:type="dxa"/>
            </w:tcMar>
          </w:tcPr>
          <w:p>
            <w:pPr>
              <w:spacing w:after="0"/>
            </w:pPr>
            <w:r>
              <w:rPr>
                <w:b/>
                <w:sz w:val="19"/>
              </w:rPr>
              <w:t>RNF-10</w:t>
            </w:r>
          </w:p>
        </w:tc>
        <w:tc>
          <w:tcPr>
            <w:tcW w:type="dxa" w:w="1872"/>
            <w:shd w:fill="FFFFFF"/>
            <w:tcMar>
              <w:top w:w="70" w:type="dxa"/>
              <w:bottom w:w="70" w:type="dxa"/>
              <w:left w:w="100" w:type="dxa"/>
              <w:right w:w="100" w:type="dxa"/>
            </w:tcMar>
          </w:tcPr>
          <w:p>
            <w:pPr>
              <w:spacing w:after="0"/>
            </w:pPr>
            <w:r>
              <w:rPr>
                <w:b/>
                <w:color w:val="0284C7"/>
                <w:sz w:val="19"/>
              </w:rPr>
              <w:t>Compatibilidad</w:t>
            </w:r>
          </w:p>
        </w:tc>
        <w:tc>
          <w:tcPr>
            <w:tcW w:type="dxa" w:w="3744"/>
            <w:shd w:fill="FFFFFF"/>
            <w:tcMar>
              <w:top w:w="70" w:type="dxa"/>
              <w:bottom w:w="70" w:type="dxa"/>
              <w:left w:w="100" w:type="dxa"/>
              <w:right w:w="100" w:type="dxa"/>
            </w:tcMar>
          </w:tcPr>
          <w:p>
            <w:pPr>
              <w:spacing w:after="0"/>
            </w:pPr>
            <w:r>
              <w:rPr>
                <w:sz w:val="18"/>
              </w:rPr>
              <w:t>Entorno de Ejecución Servidor: El sistema debe ser completamente operativo en servidores Apache 2.4+ ejecutando PHP 8.1 a 8.3 con extensiones pdo_pgsql, gd (con soporte WebP habilitado), mbstring y openssl.</w:t>
            </w:r>
          </w:p>
        </w:tc>
        <w:tc>
          <w:tcPr>
            <w:tcW w:type="dxa" w:w="2448"/>
            <w:shd w:fill="FFFFFF"/>
            <w:tcMar>
              <w:top w:w="70" w:type="dxa"/>
              <w:bottom w:w="70" w:type="dxa"/>
              <w:left w:w="100" w:type="dxa"/>
              <w:right w:w="100" w:type="dxa"/>
            </w:tcMar>
          </w:tcPr>
          <w:p>
            <w:pPr>
              <w:spacing w:after="0"/>
            </w:pPr>
            <w:r>
              <w:rPr>
                <w:sz w:val="18"/>
              </w:rPr>
              <w:t>Ejecución exitosa del comprobador de dependencias en el instalador.</w:t>
            </w:r>
          </w:p>
        </w:tc>
      </w:tr>
      <w:tr>
        <w:tc>
          <w:tcPr>
            <w:tcW w:type="dxa" w:w="1296"/>
            <w:shd w:fill="F8FAFC"/>
            <w:tcMar>
              <w:top w:w="70" w:type="dxa"/>
              <w:bottom w:w="70" w:type="dxa"/>
              <w:left w:w="100" w:type="dxa"/>
              <w:right w:w="100" w:type="dxa"/>
            </w:tcMar>
          </w:tcPr>
          <w:p>
            <w:pPr>
              <w:spacing w:after="0"/>
            </w:pPr>
            <w:r>
              <w:rPr>
                <w:b/>
                <w:sz w:val="19"/>
              </w:rPr>
              <w:t>RNF-11</w:t>
            </w:r>
          </w:p>
        </w:tc>
        <w:tc>
          <w:tcPr>
            <w:tcW w:type="dxa" w:w="1872"/>
            <w:shd w:fill="F8FAFC"/>
            <w:tcMar>
              <w:top w:w="70" w:type="dxa"/>
              <w:bottom w:w="70" w:type="dxa"/>
              <w:left w:w="100" w:type="dxa"/>
              <w:right w:w="100" w:type="dxa"/>
            </w:tcMar>
          </w:tcPr>
          <w:p>
            <w:pPr>
              <w:spacing w:after="0"/>
            </w:pPr>
            <w:r>
              <w:rPr>
                <w:b/>
                <w:color w:val="0284C7"/>
                <w:sz w:val="19"/>
              </w:rPr>
              <w:t>Compatibilidad</w:t>
            </w:r>
          </w:p>
        </w:tc>
        <w:tc>
          <w:tcPr>
            <w:tcW w:type="dxa" w:w="3744"/>
            <w:shd w:fill="F8FAFC"/>
            <w:tcMar>
              <w:top w:w="70" w:type="dxa"/>
              <w:bottom w:w="70" w:type="dxa"/>
              <w:left w:w="100" w:type="dxa"/>
              <w:right w:w="100" w:type="dxa"/>
            </w:tcMar>
          </w:tcPr>
          <w:p>
            <w:pPr>
              <w:spacing w:after="0"/>
            </w:pPr>
            <w:r>
              <w:rPr>
                <w:sz w:val="18"/>
              </w:rPr>
              <w:t>Compatibilidad de Navegadores Clientes: Total compatibilidad con versiones modernas de Google Chrome, Mozilla Firefox, Microsoft Edge, Safari y navegadores basados en Chromium.</w:t>
            </w:r>
          </w:p>
        </w:tc>
        <w:tc>
          <w:tcPr>
            <w:tcW w:type="dxa" w:w="2448"/>
            <w:shd w:fill="F8FAFC"/>
            <w:tcMar>
              <w:top w:w="70" w:type="dxa"/>
              <w:bottom w:w="70" w:type="dxa"/>
              <w:left w:w="100" w:type="dxa"/>
              <w:right w:w="100" w:type="dxa"/>
            </w:tcMar>
          </w:tcPr>
          <w:p>
            <w:pPr>
              <w:spacing w:after="0"/>
            </w:pPr>
            <w:r>
              <w:rPr>
                <w:sz w:val="18"/>
              </w:rPr>
              <w:t>Renderizado y funcionamiento interactivo idéntico en pruebas cross-browser.</w:t>
            </w:r>
          </w:p>
        </w:tc>
      </w:tr>
      <w:tr>
        <w:tc>
          <w:tcPr>
            <w:tcW w:type="dxa" w:w="1296"/>
            <w:shd w:fill="FFFFFF"/>
            <w:tcMar>
              <w:top w:w="70" w:type="dxa"/>
              <w:bottom w:w="70" w:type="dxa"/>
              <w:left w:w="100" w:type="dxa"/>
              <w:right w:w="100" w:type="dxa"/>
            </w:tcMar>
          </w:tcPr>
          <w:p>
            <w:pPr>
              <w:spacing w:after="0"/>
            </w:pPr>
            <w:r>
              <w:rPr>
                <w:b/>
                <w:sz w:val="19"/>
              </w:rPr>
              <w:t>RNF-12</w:t>
            </w:r>
          </w:p>
        </w:tc>
        <w:tc>
          <w:tcPr>
            <w:tcW w:type="dxa" w:w="1872"/>
            <w:shd w:fill="FFFFFF"/>
            <w:tcMar>
              <w:top w:w="70" w:type="dxa"/>
              <w:bottom w:w="70" w:type="dxa"/>
              <w:left w:w="100" w:type="dxa"/>
              <w:right w:w="100" w:type="dxa"/>
            </w:tcMar>
          </w:tcPr>
          <w:p>
            <w:pPr>
              <w:spacing w:after="0"/>
            </w:pPr>
            <w:r>
              <w:rPr>
                <w:b/>
                <w:color w:val="0284C7"/>
                <w:sz w:val="19"/>
              </w:rPr>
              <w:t>Mantenibilidad</w:t>
            </w:r>
          </w:p>
        </w:tc>
        <w:tc>
          <w:tcPr>
            <w:tcW w:type="dxa" w:w="3744"/>
            <w:shd w:fill="FFFFFF"/>
            <w:tcMar>
              <w:top w:w="70" w:type="dxa"/>
              <w:bottom w:w="70" w:type="dxa"/>
              <w:left w:w="100" w:type="dxa"/>
              <w:right w:w="100" w:type="dxa"/>
            </w:tcMar>
          </w:tcPr>
          <w:p>
            <w:pPr>
              <w:spacing w:after="0"/>
            </w:pPr>
            <w:r>
              <w:rPr>
                <w:sz w:val="18"/>
              </w:rPr>
              <w:t>Acoplamiento Débil Modular: La adición, eliminación o desactivación física de una carpeta de módulo en modules/ no debe comprometer la estabilidad del resto del sistema. El ModuleLoader debe ignorar módulos defectuosos sin causar interrupción de servicio (fail-safe discovery).</w:t>
            </w:r>
          </w:p>
        </w:tc>
        <w:tc>
          <w:tcPr>
            <w:tcW w:type="dxa" w:w="2448"/>
            <w:shd w:fill="FFFFFF"/>
            <w:tcMar>
              <w:top w:w="70" w:type="dxa"/>
              <w:bottom w:w="70" w:type="dxa"/>
              <w:left w:w="100" w:type="dxa"/>
              <w:right w:w="100" w:type="dxa"/>
            </w:tcMar>
          </w:tcPr>
          <w:p>
            <w:pPr>
              <w:spacing w:after="0"/>
            </w:pPr>
            <w:r>
              <w:rPr>
                <w:sz w:val="18"/>
              </w:rPr>
              <w:t>El sistema arranca sin fallas críticas ante la desconexión física de cualquier módulo.</w:t>
            </w:r>
          </w:p>
        </w:tc>
      </w:tr>
      <w:tr>
        <w:tc>
          <w:tcPr>
            <w:tcW w:type="dxa" w:w="1296"/>
            <w:shd w:fill="F8FAFC"/>
            <w:tcMar>
              <w:top w:w="70" w:type="dxa"/>
              <w:bottom w:w="70" w:type="dxa"/>
              <w:left w:w="100" w:type="dxa"/>
              <w:right w:w="100" w:type="dxa"/>
            </w:tcMar>
          </w:tcPr>
          <w:p>
            <w:pPr>
              <w:spacing w:after="0"/>
            </w:pPr>
            <w:r>
              <w:rPr>
                <w:b/>
                <w:sz w:val="19"/>
              </w:rPr>
              <w:t>RNF-13</w:t>
            </w:r>
          </w:p>
        </w:tc>
        <w:tc>
          <w:tcPr>
            <w:tcW w:type="dxa" w:w="1872"/>
            <w:shd w:fill="F8FAFC"/>
            <w:tcMar>
              <w:top w:w="70" w:type="dxa"/>
              <w:bottom w:w="70" w:type="dxa"/>
              <w:left w:w="100" w:type="dxa"/>
              <w:right w:w="100" w:type="dxa"/>
            </w:tcMar>
          </w:tcPr>
          <w:p>
            <w:pPr>
              <w:spacing w:after="0"/>
            </w:pPr>
            <w:r>
              <w:rPr>
                <w:b/>
                <w:color w:val="0284C7"/>
                <w:sz w:val="19"/>
              </w:rPr>
              <w:t>Mantenibilidad</w:t>
            </w:r>
          </w:p>
        </w:tc>
        <w:tc>
          <w:tcPr>
            <w:tcW w:type="dxa" w:w="3744"/>
            <w:shd w:fill="F8FAFC"/>
            <w:tcMar>
              <w:top w:w="70" w:type="dxa"/>
              <w:bottom w:w="70" w:type="dxa"/>
              <w:left w:w="100" w:type="dxa"/>
              <w:right w:w="100" w:type="dxa"/>
            </w:tcMar>
          </w:tcPr>
          <w:p>
            <w:pPr>
              <w:spacing w:after="0"/>
            </w:pPr>
            <w:r>
              <w:rPr>
                <w:sz w:val="18"/>
              </w:rPr>
              <w:t>Aislamiento de la Bóveda de Almacenamiento: La carpeta storage/ debe contar con reglas .htaccess de denegación total (Deny from all), impidiendo el acceso HTTP directo a bases de datos, respaldos, archivos de configuración o logs.</w:t>
            </w:r>
          </w:p>
        </w:tc>
        <w:tc>
          <w:tcPr>
            <w:tcW w:type="dxa" w:w="2448"/>
            <w:shd w:fill="F8FAFC"/>
            <w:tcMar>
              <w:top w:w="70" w:type="dxa"/>
              <w:bottom w:w="70" w:type="dxa"/>
              <w:left w:w="100" w:type="dxa"/>
              <w:right w:w="100" w:type="dxa"/>
            </w:tcMar>
          </w:tcPr>
          <w:p>
            <w:pPr>
              <w:spacing w:after="0"/>
            </w:pPr>
            <w:r>
              <w:rPr>
                <w:sz w:val="18"/>
              </w:rPr>
              <w:t>Respuesta HTTP 403 Prohibido ante cualquier intento de acceso directo URL hacia storage/.</w:t>
            </w:r>
          </w:p>
        </w:tc>
      </w:tr>
    </w:tbl>
    <w:p>
      <w:pPr>
        <w:spacing w:after="240"/>
      </w:pPr>
    </w:p>
    <w:p>
      <w:pPr>
        <w:pStyle w:val="Heading1"/>
        <w:spacing w:before="360" w:after="160"/>
      </w:pPr>
      <w:r>
        <w:rPr>
          <w:color w:val="002244"/>
        </w:rPr>
        <w:t>5. Historias de Usuario (User Stories)</w:t>
      </w:r>
    </w:p>
    <w:p>
      <w:pPr>
        <w:pStyle w:val="Heading2"/>
        <w:spacing w:before="240" w:after="80"/>
      </w:pPr>
      <w:r>
        <w:rPr>
          <w:color w:val="0284C7"/>
        </w:rPr>
        <w:t>US-01: Inicio de Sesión Institucional Flexible</w:t>
      </w:r>
    </w:p>
    <w:p>
      <w:pPr>
        <w:spacing w:after="80" w:line="276" w:lineRule="auto"/>
      </w:pPr>
      <w:r>
        <w:rPr>
          <w:b/>
        </w:rPr>
        <w:t xml:space="preserve">COMO </w:t>
      </w:r>
      <w:r>
        <w:t xml:space="preserve">estudiante o docente de la UPTTMBI, </w:t>
      </w:r>
      <w:r>
        <w:rPr>
          <w:b/>
        </w:rPr>
        <w:t xml:space="preserve">QUIERO </w:t>
      </w:r>
      <w:r>
        <w:t xml:space="preserve">iniciar sesión introduciendo mi número de cédula en cualquier formato usual (con o sin prefijo V/E), </w:t>
      </w:r>
      <w:r>
        <w:rPr>
          <w:b/>
        </w:rPr>
        <w:t xml:space="preserve">PARA </w:t>
      </w:r>
      <w:r>
        <w:t>ingresar a mis paneles de trabajo sin complicaciones de formato o rechazos innecesarios.</w:t>
      </w:r>
    </w:p>
    <w:p>
      <w:pPr>
        <w:pStyle w:val="ListBullet"/>
        <w:spacing w:after="40" w:line="276" w:lineRule="auto"/>
      </w:pPr>
      <w:r>
        <w:t>Si introduzco V-18999888, V18999888 o 18999888 con mi clave correcta, el sistema me autentica exitosamente.</w:t>
      </w:r>
    </w:p>
    <w:p>
      <w:pPr>
        <w:pStyle w:val="ListBullet"/>
        <w:spacing w:after="40" w:line="276" w:lineRule="auto"/>
      </w:pPr>
      <w:r>
        <w:t>Si mi cuenta no ha confirmado su correo electrónico, el sistema me informa que debo revisar mi buzón para activarla.</w:t>
      </w:r>
    </w:p>
    <w:p>
      <w:pPr>
        <w:pStyle w:val="Heading2"/>
        <w:spacing w:before="240" w:after="80"/>
      </w:pPr>
      <w:r>
        <w:rPr>
          <w:color w:val="0284C7"/>
        </w:rPr>
        <w:t>US-02: Búsqueda y Descarga de Trabajos de Grado (PST)</w:t>
      </w:r>
    </w:p>
    <w:p>
      <w:pPr>
        <w:spacing w:after="80" w:line="276" w:lineRule="auto"/>
      </w:pPr>
      <w:r>
        <w:rPr>
          <w:b/>
        </w:rPr>
        <w:t xml:space="preserve">COMO </w:t>
      </w:r>
      <w:r>
        <w:t xml:space="preserve">estudiante tesista o investigador, </w:t>
      </w:r>
      <w:r>
        <w:rPr>
          <w:b/>
        </w:rPr>
        <w:t xml:space="preserve">QUIERO </w:t>
      </w:r>
      <w:r>
        <w:t xml:space="preserve">buscar proyectos de investigación por palabras clave y filtrar por mi carrera (PNF), </w:t>
      </w:r>
      <w:r>
        <w:rPr>
          <w:b/>
        </w:rPr>
        <w:t xml:space="preserve">PARA </w:t>
      </w:r>
      <w:r>
        <w:t>consultar antecedentes académicos válidos y generar la referencia bibliográfica formal de manera inmediata.</w:t>
      </w:r>
    </w:p>
    <w:p>
      <w:pPr>
        <w:pStyle w:val="ListBullet"/>
        <w:spacing w:after="40" w:line="276" w:lineRule="auto"/>
      </w:pPr>
      <w:r>
        <w:t>Al escribir términos en el buscador, obtengo los proyectos ordenados por relevancia temática.</w:t>
      </w:r>
    </w:p>
    <w:p>
      <w:pPr>
        <w:pStyle w:val="ListBullet"/>
        <w:spacing w:after="40" w:line="276" w:lineRule="auto"/>
      </w:pPr>
      <w:r>
        <w:t>Al ingresar a la ficha técnica, dispongo de un botón para copiar la cita exacta en formato APA o descargar el archivo PDF.</w:t>
      </w:r>
    </w:p>
    <w:p>
      <w:pPr>
        <w:pStyle w:val="Heading2"/>
        <w:spacing w:before="240" w:after="80"/>
      </w:pPr>
      <w:r>
        <w:rPr>
          <w:color w:val="0284C7"/>
        </w:rPr>
        <w:t>US-03: Postulación a Proyectos de Investigación I+D</w:t>
      </w:r>
    </w:p>
    <w:p>
      <w:pPr>
        <w:spacing w:after="80" w:line="276" w:lineRule="auto"/>
      </w:pPr>
      <w:r>
        <w:rPr>
          <w:b/>
        </w:rPr>
        <w:t xml:space="preserve">COMO </w:t>
      </w:r>
      <w:r>
        <w:t xml:space="preserve">estudiante de pregrado, </w:t>
      </w:r>
      <w:r>
        <w:rPr>
          <w:b/>
        </w:rPr>
        <w:t xml:space="preserve">QUIERO </w:t>
      </w:r>
      <w:r>
        <w:t xml:space="preserve">postularme a las convocatorias abiertas de proyectos de investigación publicadas por los profesores, </w:t>
      </w:r>
      <w:r>
        <w:rPr>
          <w:b/>
        </w:rPr>
        <w:t xml:space="preserve">PARA </w:t>
      </w:r>
      <w:r>
        <w:t>integrarme como colaborador técnico y cumplir con mis actividades formativas o pasantías.</w:t>
      </w:r>
    </w:p>
    <w:p>
      <w:pPr>
        <w:pStyle w:val="ListBullet"/>
        <w:spacing w:after="40" w:line="276" w:lineRule="auto"/>
      </w:pPr>
      <w:r>
        <w:t>Puedo visualizar el perfil del docente responsable y los requerimientos del proyecto.</w:t>
      </w:r>
    </w:p>
    <w:p>
      <w:pPr>
        <w:pStyle w:val="ListBullet"/>
        <w:spacing w:after="40" w:line="276" w:lineRule="auto"/>
      </w:pPr>
      <w:r>
        <w:t>Al enviar mi postulación, recibo confirmación visual y mi postulación queda registrada en el panel del docente.</w:t>
      </w:r>
    </w:p>
    <w:p>
      <w:pPr>
        <w:pStyle w:val="Heading2"/>
        <w:spacing w:before="240" w:after="80"/>
      </w:pPr>
      <w:r>
        <w:rPr>
          <w:color w:val="0284C7"/>
        </w:rPr>
        <w:t>US-04: Solicitud de Apoyo Técnico del Sector Productivo</w:t>
      </w:r>
    </w:p>
    <w:p>
      <w:pPr>
        <w:spacing w:after="80" w:line="276" w:lineRule="auto"/>
      </w:pPr>
      <w:r>
        <w:rPr>
          <w:b/>
        </w:rPr>
        <w:t xml:space="preserve">COMO </w:t>
      </w:r>
      <w:r>
        <w:t xml:space="preserve">gerente o representante de una empresa local, </w:t>
      </w:r>
      <w:r>
        <w:rPr>
          <w:b/>
        </w:rPr>
        <w:t xml:space="preserve">QUIERO </w:t>
      </w:r>
      <w:r>
        <w:t xml:space="preserve">inscribir un problema tecnológico o productivo de mi organización en el portal de vinculación, </w:t>
      </w:r>
      <w:r>
        <w:rPr>
          <w:b/>
        </w:rPr>
        <w:t xml:space="preserve">PARA </w:t>
      </w:r>
      <w:r>
        <w:t>que equipos multidisciplinarios de la universidad formulen soluciones aplicadas.</w:t>
      </w:r>
    </w:p>
    <w:p>
      <w:pPr>
        <w:pStyle w:val="ListBullet"/>
        <w:spacing w:after="40" w:line="276" w:lineRule="auto"/>
      </w:pPr>
      <w:r>
        <w:t>Al completar el formulario obtengo un código de comprobante oficial.</w:t>
      </w:r>
    </w:p>
    <w:p>
      <w:pPr>
        <w:pStyle w:val="ListBullet"/>
        <w:spacing w:after="40" w:line="276" w:lineRule="auto"/>
      </w:pPr>
      <w:r>
        <w:t>Puedo ingresar dicho código en el rastreador público en cualquier momento para conocer el estado de mi solicitud.</w:t>
      </w:r>
    </w:p>
    <w:p>
      <w:pPr>
        <w:pStyle w:val="Heading2"/>
        <w:spacing w:before="240" w:after="80"/>
      </w:pPr>
      <w:r>
        <w:rPr>
          <w:color w:val="0284C7"/>
        </w:rPr>
        <w:t>US-05: Administración de Contingencias y Respaldos</w:t>
      </w:r>
    </w:p>
    <w:p>
      <w:pPr>
        <w:spacing w:after="80" w:line="276" w:lineRule="auto"/>
      </w:pPr>
      <w:r>
        <w:rPr>
          <w:b/>
        </w:rPr>
        <w:t xml:space="preserve">COMO </w:t>
      </w:r>
      <w:r>
        <w:t xml:space="preserve">SuperAdministrador de la infraestructura CIIDI, </w:t>
      </w:r>
      <w:r>
        <w:rPr>
          <w:b/>
        </w:rPr>
        <w:t xml:space="preserve">QUIERO </w:t>
      </w:r>
      <w:r>
        <w:t xml:space="preserve">crear copias de respaldo comprimidas de la base de datos y activar el modo de mantenimiento con cronómetro regresivo, </w:t>
      </w:r>
      <w:r>
        <w:rPr>
          <w:b/>
        </w:rPr>
        <w:t xml:space="preserve">PARA </w:t>
      </w:r>
      <w:r>
        <w:t>realizar tareas de actualización tecnológica sin riesgo de pérdida de datos ni inconsistencias de usuarios.</w:t>
      </w:r>
    </w:p>
    <w:p>
      <w:pPr>
        <w:pStyle w:val="ListBullet"/>
        <w:spacing w:after="40" w:line="276" w:lineRule="auto"/>
      </w:pPr>
      <w:r>
        <w:t>Un solo clic genera el archivo comprimido .sql.gz y lo deja disponible para descarga o restauración.</w:t>
      </w:r>
    </w:p>
    <w:p>
      <w:pPr>
        <w:pStyle w:val="ListBullet"/>
        <w:spacing w:after="40" w:line="276" w:lineRule="auto"/>
      </w:pPr>
      <w:r>
        <w:t>Mientras el mantenimiento está activo, los usuarios públicos ven la pantalla explicativa y los administradores conservan acceso pleno.</w:t>
      </w:r>
    </w:p>
    <w:p>
      <w:pPr>
        <w:pStyle w:val="Heading1"/>
        <w:spacing w:before="360" w:after="160"/>
      </w:pPr>
      <w:r>
        <w:rPr>
          <w:color w:val="002244"/>
        </w:rPr>
        <w:t>6. Matriz de Riesgos Técnicos y Mitigaciones</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1584"/>
            <w:shd w:fill="002244"/>
            <w:tcMar>
              <w:top w:w="100" w:type="dxa"/>
              <w:bottom w:w="100" w:type="dxa"/>
              <w:left w:w="100" w:type="dxa"/>
              <w:right w:w="100" w:type="dxa"/>
            </w:tcMar>
          </w:tcPr>
          <w:p>
            <w:pPr>
              <w:spacing w:after="0"/>
            </w:pPr>
            <w:r>
              <w:rPr>
                <w:b/>
                <w:color w:val="FFFFFF"/>
                <w:sz w:val="20"/>
              </w:rPr>
              <w:t>Código</w:t>
            </w:r>
          </w:p>
        </w:tc>
        <w:tc>
          <w:tcPr>
            <w:tcW w:type="dxa" w:w="3600"/>
            <w:shd w:fill="002244"/>
            <w:tcMar>
              <w:top w:w="100" w:type="dxa"/>
              <w:bottom w:w="100" w:type="dxa"/>
              <w:left w:w="100" w:type="dxa"/>
              <w:right w:w="100" w:type="dxa"/>
            </w:tcMar>
          </w:tcPr>
          <w:p>
            <w:pPr>
              <w:spacing w:after="0"/>
            </w:pPr>
            <w:r>
              <w:rPr>
                <w:b/>
                <w:color w:val="FFFFFF"/>
                <w:sz w:val="20"/>
              </w:rPr>
              <w:t>Riesgo Identificado</w:t>
            </w:r>
          </w:p>
        </w:tc>
        <w:tc>
          <w:tcPr>
            <w:tcW w:type="dxa" w:w="1440"/>
            <w:shd w:fill="002244"/>
            <w:tcMar>
              <w:top w:w="100" w:type="dxa"/>
              <w:bottom w:w="100" w:type="dxa"/>
              <w:left w:w="100" w:type="dxa"/>
              <w:right w:w="100" w:type="dxa"/>
            </w:tcMar>
          </w:tcPr>
          <w:p>
            <w:pPr>
              <w:spacing w:after="0"/>
            </w:pPr>
            <w:r>
              <w:rPr>
                <w:b/>
                <w:color w:val="FFFFFF"/>
                <w:sz w:val="20"/>
              </w:rPr>
              <w:t>Impacto</w:t>
            </w:r>
          </w:p>
        </w:tc>
        <w:tc>
          <w:tcPr>
            <w:tcW w:type="dxa" w:w="2736"/>
            <w:shd w:fill="002244"/>
            <w:tcMar>
              <w:top w:w="100" w:type="dxa"/>
              <w:bottom w:w="100" w:type="dxa"/>
              <w:left w:w="100" w:type="dxa"/>
              <w:right w:w="100" w:type="dxa"/>
            </w:tcMar>
          </w:tcPr>
          <w:p>
            <w:pPr>
              <w:spacing w:after="0"/>
            </w:pPr>
            <w:r>
              <w:rPr>
                <w:b/>
                <w:color w:val="FFFFFF"/>
                <w:sz w:val="20"/>
              </w:rPr>
              <w:t>Mitigación Implementada</w:t>
            </w:r>
          </w:p>
        </w:tc>
      </w:tr>
      <w:tr>
        <w:tc>
          <w:tcPr>
            <w:tcW w:type="dxa" w:w="1584"/>
            <w:shd w:fill="F8FAFC"/>
            <w:tcMar>
              <w:top w:w="70" w:type="dxa"/>
              <w:bottom w:w="70" w:type="dxa"/>
              <w:left w:w="100" w:type="dxa"/>
              <w:right w:w="100" w:type="dxa"/>
            </w:tcMar>
          </w:tcPr>
          <w:p>
            <w:pPr>
              <w:spacing w:after="0"/>
            </w:pPr>
            <w:r>
              <w:rPr>
                <w:b/>
                <w:sz w:val="19"/>
              </w:rPr>
              <w:t>RISK-01</w:t>
            </w:r>
          </w:p>
        </w:tc>
        <w:tc>
          <w:tcPr>
            <w:tcW w:type="dxa" w:w="3600"/>
            <w:shd w:fill="F8FAFC"/>
            <w:tcMar>
              <w:top w:w="70" w:type="dxa"/>
              <w:bottom w:w="70" w:type="dxa"/>
              <w:left w:w="100" w:type="dxa"/>
              <w:right w:w="100" w:type="dxa"/>
            </w:tcMar>
          </w:tcPr>
          <w:p>
            <w:pPr>
              <w:spacing w:after="0"/>
            </w:pPr>
            <w:r>
              <w:rPr>
                <w:sz w:val="19"/>
              </w:rPr>
              <w:t>Saturación de memoria por subida de tesis extensas en PDF/DOCX.</w:t>
            </w:r>
          </w:p>
        </w:tc>
        <w:tc>
          <w:tcPr>
            <w:tcW w:type="dxa" w:w="1440"/>
            <w:shd w:fill="F8FAFC"/>
            <w:tcMar>
              <w:top w:w="70" w:type="dxa"/>
              <w:bottom w:w="70" w:type="dxa"/>
              <w:left w:w="100" w:type="dxa"/>
              <w:right w:w="100" w:type="dxa"/>
            </w:tcMar>
          </w:tcPr>
          <w:p>
            <w:pPr>
              <w:spacing w:after="0"/>
            </w:pPr>
            <w:r>
              <w:rPr>
                <w:b/>
                <w:color w:val="D97706"/>
                <w:sz w:val="19"/>
              </w:rPr>
              <w:t>Medio</w:t>
            </w:r>
          </w:p>
        </w:tc>
        <w:tc>
          <w:tcPr>
            <w:tcW w:type="dxa" w:w="2736"/>
            <w:shd w:fill="F8FAFC"/>
            <w:tcMar>
              <w:top w:w="70" w:type="dxa"/>
              <w:bottom w:w="70" w:type="dxa"/>
              <w:left w:w="100" w:type="dxa"/>
              <w:right w:w="100" w:type="dxa"/>
            </w:tcMar>
          </w:tcPr>
          <w:p>
            <w:pPr>
              <w:spacing w:after="0"/>
            </w:pPr>
            <w:r>
              <w:rPr>
                <w:sz w:val="19"/>
              </w:rPr>
              <w:t>Procesamiento por chunks y límites de carga configurados en php.ini y validación de extensión estricta en el controlador.</w:t>
            </w:r>
          </w:p>
        </w:tc>
      </w:tr>
      <w:tr>
        <w:tc>
          <w:tcPr>
            <w:tcW w:type="dxa" w:w="1584"/>
            <w:shd w:fill="FFFFFF"/>
            <w:tcMar>
              <w:top w:w="70" w:type="dxa"/>
              <w:bottom w:w="70" w:type="dxa"/>
              <w:left w:w="100" w:type="dxa"/>
              <w:right w:w="100" w:type="dxa"/>
            </w:tcMar>
          </w:tcPr>
          <w:p>
            <w:pPr>
              <w:spacing w:after="0"/>
            </w:pPr>
            <w:r>
              <w:rPr>
                <w:b/>
                <w:sz w:val="19"/>
              </w:rPr>
              <w:t>RISK-02</w:t>
            </w:r>
          </w:p>
        </w:tc>
        <w:tc>
          <w:tcPr>
            <w:tcW w:type="dxa" w:w="3600"/>
            <w:shd w:fill="FFFFFF"/>
            <w:tcMar>
              <w:top w:w="70" w:type="dxa"/>
              <w:bottom w:w="70" w:type="dxa"/>
              <w:left w:w="100" w:type="dxa"/>
              <w:right w:w="100" w:type="dxa"/>
            </w:tcMar>
          </w:tcPr>
          <w:p>
            <w:pPr>
              <w:spacing w:after="0"/>
            </w:pPr>
            <w:r>
              <w:rPr>
                <w:sz w:val="19"/>
              </w:rPr>
              <w:t>Bloqueo inadvertido de usuarios legítimos por el Rate Limiter en redes universitarias compartidas (NAT/Proxy).</w:t>
            </w:r>
          </w:p>
        </w:tc>
        <w:tc>
          <w:tcPr>
            <w:tcW w:type="dxa" w:w="1440"/>
            <w:shd w:fill="FFFFFF"/>
            <w:tcMar>
              <w:top w:w="70" w:type="dxa"/>
              <w:bottom w:w="70" w:type="dxa"/>
              <w:left w:w="100" w:type="dxa"/>
              <w:right w:w="100" w:type="dxa"/>
            </w:tcMar>
          </w:tcPr>
          <w:p>
            <w:pPr>
              <w:spacing w:after="0"/>
            </w:pPr>
            <w:r>
              <w:rPr>
                <w:b/>
                <w:color w:val="D97706"/>
                <w:sz w:val="19"/>
              </w:rPr>
              <w:t>Medio</w:t>
            </w:r>
          </w:p>
        </w:tc>
        <w:tc>
          <w:tcPr>
            <w:tcW w:type="dxa" w:w="2736"/>
            <w:shd w:fill="FFFFFF"/>
            <w:tcMar>
              <w:top w:w="70" w:type="dxa"/>
              <w:bottom w:w="70" w:type="dxa"/>
              <w:left w:w="100" w:type="dxa"/>
              <w:right w:w="100" w:type="dxa"/>
            </w:tcMar>
          </w:tcPr>
          <w:p>
            <w:pPr>
              <w:spacing w:after="0"/>
            </w:pPr>
            <w:r>
              <w:rPr>
                <w:sz w:val="19"/>
              </w:rPr>
              <w:t>Sistema de lista blanca en security_whitelist.json y utilitario CLI de desbloqueo rápido scripts/unblock_ip.php.</w:t>
            </w:r>
          </w:p>
        </w:tc>
      </w:tr>
      <w:tr>
        <w:tc>
          <w:tcPr>
            <w:tcW w:type="dxa" w:w="1584"/>
            <w:shd w:fill="F8FAFC"/>
            <w:tcMar>
              <w:top w:w="70" w:type="dxa"/>
              <w:bottom w:w="70" w:type="dxa"/>
              <w:left w:w="100" w:type="dxa"/>
              <w:right w:w="100" w:type="dxa"/>
            </w:tcMar>
          </w:tcPr>
          <w:p>
            <w:pPr>
              <w:spacing w:after="0"/>
            </w:pPr>
            <w:r>
              <w:rPr>
                <w:b/>
                <w:sz w:val="19"/>
              </w:rPr>
              <w:t>RISK-03</w:t>
            </w:r>
          </w:p>
        </w:tc>
        <w:tc>
          <w:tcPr>
            <w:tcW w:type="dxa" w:w="3600"/>
            <w:shd w:fill="F8FAFC"/>
            <w:tcMar>
              <w:top w:w="70" w:type="dxa"/>
              <w:bottom w:w="70" w:type="dxa"/>
              <w:left w:w="100" w:type="dxa"/>
              <w:right w:w="100" w:type="dxa"/>
            </w:tcMar>
          </w:tcPr>
          <w:p>
            <w:pPr>
              <w:spacing w:after="0"/>
            </w:pPr>
            <w:r>
              <w:rPr>
                <w:sz w:val="19"/>
              </w:rPr>
              <w:t>Corrupción de credenciales en storage/db_config.json.</w:t>
            </w:r>
          </w:p>
        </w:tc>
        <w:tc>
          <w:tcPr>
            <w:tcW w:type="dxa" w:w="1440"/>
            <w:shd w:fill="F8FAFC"/>
            <w:tcMar>
              <w:top w:w="70" w:type="dxa"/>
              <w:bottom w:w="70" w:type="dxa"/>
              <w:left w:w="100" w:type="dxa"/>
              <w:right w:w="100" w:type="dxa"/>
            </w:tcMar>
          </w:tcPr>
          <w:p>
            <w:pPr>
              <w:spacing w:after="0"/>
            </w:pPr>
            <w:r>
              <w:rPr>
                <w:b/>
                <w:color w:val="16A34A"/>
                <w:sz w:val="19"/>
              </w:rPr>
              <w:t>Bajo</w:t>
            </w:r>
          </w:p>
        </w:tc>
        <w:tc>
          <w:tcPr>
            <w:tcW w:type="dxa" w:w="2736"/>
            <w:shd w:fill="F8FAFC"/>
            <w:tcMar>
              <w:top w:w="70" w:type="dxa"/>
              <w:bottom w:w="70" w:type="dxa"/>
              <w:left w:w="100" w:type="dxa"/>
              <w:right w:w="100" w:type="dxa"/>
            </w:tcMar>
          </w:tcPr>
          <w:p>
            <w:pPr>
              <w:spacing w:after="0"/>
            </w:pPr>
            <w:r>
              <w:rPr>
                <w:sz w:val="19"/>
              </w:rPr>
              <w:t>Rutina de respaldo previa a la sobrescritura y modo de rescate interactivo en core/Views/500.php.</w:t>
            </w:r>
          </w:p>
        </w:tc>
      </w:tr>
    </w:tbl>
    <w:p>
      <w:pPr>
        <w:spacing w:after="240"/>
      </w:pPr>
    </w:p>
    <w:p>
      <w:pPr>
        <w:pStyle w:val="Heading1"/>
        <w:spacing w:before="360" w:after="160"/>
      </w:pPr>
      <w:r>
        <w:rPr>
          <w:color w:val="002244"/>
        </w:rPr>
        <w:t>7. Resumen Ejecutivo</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none"/>
              <w:left w:val="single" w:sz="24" w:space="0" w:color="0284C7"/>
              <w:bottom w:val="none"/>
              <w:right w:val="none"/>
            </w:tcBorders>
          </w:tcPr>
          <w:p>
            <w:pPr>
              <w:spacing w:line="300" w:lineRule="auto" w:after="0"/>
            </w:pPr>
            <w:r>
              <w:rPr>
                <w:i/>
                <w:color w:val="0F172A"/>
                <w:sz w:val="21"/>
              </w:rPr>
              <w:t>El ecosistema de software CIIDI UPTTMBI constituye una plataforma institucional integral orientada a la gestión, preservación, divulgación y vinculación del patrimonio científico, académico y sociotecnológico universitario. Su arquitectura modular basada en microkernel desacoplado garantiza alta disponibilidad y resiliencia ante contingencias de base de datos. El sistema implementa estándares de seguridad perimetral multicapa (WAF, Rate Limiting, RBAC matricial y auditoría RFC-5424), integrando capacidades avanzadas de clasificación temática asistida por inteligencia artificial y búsqueda vectorial semántica sobre proyectos PST. Todo el sistema cuenta con optimización de activos web (formato WebP de alta compresión), gestión autónoma de respaldos GZIP y trazabilidad total para la comunidad académica y el sector productivo regional.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