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1F4E79"/>
          <w:sz w:val="21"/>
        </w:rPr>
        <w:t>REPÚBLICA BOLIVARIANA DE VENEZUELA</w:t>
        <w:br/>
        <w:t>MINISTERIO DEL PODER POPULAR PARA LA EDUCACIÓN UNIVERSITARIA</w:t>
        <w:br/>
        <w:t>UNIVERSIDAD POLITÉCNICA TERRITORIAL DE TRUJILLO</w:t>
        <w:br/>
        <w:t>"MARIO BRICEÑO IRAGORRY"</w:t>
        <w:br/>
        <w:t>PROGRAMA NACIONAL DE FORMACIÓN EN INFORMÁTICA</w:t>
      </w:r>
    </w:p>
    <w:p>
      <w:pPr>
        <w:spacing w:after="800"/>
        <w:jc w:val="center"/>
      </w:pPr>
      <w:r>
        <w:rPr>
          <w:color w:val="1F4E79"/>
        </w:rPr>
        <w:t>____________________________________________________</w:t>
      </w:r>
    </w:p>
    <w:p>
      <w:pPr>
        <w:spacing w:line="312" w:lineRule="auto" w:after="280"/>
        <w:jc w:val="center"/>
      </w:pPr>
      <w:r>
        <w:rPr>
          <w:rFonts w:ascii="Calibri" w:hAnsi="Calibri"/>
          <w:b/>
          <w:color w:val="1F4E79"/>
          <w:sz w:val="34"/>
        </w:rPr>
        <w:t>SISTEMA INTEGRADO DE GESTIÓN CIENTÍFICA Y TECNOLÓGICA (CIIDI)</w:t>
      </w:r>
    </w:p>
    <w:p>
      <w:pPr>
        <w:spacing w:after="1000"/>
        <w:jc w:val="center"/>
      </w:pPr>
      <w:r>
        <w:rPr>
          <w:rFonts w:ascii="Calibri" w:hAnsi="Calibri"/>
          <w:b/>
          <w:color w:val="2E5B88"/>
          <w:sz w:val="23"/>
        </w:rPr>
        <w:t>CAPÍTULO IV: VALIDACIÓN TÉCNICA Y DE USABILIDAD DEL SOFTWARE</w:t>
        <w:br/>
        <w:t>PRUEBAS DE CAJA BLANCA (SAST), CAJA NEGRA (DAST), INTEGRIDAD DE BASE DE DATOS, MANEJO DE EXCEPCIONES HTTP Y NORMATIVAS</w:t>
        <w:br/>
        <w:t>ALCANCE: CORE, AUTENTICACIÓN, ARTÍCULOS, REPOSITORIOPST Y SUPERADMIN</w:t>
      </w:r>
    </w:p>
    <w:p>
      <w:pPr>
        <w:spacing w:before="1600" w:after="0"/>
        <w:jc w:val="center"/>
      </w:pPr>
      <w:r>
        <w:rPr>
          <w:i/>
          <w:color w:val="646464"/>
          <w:sz w:val="20"/>
        </w:rPr>
        <w:t>Núcleo San Luis &amp; Beatriz, Trujillo, Venezuela</w:t>
        <w:br/>
        <w:t>Año Académico 2026</w:t>
      </w:r>
    </w:p>
    <w:p>
      <w:r>
        <w:br w:type="page"/>
      </w:r>
    </w:p>
    <w:p>
      <w:pPr>
        <w:pStyle w:val="Heading1"/>
        <w:keepNext/>
        <w:spacing w:before="240" w:after="160"/>
      </w:pPr>
      <w:r>
        <w:rPr>
          <w:rFonts w:ascii="Calibri" w:hAnsi="Calibri"/>
          <w:b/>
          <w:color w:val="1F4E79"/>
          <w:sz w:val="30"/>
        </w:rPr>
        <w:t>4.3.2. Validación Técnica</w:t>
      </w:r>
    </w:p>
    <w:p>
      <w:pPr>
        <w:spacing w:line="360" w:lineRule="auto" w:after="120" w:before="0"/>
        <w:jc w:val="both"/>
      </w:pPr>
      <w:r>
        <w:t>La validación técnica de una solución informática constituye un proceso metodológico, sistemático y riguroso destinado a certificar la estabilidad funcional, la coherencia transaccional y la protección de la arquitectura del software ante diversas condiciones operativas y posibles amenazas. Para ello, se ejecutan pruebas sistemáticas de Caja Blanca y Caja Negra orientadas a asegurar tanto la integridad de los datos como el comportamiento predecible de la plataforma. En este sentido, Arias (2012) menciona que la recolección de datos técnicos debe ser “objetiva y verificable” (p. 67), razón por la cual se aplicaron protocolos de verificación empírica sobre el núcleo arquitectónico (Core) y los cuatro (4) módulos desarrollados por el equipo de trabajo: Autenticación, Artículos, RepositorioPST y SuperAdmin. De igual forma, Ramírez (2023) expone que “la aplicación sistemática de pruebas de seguridad, alineadas a estándares internacionales, es el único mecanismo objetivo para garantizar la invulnerabilidad de los datos en plataformas académicas e institucionales”.</w:t>
      </w:r>
    </w:p>
    <w:p>
      <w:pPr>
        <w:spacing w:line="360" w:lineRule="auto" w:after="120" w:before="0"/>
        <w:jc w:val="both"/>
      </w:pPr>
      <w:r>
        <w:t>Bajo esta postura metodológica, el protocolo de validación abarcó dos planos convergentes. En primer lugar, se auditó la integridad del motor relacional PostgreSQL, comprobando que los disparadores (triggers) de auditoría automática (tg_auditoria_recursos_insert, tg_auditoria_recursos_delete, tg_auditoria_usuarios_insert, tg_auditoria_usuarios_update y tg_auditoria_usuarios_delete), las funciones PL/pgSQL asociadas (fn_auditoria_recursos y fn_auditoria_usuarios) y el procedimiento almacenado transaccional (insertarproyectoaleatorio), en conjunto con las restricciones de integridad referencial (ON DELETE CASCADE y ON DELETE RESTRICT), preservan de forma inalterable la coherencia de la información académica. En segundo lugar, se integraron metodologías automatizadas de seguridad: el Análisis Estático de Seguridad de Aplicaciones (SAST, por sus siglas en inglés Static Application Security Testing), que permitió inspeccionar el código fuente desde el interior (caja blanca) para detectar y corregir funciones inseguras o fallas lógicas; y el Análisis Dinámico de Seguridad de Aplicaciones (DAST, por sus siglas en inglés Dynamic Application Security Testing), el cual evaluó el sistema en tiempo de ejecución simulando ataques externos (caja negra) para verificar la robustez de las sesiones, el cifrado de credenciales, la protección frente a Inyecciones SQL y Cross-Site Scripting (XSS), así como la gestión estandarizada de excepciones HTTP (400, 403, 404, 500 y 503) gobernada por el Core.</w:t>
      </w:r>
    </w:p>
    <w:p>
      <w:pPr>
        <w:spacing w:line="360" w:lineRule="auto" w:after="120" w:before="0"/>
        <w:jc w:val="both"/>
      </w:pPr>
      <w:r>
        <w:t>A continuación, en la Tabla 15 se detalla la Matriz de Pruebas de Seguridad, Excepciones HTTP y Normativas, especificando los módulos evaluados, el conjunto de controles y ataques simulados, el marco normativo internacional y nacional aplicable (ISO/IEC 27001:2022, OWASP Top 10:2021, Ley Especial Contra los Delitos Informáticos y Ley de Infogobierno), y la eficacia de las mitigaciones verificadas en el código fuente.</w:t>
      </w:r>
    </w:p>
    <w:p>
      <w:pPr>
        <w:spacing w:line="360" w:lineRule="auto" w:after="40" w:before="0"/>
        <w:jc w:val="left"/>
      </w:pPr>
      <w:r>
        <w:rPr>
          <w:b/>
          <w:color w:val="1F4E79"/>
          <w:sz w:val="21"/>
        </w:rPr>
        <w:t>Tabla 15</w:t>
        <w:br/>
      </w:r>
      <w:r>
        <w:rPr>
          <w:b/>
          <w:i/>
          <w:sz w:val="21"/>
        </w:rPr>
        <w:t>Pruebas de Seguridad, Manejo de Excepciones HTTP y Normativas</w:t>
        <w:br/>
      </w:r>
      <w:r>
        <w:rPr>
          <w:sz w:val="19"/>
        </w:rPr>
        <w:t>Responsables: Equipo de desarrollo (Core, Autenticación, Artículos, RepositorioPST y SuperAdmin).</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1881"/>
        <w:gridCol w:w="1881"/>
        <w:gridCol w:w="1881"/>
        <w:gridCol w:w="1881"/>
        <w:gridCol w:w="1881"/>
      </w:tblGrid>
      <w:tr>
        <w:trPr>
          <w:cantSplit/>
        </w:trPr>
        <w:tc>
          <w:tcPr>
            <w:tcW w:type="dxa" w:w="510"/>
            <w:shd w:fill="1F4E79"/>
            <w:tcMar>
              <w:top w:w="110" w:type="dxa"/>
              <w:bottom w:w="110" w:type="dxa"/>
              <w:left w:w="120" w:type="dxa"/>
              <w:right w:w="120" w:type="dxa"/>
            </w:tcMar>
          </w:tcPr>
          <w:p>
            <w:pPr>
              <w:spacing w:line="276" w:lineRule="auto" w:before="40" w:after="40"/>
              <w:jc w:val="center"/>
            </w:pPr>
            <w:r>
              <w:rPr>
                <w:b/>
                <w:color w:val="FFFFFF"/>
                <w:sz w:val="18"/>
              </w:rPr>
              <w:t>N°</w:t>
            </w:r>
          </w:p>
        </w:tc>
        <w:tc>
          <w:tcPr>
            <w:tcW w:type="dxa" w:w="1757"/>
            <w:shd w:fill="1F4E79"/>
            <w:tcMar>
              <w:top w:w="110" w:type="dxa"/>
              <w:bottom w:w="110" w:type="dxa"/>
              <w:left w:w="120" w:type="dxa"/>
              <w:right w:w="120" w:type="dxa"/>
            </w:tcMar>
          </w:tcPr>
          <w:p>
            <w:pPr>
              <w:spacing w:line="276" w:lineRule="auto" w:before="40" w:after="40"/>
              <w:jc w:val="center"/>
            </w:pPr>
            <w:r>
              <w:rPr>
                <w:b/>
                <w:color w:val="FFFFFF"/>
                <w:sz w:val="18"/>
              </w:rPr>
              <w:t>Criterio de Seguridad / Excepción</w:t>
            </w:r>
          </w:p>
        </w:tc>
        <w:tc>
          <w:tcPr>
            <w:tcW w:type="dxa" w:w="1531"/>
            <w:shd w:fill="1F4E79"/>
            <w:tcMar>
              <w:top w:w="110" w:type="dxa"/>
              <w:bottom w:w="110" w:type="dxa"/>
              <w:left w:w="120" w:type="dxa"/>
              <w:right w:w="120" w:type="dxa"/>
            </w:tcMar>
          </w:tcPr>
          <w:p>
            <w:pPr>
              <w:spacing w:line="276" w:lineRule="auto" w:before="40" w:after="40"/>
              <w:jc w:val="center"/>
            </w:pPr>
            <w:r>
              <w:rPr>
                <w:b/>
                <w:color w:val="FFFFFF"/>
                <w:sz w:val="18"/>
              </w:rPr>
              <w:t>Módulos Evaluados</w:t>
            </w:r>
          </w:p>
        </w:tc>
        <w:tc>
          <w:tcPr>
            <w:tcW w:type="dxa" w:w="2324"/>
            <w:shd w:fill="1F4E79"/>
            <w:tcMar>
              <w:top w:w="110" w:type="dxa"/>
              <w:bottom w:w="110" w:type="dxa"/>
              <w:left w:w="120" w:type="dxa"/>
              <w:right w:w="120" w:type="dxa"/>
            </w:tcMar>
          </w:tcPr>
          <w:p>
            <w:pPr>
              <w:spacing w:line="276" w:lineRule="auto" w:before="40" w:after="40"/>
              <w:jc w:val="center"/>
            </w:pPr>
            <w:r>
              <w:rPr>
                <w:b/>
                <w:color w:val="FFFFFF"/>
                <w:sz w:val="18"/>
              </w:rPr>
              <w:t>Normativas Aplicables</w:t>
            </w:r>
          </w:p>
        </w:tc>
        <w:tc>
          <w:tcPr>
            <w:tcW w:type="dxa" w:w="2948"/>
            <w:shd w:fill="1F4E79"/>
            <w:tcMar>
              <w:top w:w="110" w:type="dxa"/>
              <w:bottom w:w="110" w:type="dxa"/>
              <w:left w:w="120" w:type="dxa"/>
              <w:right w:w="120" w:type="dxa"/>
            </w:tcMar>
          </w:tcPr>
          <w:p>
            <w:pPr>
              <w:spacing w:line="276" w:lineRule="auto" w:before="40" w:after="40"/>
              <w:jc w:val="center"/>
            </w:pPr>
            <w:r>
              <w:rPr>
                <w:b/>
                <w:color w:val="FFFFFF"/>
                <w:sz w:val="18"/>
              </w:rPr>
              <w:t>Mitigación Técnica Verificada</w:t>
            </w:r>
          </w:p>
        </w:tc>
      </w:tr>
      <w:tr>
        <w:trPr>
          <w:cantSplit/>
        </w:trPr>
        <w:tc>
          <w:tcPr>
            <w:tcW w:type="dxa" w:w="510"/>
            <w:shd w:fill="F4F7FB"/>
            <w:tcMar>
              <w:top w:w="90" w:type="dxa"/>
              <w:bottom w:w="90" w:type="dxa"/>
              <w:left w:w="120" w:type="dxa"/>
              <w:right w:w="120" w:type="dxa"/>
            </w:tcMar>
          </w:tcPr>
          <w:p>
            <w:pPr>
              <w:spacing w:line="276" w:lineRule="auto" w:before="40" w:after="40"/>
              <w:jc w:val="center"/>
            </w:pPr>
            <w:r>
              <w:rPr>
                <w:b/>
                <w:sz w:val="17"/>
              </w:rPr>
              <w:t>01</w:t>
            </w:r>
          </w:p>
        </w:tc>
        <w:tc>
          <w:tcPr>
            <w:tcW w:type="dxa" w:w="1757"/>
            <w:shd w:fill="F4F7FB"/>
            <w:tcMar>
              <w:top w:w="90" w:type="dxa"/>
              <w:bottom w:w="90" w:type="dxa"/>
              <w:left w:w="120" w:type="dxa"/>
              <w:right w:w="120" w:type="dxa"/>
            </w:tcMar>
          </w:tcPr>
          <w:p>
            <w:pPr>
              <w:spacing w:line="276" w:lineRule="auto" w:before="40" w:after="40"/>
              <w:jc w:val="left"/>
            </w:pPr>
            <w:r>
              <w:rPr>
                <w:b/>
                <w:sz w:val="17"/>
              </w:rPr>
              <w:t>Inyección SQL (SQLi de 1er y 2do Orden)</w:t>
            </w:r>
          </w:p>
        </w:tc>
        <w:tc>
          <w:tcPr>
            <w:tcW w:type="dxa" w:w="1531"/>
            <w:shd w:fill="F4F7FB"/>
            <w:tcMar>
              <w:top w:w="90" w:type="dxa"/>
              <w:bottom w:w="90" w:type="dxa"/>
              <w:left w:w="120" w:type="dxa"/>
              <w:right w:w="120" w:type="dxa"/>
            </w:tcMar>
          </w:tcPr>
          <w:p>
            <w:pPr>
              <w:spacing w:line="276" w:lineRule="auto" w:before="40" w:after="40"/>
              <w:jc w:val="left"/>
            </w:pPr>
            <w:r>
              <w:rPr>
                <w:b w:val="0"/>
                <w:sz w:val="17"/>
              </w:rPr>
              <w:t>Core, Autenticación, Artículos, RepositorioPST y SuperAdmin</w:t>
            </w:r>
          </w:p>
        </w:tc>
        <w:tc>
          <w:tcPr>
            <w:tcW w:type="dxa" w:w="2324"/>
            <w:shd w:fill="F4F7FB"/>
            <w:tcMar>
              <w:top w:w="90" w:type="dxa"/>
              <w:bottom w:w="90" w:type="dxa"/>
              <w:left w:w="120" w:type="dxa"/>
              <w:right w:w="120" w:type="dxa"/>
            </w:tcMar>
          </w:tcPr>
          <w:p>
            <w:pPr>
              <w:spacing w:line="276" w:lineRule="auto" w:before="40" w:after="40"/>
              <w:jc w:val="left"/>
            </w:pPr>
            <w:r>
              <w:rPr>
                <w:sz w:val="17"/>
              </w:rPr>
              <w:t>ISO/IEC 27001:2022: Anexo A.8.28 (Codificación Segura).</w:t>
              <w:br/>
              <w:t>OWASP: A03:2021 (Injection).</w:t>
              <w:br/>
              <w:t>Nacional: Ley Contra Delitos Informáticos (Art. 6: Acceso Indebido).</w:t>
            </w:r>
          </w:p>
        </w:tc>
        <w:tc>
          <w:tcPr>
            <w:tcW w:type="dxa" w:w="2948"/>
            <w:shd w:fill="F4F7FB"/>
            <w:tcMar>
              <w:top w:w="90" w:type="dxa"/>
              <w:bottom w:w="90" w:type="dxa"/>
              <w:left w:w="120" w:type="dxa"/>
              <w:right w:w="120" w:type="dxa"/>
            </w:tcMar>
          </w:tcPr>
          <w:p>
            <w:pPr>
              <w:spacing w:line="276" w:lineRule="auto" w:before="40" w:after="40"/>
              <w:jc w:val="left"/>
            </w:pPr>
            <w:r>
              <w:rPr>
                <w:sz w:val="17"/>
              </w:rPr>
              <w:t>Inhabilitación nativa de emulación PDO (PDO::ATTR_EMULATE_PREPARES = false) en Connection.php, sanitización regex de identificadores SQL en QueryBuilder.php, listas blancas de catálogos en ArticuloModel.php y bloqueo perimetral WAF en Kernel.php.</w:t>
            </w:r>
          </w:p>
        </w:tc>
      </w:tr>
      <w:tr>
        <w:trPr>
          <w:cantSplit/>
        </w:trPr>
        <w:tc>
          <w:tcPr>
            <w:tcW w:type="dxa" w:w="510"/>
            <w:shd w:fill="FFFFFF"/>
            <w:tcMar>
              <w:top w:w="90" w:type="dxa"/>
              <w:bottom w:w="90" w:type="dxa"/>
              <w:left w:w="120" w:type="dxa"/>
              <w:right w:w="120" w:type="dxa"/>
            </w:tcMar>
          </w:tcPr>
          <w:p>
            <w:pPr>
              <w:spacing w:line="276" w:lineRule="auto" w:before="40" w:after="40"/>
              <w:jc w:val="center"/>
            </w:pPr>
            <w:r>
              <w:rPr>
                <w:b/>
                <w:sz w:val="17"/>
              </w:rPr>
              <w:t>02</w:t>
            </w:r>
          </w:p>
        </w:tc>
        <w:tc>
          <w:tcPr>
            <w:tcW w:type="dxa" w:w="1757"/>
            <w:shd w:fill="FFFFFF"/>
            <w:tcMar>
              <w:top w:w="90" w:type="dxa"/>
              <w:bottom w:w="90" w:type="dxa"/>
              <w:left w:w="120" w:type="dxa"/>
              <w:right w:w="120" w:type="dxa"/>
            </w:tcMar>
          </w:tcPr>
          <w:p>
            <w:pPr>
              <w:spacing w:line="276" w:lineRule="auto" w:before="40" w:after="40"/>
              <w:jc w:val="left"/>
            </w:pPr>
            <w:r>
              <w:rPr>
                <w:b/>
                <w:sz w:val="17"/>
              </w:rPr>
              <w:t>Cross-Site Scripting (XSS Reflejado y Almacenado)</w:t>
            </w:r>
          </w:p>
        </w:tc>
        <w:tc>
          <w:tcPr>
            <w:tcW w:type="dxa" w:w="1531"/>
            <w:shd w:fill="FFFFFF"/>
            <w:tcMar>
              <w:top w:w="90" w:type="dxa"/>
              <w:bottom w:w="90" w:type="dxa"/>
              <w:left w:w="120" w:type="dxa"/>
              <w:right w:w="120" w:type="dxa"/>
            </w:tcMar>
          </w:tcPr>
          <w:p>
            <w:pPr>
              <w:spacing w:line="276" w:lineRule="auto" w:before="40" w:after="40"/>
              <w:jc w:val="left"/>
            </w:pPr>
            <w:r>
              <w:rPr>
                <w:b w:val="0"/>
                <w:sz w:val="17"/>
              </w:rPr>
              <w:t>Core, Autenticación, Artículos, RepositorioPST y SuperAdmin</w:t>
            </w:r>
          </w:p>
        </w:tc>
        <w:tc>
          <w:tcPr>
            <w:tcW w:type="dxa" w:w="2324"/>
            <w:shd w:fill="FFFFFF"/>
            <w:tcMar>
              <w:top w:w="90" w:type="dxa"/>
              <w:bottom w:w="90" w:type="dxa"/>
              <w:left w:w="120" w:type="dxa"/>
              <w:right w:w="120" w:type="dxa"/>
            </w:tcMar>
          </w:tcPr>
          <w:p>
            <w:pPr>
              <w:spacing w:line="276" w:lineRule="auto" w:before="40" w:after="40"/>
              <w:jc w:val="left"/>
            </w:pPr>
            <w:r>
              <w:rPr>
                <w:sz w:val="17"/>
              </w:rPr>
              <w:t>ISO/IEC 27001:2022: Anexo A.8.28 y A.8.20.</w:t>
              <w:br/>
              <w:t>OWASP: A03:2021 / A07:2021.</w:t>
              <w:br/>
              <w:t>Nacional: Ley Contra Delitos Informáticos (Art. 7: Sabotaje o Daño a Sistemas).</w:t>
            </w:r>
          </w:p>
        </w:tc>
        <w:tc>
          <w:tcPr>
            <w:tcW w:type="dxa" w:w="2948"/>
            <w:shd w:fill="FFFFFF"/>
            <w:tcMar>
              <w:top w:w="90" w:type="dxa"/>
              <w:bottom w:w="90" w:type="dxa"/>
              <w:left w:w="120" w:type="dxa"/>
              <w:right w:w="120" w:type="dxa"/>
            </w:tcMar>
          </w:tcPr>
          <w:p>
            <w:pPr>
              <w:spacing w:line="276" w:lineRule="auto" w:before="40" w:after="40"/>
              <w:jc w:val="left"/>
            </w:pPr>
            <w:r>
              <w:rPr>
                <w:sz w:val="17"/>
              </w:rPr>
              <w:t>Escape contextual obligatorio (htmlspecialchars con ENT_QUOTES | ENT_HTML5) en vistas de los 4 módulos, cabeceras HTTP (X-XSS-Protection: 1; mode=block, X-Content-Type-Options: nosniff, X-Frame-Options: SAMEORIGIN) y filtro de etiquetas &lt;script&gt; en WAF.</w:t>
            </w:r>
          </w:p>
        </w:tc>
      </w:tr>
      <w:tr>
        <w:trPr>
          <w:cantSplit/>
        </w:trPr>
        <w:tc>
          <w:tcPr>
            <w:tcW w:type="dxa" w:w="510"/>
            <w:shd w:fill="F4F7FB"/>
            <w:tcMar>
              <w:top w:w="90" w:type="dxa"/>
              <w:bottom w:w="90" w:type="dxa"/>
              <w:left w:w="120" w:type="dxa"/>
              <w:right w:w="120" w:type="dxa"/>
            </w:tcMar>
          </w:tcPr>
          <w:p>
            <w:pPr>
              <w:spacing w:line="276" w:lineRule="auto" w:before="40" w:after="40"/>
              <w:jc w:val="center"/>
            </w:pPr>
            <w:r>
              <w:rPr>
                <w:b/>
                <w:sz w:val="17"/>
              </w:rPr>
              <w:t>03</w:t>
            </w:r>
          </w:p>
        </w:tc>
        <w:tc>
          <w:tcPr>
            <w:tcW w:type="dxa" w:w="1757"/>
            <w:shd w:fill="F4F7FB"/>
            <w:tcMar>
              <w:top w:w="90" w:type="dxa"/>
              <w:bottom w:w="90" w:type="dxa"/>
              <w:left w:w="120" w:type="dxa"/>
              <w:right w:w="120" w:type="dxa"/>
            </w:tcMar>
          </w:tcPr>
          <w:p>
            <w:pPr>
              <w:spacing w:line="276" w:lineRule="auto" w:before="40" w:after="40"/>
              <w:jc w:val="left"/>
            </w:pPr>
            <w:r>
              <w:rPr>
                <w:b/>
                <w:sz w:val="17"/>
              </w:rPr>
              <w:t>Falsificación de Peticiones en Sitios Cruzados (CSRF)</w:t>
            </w:r>
          </w:p>
        </w:tc>
        <w:tc>
          <w:tcPr>
            <w:tcW w:type="dxa" w:w="1531"/>
            <w:shd w:fill="F4F7FB"/>
            <w:tcMar>
              <w:top w:w="90" w:type="dxa"/>
              <w:bottom w:w="90" w:type="dxa"/>
              <w:left w:w="120" w:type="dxa"/>
              <w:right w:w="120" w:type="dxa"/>
            </w:tcMar>
          </w:tcPr>
          <w:p>
            <w:pPr>
              <w:spacing w:line="276" w:lineRule="auto" w:before="40" w:after="40"/>
              <w:jc w:val="left"/>
            </w:pPr>
            <w:r>
              <w:rPr>
                <w:b w:val="0"/>
                <w:sz w:val="17"/>
              </w:rPr>
              <w:t>Core, Autenticación, Artículos, RepositorioPST y SuperAdmin</w:t>
            </w:r>
          </w:p>
        </w:tc>
        <w:tc>
          <w:tcPr>
            <w:tcW w:type="dxa" w:w="2324"/>
            <w:shd w:fill="F4F7FB"/>
            <w:tcMar>
              <w:top w:w="90" w:type="dxa"/>
              <w:bottom w:w="90" w:type="dxa"/>
              <w:left w:w="120" w:type="dxa"/>
              <w:right w:w="120" w:type="dxa"/>
            </w:tcMar>
          </w:tcPr>
          <w:p>
            <w:pPr>
              <w:spacing w:line="276" w:lineRule="auto" w:before="40" w:after="40"/>
              <w:jc w:val="left"/>
            </w:pPr>
            <w:r>
              <w:rPr>
                <w:sz w:val="17"/>
              </w:rPr>
              <w:t>ISO/IEC 27001:2022: Anexo A.8.24 y A.5.15.</w:t>
              <w:br/>
              <w:t>OWASP: A01:2021 (Broken Access Control).</w:t>
              <w:br/>
              <w:t>Nacional: Ley de Infogobierno (Arts. 26 y 34: Seguridad en la Gestión Pública).</w:t>
            </w:r>
          </w:p>
        </w:tc>
        <w:tc>
          <w:tcPr>
            <w:tcW w:type="dxa" w:w="2948"/>
            <w:shd w:fill="F4F7FB"/>
            <w:tcMar>
              <w:top w:w="90" w:type="dxa"/>
              <w:bottom w:w="90" w:type="dxa"/>
              <w:left w:w="120" w:type="dxa"/>
              <w:right w:w="120" w:type="dxa"/>
            </w:tcMar>
          </w:tcPr>
          <w:p>
            <w:pPr>
              <w:spacing w:line="276" w:lineRule="auto" w:before="40" w:after="40"/>
              <w:jc w:val="left"/>
            </w:pPr>
            <w:r>
              <w:rPr>
                <w:sz w:val="17"/>
              </w:rPr>
              <w:t>Configuración de cookies SameSite=Lax y HttpOnly en Kernel.php; generación criptográfica de tokens únicos (random_bytes(32)) y validación en tiempo constante (hash_equals) en CSRF.php para peticiones POST/PUT/DELETE y restablecimiento de clave.</w:t>
            </w:r>
          </w:p>
        </w:tc>
      </w:tr>
      <w:tr>
        <w:trPr>
          <w:cantSplit/>
        </w:trPr>
        <w:tc>
          <w:tcPr>
            <w:tcW w:type="dxa" w:w="510"/>
            <w:shd w:fill="FFFFFF"/>
            <w:tcMar>
              <w:top w:w="90" w:type="dxa"/>
              <w:bottom w:w="90" w:type="dxa"/>
              <w:left w:w="120" w:type="dxa"/>
              <w:right w:w="120" w:type="dxa"/>
            </w:tcMar>
          </w:tcPr>
          <w:p>
            <w:pPr>
              <w:spacing w:line="276" w:lineRule="auto" w:before="40" w:after="40"/>
              <w:jc w:val="center"/>
            </w:pPr>
            <w:r>
              <w:rPr>
                <w:b/>
                <w:sz w:val="17"/>
              </w:rPr>
              <w:t>04</w:t>
            </w:r>
          </w:p>
        </w:tc>
        <w:tc>
          <w:tcPr>
            <w:tcW w:type="dxa" w:w="1757"/>
            <w:shd w:fill="FFFFFF"/>
            <w:tcMar>
              <w:top w:w="90" w:type="dxa"/>
              <w:bottom w:w="90" w:type="dxa"/>
              <w:left w:w="120" w:type="dxa"/>
              <w:right w:w="120" w:type="dxa"/>
            </w:tcMar>
          </w:tcPr>
          <w:p>
            <w:pPr>
              <w:spacing w:line="276" w:lineRule="auto" w:before="40" w:after="40"/>
              <w:jc w:val="left"/>
            </w:pPr>
            <w:r>
              <w:rPr>
                <w:b/>
                <w:sz w:val="17"/>
              </w:rPr>
              <w:t>Subida de Archivos Maliciosos, Zip Bomb y Entidades XML (XXE)</w:t>
            </w:r>
          </w:p>
        </w:tc>
        <w:tc>
          <w:tcPr>
            <w:tcW w:type="dxa" w:w="1531"/>
            <w:shd w:fill="FFFFFF"/>
            <w:tcMar>
              <w:top w:w="90" w:type="dxa"/>
              <w:bottom w:w="90" w:type="dxa"/>
              <w:left w:w="120" w:type="dxa"/>
              <w:right w:w="120" w:type="dxa"/>
            </w:tcMar>
          </w:tcPr>
          <w:p>
            <w:pPr>
              <w:spacing w:line="276" w:lineRule="auto" w:before="40" w:after="40"/>
              <w:jc w:val="left"/>
            </w:pPr>
            <w:r>
              <w:rPr>
                <w:b w:val="0"/>
                <w:sz w:val="17"/>
              </w:rPr>
              <w:t>Artículos, RepositorioPST, Autenticación y SuperAdmin</w:t>
            </w:r>
          </w:p>
        </w:tc>
        <w:tc>
          <w:tcPr>
            <w:tcW w:type="dxa" w:w="2324"/>
            <w:shd w:fill="FFFFFF"/>
            <w:tcMar>
              <w:top w:w="90" w:type="dxa"/>
              <w:bottom w:w="90" w:type="dxa"/>
              <w:left w:w="120" w:type="dxa"/>
              <w:right w:w="120" w:type="dxa"/>
            </w:tcMar>
          </w:tcPr>
          <w:p>
            <w:pPr>
              <w:spacing w:line="276" w:lineRule="auto" w:before="40" w:after="40"/>
              <w:jc w:val="left"/>
            </w:pPr>
            <w:r>
              <w:rPr>
                <w:sz w:val="17"/>
              </w:rPr>
              <w:t>ISO/IEC 27001:2022: Anexo A.8.7 (Protección contra Malware).</w:t>
              <w:br/>
              <w:t>OWASP: A04:2021 (Insecure Design) y A05:2021.</w:t>
              <w:br/>
              <w:t>Nacional: Ley Contra Delitos Informáticos (Art. 7: Daño a Sistemas).</w:t>
            </w:r>
          </w:p>
        </w:tc>
        <w:tc>
          <w:tcPr>
            <w:tcW w:type="dxa" w:w="2948"/>
            <w:shd w:fill="FFFFFF"/>
            <w:tcMar>
              <w:top w:w="90" w:type="dxa"/>
              <w:bottom w:w="90" w:type="dxa"/>
              <w:left w:w="120" w:type="dxa"/>
              <w:right w:w="120" w:type="dxa"/>
            </w:tcMar>
          </w:tcPr>
          <w:p>
            <w:pPr>
              <w:spacing w:line="276" w:lineRule="auto" w:before="40" w:after="40"/>
              <w:jc w:val="left"/>
            </w:pPr>
            <w:r>
              <w:rPr>
                <w:sz w:val="17"/>
              </w:rPr>
              <w:t>Inspección binaria profunda de Magic Bytes mediante finfo_file() en DetallePSTController y ArticulosController; reprocesamiento de imágenes GD en PerfilController; límite de descompresión XML (15 MB) y bandera LIBXML_NONET en ExtractorPST.php.</w:t>
            </w:r>
          </w:p>
        </w:tc>
      </w:tr>
      <w:tr>
        <w:trPr>
          <w:cantSplit/>
        </w:trPr>
        <w:tc>
          <w:tcPr>
            <w:tcW w:type="dxa" w:w="510"/>
            <w:shd w:fill="F4F7FB"/>
            <w:tcMar>
              <w:top w:w="90" w:type="dxa"/>
              <w:bottom w:w="90" w:type="dxa"/>
              <w:left w:w="120" w:type="dxa"/>
              <w:right w:w="120" w:type="dxa"/>
            </w:tcMar>
          </w:tcPr>
          <w:p>
            <w:pPr>
              <w:spacing w:line="276" w:lineRule="auto" w:before="40" w:after="40"/>
              <w:jc w:val="center"/>
            </w:pPr>
            <w:r>
              <w:rPr>
                <w:b/>
                <w:sz w:val="17"/>
              </w:rPr>
              <w:t>05</w:t>
            </w:r>
          </w:p>
        </w:tc>
        <w:tc>
          <w:tcPr>
            <w:tcW w:type="dxa" w:w="1757"/>
            <w:shd w:fill="F4F7FB"/>
            <w:tcMar>
              <w:top w:w="90" w:type="dxa"/>
              <w:bottom w:w="90" w:type="dxa"/>
              <w:left w:w="120" w:type="dxa"/>
              <w:right w:w="120" w:type="dxa"/>
            </w:tcMar>
          </w:tcPr>
          <w:p>
            <w:pPr>
              <w:spacing w:line="276" w:lineRule="auto" w:before="40" w:after="40"/>
              <w:jc w:val="left"/>
            </w:pPr>
            <w:r>
              <w:rPr>
                <w:b/>
                <w:sz w:val="17"/>
              </w:rPr>
              <w:t>Integridad Relacional, Triggers y Procedimientos Almacenados</w:t>
            </w:r>
          </w:p>
        </w:tc>
        <w:tc>
          <w:tcPr>
            <w:tcW w:type="dxa" w:w="1531"/>
            <w:shd w:fill="F4F7FB"/>
            <w:tcMar>
              <w:top w:w="90" w:type="dxa"/>
              <w:bottom w:w="90" w:type="dxa"/>
              <w:left w:w="120" w:type="dxa"/>
              <w:right w:w="120" w:type="dxa"/>
            </w:tcMar>
          </w:tcPr>
          <w:p>
            <w:pPr>
              <w:spacing w:line="276" w:lineRule="auto" w:before="40" w:after="40"/>
              <w:jc w:val="left"/>
            </w:pPr>
            <w:r>
              <w:rPr>
                <w:b w:val="0"/>
                <w:sz w:val="17"/>
              </w:rPr>
              <w:t>Core (Esquema PostgreSQL), Autenticación, RepositorioPST y SuperAdmin</w:t>
            </w:r>
          </w:p>
        </w:tc>
        <w:tc>
          <w:tcPr>
            <w:tcW w:type="dxa" w:w="2324"/>
            <w:shd w:fill="F4F7FB"/>
            <w:tcMar>
              <w:top w:w="90" w:type="dxa"/>
              <w:bottom w:w="90" w:type="dxa"/>
              <w:left w:w="120" w:type="dxa"/>
              <w:right w:w="120" w:type="dxa"/>
            </w:tcMar>
          </w:tcPr>
          <w:p>
            <w:pPr>
              <w:spacing w:line="276" w:lineRule="auto" w:before="40" w:after="40"/>
              <w:jc w:val="left"/>
            </w:pPr>
            <w:r>
              <w:rPr>
                <w:sz w:val="17"/>
              </w:rPr>
              <w:t>ISO/IEC 27001:2022: Anexo A.8.15 (Registros de Auditoría) y A.8.16.</w:t>
              <w:br/>
              <w:t>OWASP: A08:2021 (Software and Data Integrity Failures).</w:t>
              <w:br/>
              <w:t>Nacional: Ley Contra Delitos Informáticos (Art. 9) y Ley de Infogobierno.</w:t>
            </w:r>
          </w:p>
        </w:tc>
        <w:tc>
          <w:tcPr>
            <w:tcW w:type="dxa" w:w="2948"/>
            <w:shd w:fill="F4F7FB"/>
            <w:tcMar>
              <w:top w:w="90" w:type="dxa"/>
              <w:bottom w:w="90" w:type="dxa"/>
              <w:left w:w="120" w:type="dxa"/>
              <w:right w:w="120" w:type="dxa"/>
            </w:tcMar>
          </w:tcPr>
          <w:p>
            <w:pPr>
              <w:spacing w:line="276" w:lineRule="auto" w:before="40" w:after="40"/>
              <w:jc w:val="left"/>
            </w:pPr>
            <w:r>
              <w:rPr>
                <w:sz w:val="17"/>
              </w:rPr>
              <w:t>Sincronización automática de variable de sesión PostgreSQL (app.usuario_actual) en Connection.php; ejecución de triggers PL/pgSQL (fn_auditoria_recursos y fn_auditoria_usuarios) con respaldo JSONB en tabla auditoria; procedimiento transaccional insertarproyectoaleatorio y cadena SHA-256 en AuditLogger.</w:t>
            </w:r>
          </w:p>
        </w:tc>
      </w:tr>
      <w:tr>
        <w:trPr>
          <w:cantSplit/>
        </w:trPr>
        <w:tc>
          <w:tcPr>
            <w:tcW w:type="dxa" w:w="510"/>
            <w:shd w:fill="FFFFFF"/>
            <w:tcMar>
              <w:top w:w="90" w:type="dxa"/>
              <w:bottom w:w="90" w:type="dxa"/>
              <w:left w:w="120" w:type="dxa"/>
              <w:right w:w="120" w:type="dxa"/>
            </w:tcMar>
          </w:tcPr>
          <w:p>
            <w:pPr>
              <w:spacing w:line="276" w:lineRule="auto" w:before="40" w:after="40"/>
              <w:jc w:val="center"/>
            </w:pPr>
            <w:r>
              <w:rPr>
                <w:b/>
                <w:sz w:val="17"/>
              </w:rPr>
              <w:t>06</w:t>
            </w:r>
          </w:p>
        </w:tc>
        <w:tc>
          <w:tcPr>
            <w:tcW w:type="dxa" w:w="1757"/>
            <w:shd w:fill="FFFFFF"/>
            <w:tcMar>
              <w:top w:w="90" w:type="dxa"/>
              <w:bottom w:w="90" w:type="dxa"/>
              <w:left w:w="120" w:type="dxa"/>
              <w:right w:w="120" w:type="dxa"/>
            </w:tcMar>
          </w:tcPr>
          <w:p>
            <w:pPr>
              <w:spacing w:line="276" w:lineRule="auto" w:before="40" w:after="40"/>
              <w:jc w:val="left"/>
            </w:pPr>
            <w:r>
              <w:rPr>
                <w:b/>
                <w:sz w:val="17"/>
              </w:rPr>
              <w:t>Robustez de Sesiones, Control de Acceso (RBAC) y Fuerza Bruta</w:t>
            </w:r>
          </w:p>
        </w:tc>
        <w:tc>
          <w:tcPr>
            <w:tcW w:type="dxa" w:w="1531"/>
            <w:shd w:fill="FFFFFF"/>
            <w:tcMar>
              <w:top w:w="90" w:type="dxa"/>
              <w:bottom w:w="90" w:type="dxa"/>
              <w:left w:w="120" w:type="dxa"/>
              <w:right w:w="120" w:type="dxa"/>
            </w:tcMar>
          </w:tcPr>
          <w:p>
            <w:pPr>
              <w:spacing w:line="276" w:lineRule="auto" w:before="40" w:after="40"/>
              <w:jc w:val="left"/>
            </w:pPr>
            <w:r>
              <w:rPr>
                <w:b w:val="0"/>
                <w:sz w:val="17"/>
              </w:rPr>
              <w:t>Core, Autenticación, SuperAdmin, Artículos y RepositorioPST</w:t>
            </w:r>
          </w:p>
        </w:tc>
        <w:tc>
          <w:tcPr>
            <w:tcW w:type="dxa" w:w="2324"/>
            <w:shd w:fill="FFFFFF"/>
            <w:tcMar>
              <w:top w:w="90" w:type="dxa"/>
              <w:bottom w:w="90" w:type="dxa"/>
              <w:left w:w="120" w:type="dxa"/>
              <w:right w:w="120" w:type="dxa"/>
            </w:tcMar>
          </w:tcPr>
          <w:p>
            <w:pPr>
              <w:spacing w:line="276" w:lineRule="auto" w:before="40" w:after="40"/>
              <w:jc w:val="left"/>
            </w:pPr>
            <w:r>
              <w:rPr>
                <w:sz w:val="17"/>
              </w:rPr>
              <w:t>ISO/IEC 27001:2022: Anexo A.5.15 (Control de Acceso) y A.8.5 (Autenticación Segura).</w:t>
              <w:br/>
              <w:t>OWASP: A07:2021 (Identification &amp; Auth Failures).</w:t>
              <w:br/>
              <w:t>Nacional: Ley Contra Delitos Informáticos (Art. 6 y Art. 11).</w:t>
            </w:r>
          </w:p>
        </w:tc>
        <w:tc>
          <w:tcPr>
            <w:tcW w:type="dxa" w:w="2948"/>
            <w:shd w:fill="FFFFFF"/>
            <w:tcMar>
              <w:top w:w="90" w:type="dxa"/>
              <w:bottom w:w="90" w:type="dxa"/>
              <w:left w:w="120" w:type="dxa"/>
              <w:right w:w="120" w:type="dxa"/>
            </w:tcMar>
          </w:tcPr>
          <w:p>
            <w:pPr>
              <w:spacing w:line="276" w:lineRule="auto" w:before="40" w:after="40"/>
              <w:jc w:val="left"/>
            </w:pPr>
            <w:r>
              <w:rPr>
                <w:sz w:val="17"/>
              </w:rPr>
              <w:t>Regeneración de ID de sesión tras login, huella digital SHA-256 (User-Agent + subred IP /24) en SessionManager.php, revocación remota instantánea (revoked_sessions.json), matriz jerárquica matriz_rbac (Auth.php) y bloqueo progresivo de IP/cuenta en RateLimiter.php.</w:t>
            </w:r>
          </w:p>
        </w:tc>
      </w:tr>
      <w:tr>
        <w:trPr>
          <w:cantSplit/>
        </w:trPr>
        <w:tc>
          <w:tcPr>
            <w:tcW w:type="dxa" w:w="510"/>
            <w:shd w:fill="F4F7FB"/>
            <w:tcMar>
              <w:top w:w="90" w:type="dxa"/>
              <w:bottom w:w="90" w:type="dxa"/>
              <w:left w:w="120" w:type="dxa"/>
              <w:right w:w="120" w:type="dxa"/>
            </w:tcMar>
          </w:tcPr>
          <w:p>
            <w:pPr>
              <w:spacing w:line="276" w:lineRule="auto" w:before="40" w:after="40"/>
              <w:jc w:val="center"/>
            </w:pPr>
            <w:r>
              <w:rPr>
                <w:b/>
                <w:sz w:val="17"/>
              </w:rPr>
              <w:t>07</w:t>
            </w:r>
          </w:p>
        </w:tc>
        <w:tc>
          <w:tcPr>
            <w:tcW w:type="dxa" w:w="1757"/>
            <w:shd w:fill="F4F7FB"/>
            <w:tcMar>
              <w:top w:w="90" w:type="dxa"/>
              <w:bottom w:w="90" w:type="dxa"/>
              <w:left w:w="120" w:type="dxa"/>
              <w:right w:w="120" w:type="dxa"/>
            </w:tcMar>
          </w:tcPr>
          <w:p>
            <w:pPr>
              <w:spacing w:line="276" w:lineRule="auto" w:before="40" w:after="40"/>
              <w:jc w:val="left"/>
            </w:pPr>
            <w:r>
              <w:rPr>
                <w:b/>
                <w:sz w:val="17"/>
              </w:rPr>
              <w:t>Cifrado de Credenciales, Secretos y Tokens de Recuperación</w:t>
            </w:r>
          </w:p>
        </w:tc>
        <w:tc>
          <w:tcPr>
            <w:tcW w:type="dxa" w:w="1531"/>
            <w:shd w:fill="F4F7FB"/>
            <w:tcMar>
              <w:top w:w="90" w:type="dxa"/>
              <w:bottom w:w="90" w:type="dxa"/>
              <w:left w:w="120" w:type="dxa"/>
              <w:right w:w="120" w:type="dxa"/>
            </w:tcMar>
          </w:tcPr>
          <w:p>
            <w:pPr>
              <w:spacing w:line="276" w:lineRule="auto" w:before="40" w:after="40"/>
              <w:jc w:val="left"/>
            </w:pPr>
            <w:r>
              <w:rPr>
                <w:b w:val="0"/>
                <w:sz w:val="17"/>
              </w:rPr>
              <w:t>Core, Autenticación y SuperAdmin</w:t>
            </w:r>
          </w:p>
        </w:tc>
        <w:tc>
          <w:tcPr>
            <w:tcW w:type="dxa" w:w="2324"/>
            <w:shd w:fill="F4F7FB"/>
            <w:tcMar>
              <w:top w:w="90" w:type="dxa"/>
              <w:bottom w:w="90" w:type="dxa"/>
              <w:left w:w="120" w:type="dxa"/>
              <w:right w:w="120" w:type="dxa"/>
            </w:tcMar>
          </w:tcPr>
          <w:p>
            <w:pPr>
              <w:spacing w:line="276" w:lineRule="auto" w:before="40" w:after="40"/>
              <w:jc w:val="left"/>
            </w:pPr>
            <w:r>
              <w:rPr>
                <w:sz w:val="17"/>
              </w:rPr>
              <w:t>ISO/IEC 27001:2022: Anexo A.8.24 (Uso de la Criptografía) y A.5.17.</w:t>
              <w:br/>
              <w:t>OWASP: A02:2021 (Cryptographic Failures).</w:t>
              <w:br/>
              <w:t>Nacional: Constitución RBV (Art. 60) y Ley Contra Delitos Informáticos (Art. 13).</w:t>
            </w:r>
          </w:p>
        </w:tc>
        <w:tc>
          <w:tcPr>
            <w:tcW w:type="dxa" w:w="2948"/>
            <w:shd w:fill="F4F7FB"/>
            <w:tcMar>
              <w:top w:w="90" w:type="dxa"/>
              <w:bottom w:w="90" w:type="dxa"/>
              <w:left w:w="120" w:type="dxa"/>
              <w:right w:w="120" w:type="dxa"/>
            </w:tcMar>
          </w:tcPr>
          <w:p>
            <w:pPr>
              <w:spacing w:line="276" w:lineRule="auto" w:before="40" w:after="40"/>
              <w:jc w:val="left"/>
            </w:pPr>
            <w:r>
              <w:rPr>
                <w:sz w:val="17"/>
              </w:rPr>
              <w:t>Hashing adaptativo Bcrypt (PASSWORD_BCRYPT) para claves de usuario y cuenta Break-Glass; cifrado simétrico AES-256-CBC con vector IV aleatorio (Crypto.php) para credenciales SMTP y BD; hashing SHA-256 para tokens de recuperación e invitación docente.</w:t>
            </w:r>
          </w:p>
        </w:tc>
      </w:tr>
      <w:tr>
        <w:trPr>
          <w:cantSplit/>
        </w:trPr>
        <w:tc>
          <w:tcPr>
            <w:tcW w:type="dxa" w:w="510"/>
            <w:shd w:fill="FFFFFF"/>
            <w:tcMar>
              <w:top w:w="90" w:type="dxa"/>
              <w:bottom w:w="90" w:type="dxa"/>
              <w:left w:w="120" w:type="dxa"/>
              <w:right w:w="120" w:type="dxa"/>
            </w:tcMar>
          </w:tcPr>
          <w:p>
            <w:pPr>
              <w:spacing w:line="276" w:lineRule="auto" w:before="40" w:after="40"/>
              <w:jc w:val="center"/>
            </w:pPr>
            <w:r>
              <w:rPr>
                <w:b/>
                <w:sz w:val="17"/>
              </w:rPr>
              <w:t>08</w:t>
            </w:r>
          </w:p>
        </w:tc>
        <w:tc>
          <w:tcPr>
            <w:tcW w:type="dxa" w:w="1757"/>
            <w:shd w:fill="FFFFFF"/>
            <w:tcMar>
              <w:top w:w="90" w:type="dxa"/>
              <w:bottom w:w="90" w:type="dxa"/>
              <w:left w:w="120" w:type="dxa"/>
              <w:right w:w="120" w:type="dxa"/>
            </w:tcMar>
          </w:tcPr>
          <w:p>
            <w:pPr>
              <w:spacing w:line="276" w:lineRule="auto" w:before="40" w:after="40"/>
              <w:jc w:val="left"/>
            </w:pPr>
            <w:r>
              <w:rPr>
                <w:b/>
                <w:sz w:val="17"/>
              </w:rPr>
              <w:t>Path Traversal (LFI), SSRF e Inyección de Fórmulas CSV</w:t>
            </w:r>
          </w:p>
        </w:tc>
        <w:tc>
          <w:tcPr>
            <w:tcW w:type="dxa" w:w="1531"/>
            <w:shd w:fill="FFFFFF"/>
            <w:tcMar>
              <w:top w:w="90" w:type="dxa"/>
              <w:bottom w:w="90" w:type="dxa"/>
              <w:left w:w="120" w:type="dxa"/>
              <w:right w:w="120" w:type="dxa"/>
            </w:tcMar>
          </w:tcPr>
          <w:p>
            <w:pPr>
              <w:spacing w:line="276" w:lineRule="auto" w:before="40" w:after="40"/>
              <w:jc w:val="left"/>
            </w:pPr>
            <w:r>
              <w:rPr>
                <w:b w:val="0"/>
                <w:sz w:val="17"/>
              </w:rPr>
              <w:t>Core, Artículos, RepositorioPST y SuperAdmin</w:t>
            </w:r>
          </w:p>
        </w:tc>
        <w:tc>
          <w:tcPr>
            <w:tcW w:type="dxa" w:w="2324"/>
            <w:shd w:fill="FFFFFF"/>
            <w:tcMar>
              <w:top w:w="90" w:type="dxa"/>
              <w:bottom w:w="90" w:type="dxa"/>
              <w:left w:w="120" w:type="dxa"/>
              <w:right w:w="120" w:type="dxa"/>
            </w:tcMar>
          </w:tcPr>
          <w:p>
            <w:pPr>
              <w:spacing w:line="276" w:lineRule="auto" w:before="40" w:after="40"/>
              <w:jc w:val="left"/>
            </w:pPr>
            <w:r>
              <w:rPr>
                <w:sz w:val="17"/>
              </w:rPr>
              <w:t>ISO/IEC 27001:2022: Anexo A.8.12 (Prevención de Fuga de Datos) y A.8.28.</w:t>
              <w:br/>
              <w:t>OWASP: A01:2021, A10:2021 (SSRF) y A03:2021.</w:t>
              <w:br/>
              <w:t>Nacional: Ley Contra Delitos Informáticos (Arts. 6 y 7).</w:t>
            </w:r>
          </w:p>
        </w:tc>
        <w:tc>
          <w:tcPr>
            <w:tcW w:type="dxa" w:w="2948"/>
            <w:shd w:fill="FFFFFF"/>
            <w:tcMar>
              <w:top w:w="90" w:type="dxa"/>
              <w:bottom w:w="90" w:type="dxa"/>
              <w:left w:w="120" w:type="dxa"/>
              <w:right w:w="120" w:type="dxa"/>
            </w:tcMar>
          </w:tcPr>
          <w:p>
            <w:pPr>
              <w:spacing w:line="276" w:lineRule="auto" w:before="40" w:after="40"/>
              <w:jc w:val="left"/>
            </w:pPr>
            <w:r>
              <w:rPr>
                <w:sz w:val="17"/>
              </w:rPr>
              <w:t>Saneamiento basename() y validación de prefijos de directorio en DetallePSTController y ModulosController; validación de esquema http/https y bloqueo de loopback (localhost/127.0.0.1/::1) en ArticulosController; escape de prefijos (=, +, -, @) en exportaciones CSV de LogsController y ReportesController.</w:t>
            </w:r>
          </w:p>
        </w:tc>
      </w:tr>
      <w:tr>
        <w:trPr>
          <w:cantSplit/>
        </w:trPr>
        <w:tc>
          <w:tcPr>
            <w:tcW w:type="dxa" w:w="510"/>
            <w:shd w:fill="F4F7FB"/>
            <w:tcMar>
              <w:top w:w="90" w:type="dxa"/>
              <w:bottom w:w="90" w:type="dxa"/>
              <w:left w:w="120" w:type="dxa"/>
              <w:right w:w="120" w:type="dxa"/>
            </w:tcMar>
          </w:tcPr>
          <w:p>
            <w:pPr>
              <w:spacing w:line="276" w:lineRule="auto" w:before="40" w:after="40"/>
              <w:jc w:val="center"/>
            </w:pPr>
            <w:r>
              <w:rPr>
                <w:b/>
                <w:sz w:val="17"/>
              </w:rPr>
              <w:t>09</w:t>
            </w:r>
          </w:p>
        </w:tc>
        <w:tc>
          <w:tcPr>
            <w:tcW w:type="dxa" w:w="1757"/>
            <w:shd w:fill="F4F7FB"/>
            <w:tcMar>
              <w:top w:w="90" w:type="dxa"/>
              <w:bottom w:w="90" w:type="dxa"/>
              <w:left w:w="120" w:type="dxa"/>
              <w:right w:w="120" w:type="dxa"/>
            </w:tcMar>
          </w:tcPr>
          <w:p>
            <w:pPr>
              <w:spacing w:line="276" w:lineRule="auto" w:before="40" w:after="40"/>
              <w:jc w:val="left"/>
            </w:pPr>
            <w:r>
              <w:rPr>
                <w:b/>
                <w:sz w:val="17"/>
              </w:rPr>
              <w:t>Manejo de Excepciones HTTP (400, 403, 404, 500, 503) y Resiliencia</w:t>
            </w:r>
          </w:p>
        </w:tc>
        <w:tc>
          <w:tcPr>
            <w:tcW w:type="dxa" w:w="1531"/>
            <w:shd w:fill="F4F7FB"/>
            <w:tcMar>
              <w:top w:w="90" w:type="dxa"/>
              <w:bottom w:w="90" w:type="dxa"/>
              <w:left w:w="120" w:type="dxa"/>
              <w:right w:w="120" w:type="dxa"/>
            </w:tcMar>
          </w:tcPr>
          <w:p>
            <w:pPr>
              <w:spacing w:line="276" w:lineRule="auto" w:before="40" w:after="40"/>
              <w:jc w:val="left"/>
            </w:pPr>
            <w:r>
              <w:rPr>
                <w:b w:val="0"/>
                <w:sz w:val="17"/>
              </w:rPr>
              <w:t>Core, Autenticación, Artículos, RepositorioPST y SuperAdmin</w:t>
            </w:r>
          </w:p>
        </w:tc>
        <w:tc>
          <w:tcPr>
            <w:tcW w:type="dxa" w:w="2324"/>
            <w:shd w:fill="F4F7FB"/>
            <w:tcMar>
              <w:top w:w="90" w:type="dxa"/>
              <w:bottom w:w="90" w:type="dxa"/>
              <w:left w:w="120" w:type="dxa"/>
              <w:right w:w="120" w:type="dxa"/>
            </w:tcMar>
          </w:tcPr>
          <w:p>
            <w:pPr>
              <w:spacing w:line="276" w:lineRule="auto" w:before="40" w:after="40"/>
              <w:jc w:val="left"/>
            </w:pPr>
            <w:r>
              <w:rPr>
                <w:sz w:val="17"/>
              </w:rPr>
              <w:t>ISO/IEC 27001:2022: Anexo A.8.12, A.5.29 y A.5.30 (Continuidad TIC).</w:t>
              <w:br/>
              <w:t>OWASP: A05:2021 (Security Misconfiguration) y A09:2021.</w:t>
              <w:br/>
              <w:t>Nacional: Ley de Infogobierno (Art. 18: Continuidad del Servicio).</w:t>
            </w:r>
          </w:p>
        </w:tc>
        <w:tc>
          <w:tcPr>
            <w:tcW w:type="dxa" w:w="2948"/>
            <w:shd w:fill="F4F7FB"/>
            <w:tcMar>
              <w:top w:w="90" w:type="dxa"/>
              <w:bottom w:w="90" w:type="dxa"/>
              <w:left w:w="120" w:type="dxa"/>
              <w:right w:w="120" w:type="dxa"/>
            </w:tcMar>
          </w:tcPr>
          <w:p>
            <w:pPr>
              <w:spacing w:line="276" w:lineRule="auto" w:before="40" w:after="40"/>
              <w:jc w:val="left"/>
            </w:pPr>
            <w:r>
              <w:rPr>
                <w:sz w:val="17"/>
              </w:rPr>
              <w:t>Gestión centralizada en Kernel, Router, Dispatcher, Auth, FeatureFlagMiddleware y MaintenanceService: emisión de códigos HTTP exactos (400, 403, 404, 500, 503), supresión de stack traces en producción (APP_DEBUG=false) y activación de consola de emergencia Break-Glass ante fallos de BD.</w:t>
            </w:r>
          </w:p>
        </w:tc>
      </w:tr>
    </w:tbl>
    <w:p>
      <w:pPr>
        <w:spacing w:line="360" w:lineRule="auto" w:after="160" w:before="0"/>
        <w:jc w:val="left"/>
      </w:pPr>
      <w:r>
        <w:rPr>
          <w:i/>
          <w:sz w:val="19"/>
        </w:rPr>
        <w:t>Fuentes: Los autores (2026).</w:t>
      </w:r>
    </w:p>
    <w:p>
      <w:pPr>
        <w:spacing w:line="360" w:lineRule="auto" w:after="120" w:before="0"/>
        <w:jc w:val="both"/>
      </w:pPr>
      <w:r>
        <w:t>A partir de los resultados consolidados en la Tabla 15, se comprueba empíricamente que el sistema es capaz de repeler de forma exitosa ataques críticos y gestionar de manera resiliente condiciones de borde a lo largo del Core y los módulos de Autenticación, Artículos, RepositorioPST y SuperAdmin. La articulación entre el Cortafuegos de Aplicación Web (WAF), las sentencias preparadas nativas en PostgreSQL, los disparadores (triggers) de auditoría con trazabilidad de sesión, el cifrado simétrico AES-256-CBC y el manejo controlado de excepciones HTTP (400, 403, 404, 500 y 503) demuestra la solidez estructural del código fuente.</w:t>
      </w:r>
    </w:p>
    <w:p>
      <w:pPr>
        <w:spacing w:line="360" w:lineRule="auto" w:after="120" w:before="0"/>
        <w:jc w:val="both"/>
      </w:pPr>
      <w:r>
        <w:t>De esta misma manera, Suárez y Pineda (2024) afirman que “la integración de esquemas de defensa en profundidad en proyectos sociotecnológicos no solo salvaguarda el ecosistema digital, sino que legitima la confiabilidad de la herramienta frente a los usuarios finales y la comunidad”. Por consiguiente, la superación de estas pruebas técnicas verifica que el producto entregado a la Universidad Politécnica Territorial de Trujillo “Mario Briceño Iragorry” representa un entorno seguro y tolerante a fallos, garantizando la confidencialidad, disponibilidad e integridad del acervo científico e investigativo de la institución.</w:t>
      </w:r>
    </w:p>
    <w:p>
      <w:pPr>
        <w:pStyle w:val="Heading2"/>
        <w:keepNext/>
        <w:spacing w:before="240" w:after="120"/>
      </w:pPr>
      <w:r>
        <w:rPr>
          <w:rFonts w:ascii="Calibri" w:hAnsi="Calibri"/>
          <w:b/>
          <w:color w:val="1F4E79"/>
          <w:sz w:val="26"/>
        </w:rPr>
        <w:t>4.3.2.1. Pruebas de Caja Blanca</w:t>
      </w:r>
    </w:p>
    <w:p>
      <w:pPr>
        <w:spacing w:line="360" w:lineRule="auto" w:after="120" w:before="0"/>
        <w:jc w:val="both"/>
      </w:pPr>
      <w:r>
        <w:t>Las pruebas de Caja Blanca se fundamentaron en la inspección estática del código fuente (Static Application Security Testing, o por sus siglas en inglés SAST) y en la auditoría estructural del esquema relacional PostgreSQL, focalizándose de manera iterativa sobre el microkernel del sistema (core/) y los cuatro (4) módulos desarrollados por el equipo: Autenticacion, Articulos, RepositorioPST y SuperAdmin. El objetivo principal consistió en verificar desde el interior del software que las estructuras de control, las abstracciones de persistencia, los disparadores de base de datos y las funciones criptográficas mitigan de raíz cualquier vulnerabilidad lógica o de construcción.</w:t>
        <w:br/>
        <w:br/>
        <w:t>Durante la revisión estática e iterativa del código fuente y la base de datos, se verificaron, corrigieron y certificaron los siguientes aspectos técnicos:</w:t>
      </w:r>
    </w:p>
    <w:p>
      <w:pPr>
        <w:pStyle w:val="ListBullet"/>
        <w:spacing w:line="360" w:lineRule="auto" w:after="80" w:before="0"/>
        <w:jc w:val="both"/>
      </w:pPr>
      <w:r>
        <w:rPr>
          <w:b/>
        </w:rPr>
        <w:t xml:space="preserve">Capa de Persistencia, Sentencias Preparadas Nativas y Blindaje de Identificadores: </w:t>
      </w:r>
      <w:r>
        <w:t>Se auditó el componente core/Database/Connection.php y el constructor fluido core/Database/QueryBuilder.php, certificando que implementan de forma obligatoria la directiva PDO::ATTR_EMULATE_PREPARES = false junto con PDO::ATTR_ERRMODE = PDO::ERRMODE_EXCEPTION. Esta configuración garantiza una separación física en el motor PostgreSQL entre las instrucciones SQL compiladas y los parámetros suministrados por el usuario. Adicionalmente, durante la auditoría SAST se reforzó QueryBuilder.php mediante expresiones regulares estrictas (/^[a-zA-Z0-9_\.]+$/) sobre nombres de tablas y columnas en operaciones select, insert y update, y se incorporó una lista blanca explícita de catálogos (categorias, etiquetas y editoriales) en ArticuloModel::obtenerCatalogoPaginado(), erradicando cualquier vector de inyección SQL de segundo orden.</w:t>
      </w:r>
    </w:p>
    <w:p>
      <w:pPr>
        <w:pStyle w:val="ListBullet"/>
        <w:spacing w:line="360" w:lineRule="auto" w:after="80" w:before="0"/>
        <w:jc w:val="both"/>
      </w:pPr>
      <w:r>
        <w:rPr>
          <w:b/>
        </w:rPr>
        <w:t xml:space="preserve">Integridad de Base de Datos, Triggers PL/pgSQL y Procedimientos Almacenados: </w:t>
      </w:r>
      <w:r>
        <w:t>Siguiendo los criterios de verificabilidad técnica de Arias (2012), se inspeccionó el esquema relacional (core/Installer/schema.sql y lote de migraciones 001 a 006). Se verificó la operatividad de las funciones disparadoras public.fn_auditoria_recursos() y public.fn_auditoria_usuarios(), vinculadas a los triggers tg_auditoria_recursos_insert, tg_auditoria_recursos_delete, tg_auditoria_usuarios_insert, tg_auditoria_usuarios_update y tg_auditoria_usuarios_delete, los cuales capturan automáticamente instantáneas en formato JSONB (datos_anteriores y datos_nuevos) ante cualquier mutación en las tablas críticas. Como hallazgo de caja blanca, se sincronizó en Connection::getInstance() la inyección automática de la variable de entorno de sesión PostgreSQL (SELECT set_config('app.usuario_actual', ?, false)), garantizando que los triggers de base de datos registren de forma exacta el identificador del usuario autenticado. Asimismo, se verificó la atomicidad del procedimiento almacenado public.insertarproyectoaleatorio(timestamp) y la coherencia de las claves foráneas con reglas ON DELETE CASCADE (en detalles_proyectos, detalles_articulos y tablas pivote) y ON DELETE RESTRICT (en catálogos maestros como roles y tipo_recurso).</w:t>
      </w:r>
    </w:p>
    <w:p>
      <w:pPr>
        <w:pStyle w:val="ListBullet"/>
        <w:spacing w:line="360" w:lineRule="auto" w:after="80" w:before="0"/>
        <w:jc w:val="both"/>
      </w:pPr>
      <w:r>
        <w:rPr>
          <w:b/>
        </w:rPr>
        <w:t xml:space="preserve">Validación Criptográfica y Binaria de Archivos (Magic Bytes, Anti-ZipBomb y Anti-XXE): </w:t>
      </w:r>
      <w:r>
        <w:t>En los controladores encargados de la ingesta documental (DetallePSTController.php, ArticulosController.php y PerfilController.php), se comprobó el uso obligatorio de la extensión nativa fileinfo (finfo_file(FILEINFO_MIME_TYPE)) para inspeccionar los primeros bytes hexadecimales (Magic Bytes) de cada archivo cargado en el flujo temporal, impidiendo el camuflaje de scripts ejecutables (.php, .phtml, .sh) bajo extensiones aparentemente legítimas (.pdf, .docx, .png). En el servicio ExtractorPST.php, se verificó la protección contra bombas de descompresión (Zip Bomb) limitando el tamaño del flujo word/document.xml descomprimido a 15 MB, la deshabilitación de entidades externas XML mediante la bandera LIBXML_NONET (prevención de ataques XXE) y el acotamiento de lectura a las primeras 15 páginas PDF para evitar desbordamientos de memoria RAM.</w:t>
      </w:r>
    </w:p>
    <w:p>
      <w:pPr>
        <w:pStyle w:val="ListBullet"/>
        <w:spacing w:line="360" w:lineRule="auto" w:after="80" w:before="0"/>
        <w:jc w:val="both"/>
      </w:pPr>
      <w:r>
        <w:rPr>
          <w:b/>
        </w:rPr>
        <w:t xml:space="preserve">Cifrado de Credenciales, Robustez de Sesiones y Protección Anti-CSRF: </w:t>
      </w:r>
      <w:r>
        <w:t>Se inspeccionó el módulo Autenticacion (LoginController.php, PerfilController.php) y los servicios del Core (Crypto.php, CSRF.php, SessionManager.php, AuditLogger.php). Se certificó que las contraseñas de usuarios y de la cuenta de rescate local (Break-Glass) se almacenan exclusivamente mediante hashes adaptativos Bcrypt (PASSWORD_BCRYPT), mientras que las credenciales sensibles de conexión SMTP y PostgreSQL se resguardan en disco bajo cifrado simétrico AES-256-CBC con vectores de inicialización (IV) aleatorios de 16 bytes derivados de una clave maestra en .env. En la auditoría de caja blanca se completó el blindaje del flujo LoginController::procesarRestablecerClave() y su vista restablecer_clave.php integrando validación estricta de token CSRF (CSRF::validarToken con comparación criptográfica hash_equals), y se corrigió la retroalimentación visual de estado en recuperar_cuenta.php.</w:t>
      </w:r>
    </w:p>
    <w:p>
      <w:pPr>
        <w:pStyle w:val="ListBullet"/>
        <w:spacing w:line="360" w:lineRule="auto" w:after="80" w:before="0"/>
        <w:jc w:val="both"/>
      </w:pPr>
      <w:r>
        <w:rPr>
          <w:b/>
        </w:rPr>
        <w:t xml:space="preserve">Saneamiento de Rutas (Anti-LFI / Anti-SSRF), Escape Contextual XSS y Neutralización CSV: </w:t>
      </w:r>
      <w:r>
        <w:t>En el motor de renderizado de vistas y en los controladores de Articulos, RepositorioPST y SuperAdmin, se auditó la codificación de salida mediante htmlspecialchars(..., ENT_QUOTES | ENT_HTML5, 'UTF-8'). Durante la inspección estática se homologó la validación anti-SSRF en ArticulosController::actualizar() (restringiendo esquemas a http/https y bloqueando referencias de loopback localhost, 127.0.0.1 y ::1), se blindó DetallePSTController (métodos crear y crear_ajax) verificando prefijos de directorio permitidos (storage/documentos/tmp/ y storage/documentos/pst/) sin secuencias '..', se aseguró ModulosController.php resolviendo en el servidor las rutas de configuración JSON y validando identificadores de módulo con expresiones regulares, y se estandarizó la neutralización de fórmulas ejecutables (=, +, -, @) en la exportación de reportes CSV dentro de LogsController.php y ReportesController.php.</w:t>
      </w:r>
    </w:p>
    <w:p>
      <w:pPr>
        <w:spacing w:line="360" w:lineRule="auto" w:after="120" w:before="0"/>
        <w:jc w:val="both"/>
      </w:pPr>
      <w:r>
        <w:t>Esta revisión estática de caja blanca, validada sintácticamente mediante el analizador del intérprete CLI de PHP (php -l con cero errores en la totalidad de los archivos intervenidos) y contrastada contra el catálogo de metadatos pg_trigger y pg_proc de PostgreSQL, permitió certificar que la arquitectura interna cumple estrictamente con los principios de codificación segura antes de someter la plataforma a pruebas dinámicas.</w:t>
      </w:r>
    </w:p>
    <w:p>
      <w:pPr>
        <w:pStyle w:val="Heading2"/>
        <w:keepNext/>
        <w:spacing w:before="240" w:after="120"/>
      </w:pPr>
      <w:r>
        <w:rPr>
          <w:rFonts w:ascii="Calibri" w:hAnsi="Calibri"/>
          <w:b/>
          <w:color w:val="1F4E79"/>
          <w:sz w:val="26"/>
        </w:rPr>
        <w:t>4.3.2.2. Pruebas de Caja Negra</w:t>
      </w:r>
    </w:p>
    <w:p>
      <w:pPr>
        <w:spacing w:line="360" w:lineRule="auto" w:after="120" w:before="0"/>
        <w:jc w:val="both"/>
      </w:pPr>
      <w:r>
        <w:t>Para complementar la revisión estática del código, se ejecutaron las Pruebas Dinámicas de Seguridad de Aplicaciones (Dynamic Application Security Testing, o DAST por sus siglas en inglés) junto con pruebas funcionales de partición de equivalencia y análisis de valores límite, enmarcadas dentro de la metodología de Pruebas de Caja Negra. Estas pruebas se llevaron a cabo en tiempo de ejecución asumiendo la postura de un agente externo o usuario sin conocimiento de la estructura interna, evaluando todos los puntos de entrada HTTP de los módulos Autenticación, Artículos, RepositorioPST y SuperAdmin, así como las respuestas generadas por el microkernel (Core).</w:t>
        <w:br/>
        <w:br/>
        <w:t>Durante la ejecución de los ensayos dinámicos y simulaciones de ataque, el comportamiento verificado del sistema se estructuró en los siguientes mecanismos de defensa y respuesta:</w:t>
      </w:r>
    </w:p>
    <w:p>
      <w:pPr>
        <w:pStyle w:val="ListBullet"/>
        <w:spacing w:line="360" w:lineRule="auto" w:after="80" w:before="0"/>
        <w:jc w:val="both"/>
      </w:pPr>
      <w:r>
        <w:rPr>
          <w:b/>
        </w:rPr>
        <w:t xml:space="preserve">Intercepción Perimetral WAF y Mitigación de Fuerza Bruta (RateLimiter): </w:t>
      </w:r>
      <w:r>
        <w:t>El núcleo de intercepción implementado en Kernel::run() y RateLimiter inspeccionó metódicamente cada solicitud entrante (GET, POST, cabeceras HTTP y cookies). Ante la inyección simulada de vectores tautológicos SQL, consultas UNION SELECT, secuencias de escape de directorios (../), etiquetas &lt;script&gt; y comandos de sistema, el WAF abortó de inmediato el procesamiento, registró el incidente con firma HMAC-SHA256 en AuditLogger y bloqueó preventivamente la dirección IP infractora tras alcanzar el umbral configurado de intentos fallidos.</w:t>
      </w:r>
    </w:p>
    <w:p>
      <w:pPr>
        <w:pStyle w:val="ListBullet"/>
        <w:spacing w:line="360" w:lineRule="auto" w:after="80" w:before="0"/>
        <w:jc w:val="both"/>
      </w:pPr>
      <w:r>
        <w:rPr>
          <w:b/>
        </w:rPr>
        <w:t xml:space="preserve">Verificación de Robustez de Sesiones, RBAC y Cifrado en Tiempo de Ejecución: </w:t>
      </w:r>
      <w:r>
        <w:t>Se sometió el módulo de Autenticación y el panel SuperAdmin a pruebas de secuestro de sesión (modificación deliberada del encabezado User-Agent), reutilización de sesiones revocadas remotamente (revoked_sessions.json) y acceso forzado a rutas administrativas con cuentas de privilegio inferior. En todos los escenarios, SessionManager destruyó las sesiones anómalas redirigiendo al flujo de acceso con código ?error=sesion_expirada, mientras que el motor RBAC (Auth::requierePrivilegioMinimo y Auth::tienePermiso) bloqueó cualquier escalada vertical u horizontal de privilegios.</w:t>
      </w:r>
    </w:p>
    <w:p>
      <w:pPr>
        <w:pStyle w:val="ListBullet"/>
        <w:spacing w:line="360" w:lineRule="auto" w:after="80" w:before="0"/>
        <w:jc w:val="both"/>
      </w:pPr>
      <w:r>
        <w:rPr>
          <w:b/>
        </w:rPr>
        <w:t xml:space="preserve">Gestión Centralizada de Excepciones HTTP en el Core (Códigos 400, 403, 404, 500 y 503): </w:t>
      </w:r>
      <w:r>
        <w:t>Se validó dinámicamente la respuesta del enrutador (Router.php), el despachador (Dispatcher.php) y los controladores modulares frente a peticiones anómalas o estados de contingencia, certificando la emisión exacta de los códigos de estado del protocolo HTTP sin filtrar rutas físicas ni trazas de código (stack traces):</w:t>
        <w:br/>
        <w:t xml:space="preserve">  • HTTP 400 (Bad Request): Emitido por DetallePSTController::verPdf() cuando se omiten o corrompen los parámetros de identificación documental.</w:t>
        <w:br/>
        <w:t xml:space="preserve">  • HTTP 403 (Forbidden): Emitido por el WAF perimetral y RateLimiter (renderizando core/Views/seguridad_bloqueo.php), por el motor de autorización Auth::render403() ante violaciones de nivel de privilegio o permisos granulares RBAC (renderizando core/Views/403.php), y ante intentos de descarga directa de manuscritos PDF con política de descarga restringida.</w:t>
        <w:br/>
        <w:t xml:space="preserve">  • HTTP 404 (Not Found): Emitido por Router::resolve() y Dispatcher::dispatch() ante rutas inexistentes en la tabla de enrutamiento (renderizando core/Views/404.php), así como por ArticulosController::leer() y DetallePSTController::ver() cuando se consultan identificadores de artículos o proyectos PST inexistentes o inactivos.</w:t>
        <w:br/>
        <w:t xml:space="preserve">  • HTTP 500 (Internal Server Error): Emitido de forma controlada por Dispatcher::handleDatabaseException() y Dispatcher::handleGeneralException() ante caídas del servicio PostgreSQL o excepciones críticas en tiempo de ejecución (renderizando core/Views/500.php o respuesta JSON estructurada en peticiones AJAX), registrando el evento en storage/logs/db_errors.log y habilitando el acceso de rescate local (Break-Glass) para el SuperAdmin.</w:t>
        <w:br/>
        <w:t xml:space="preserve">  • HTTP 503 (Service Unavailable): Emitido por MaintenanceService::intercept() durante ventanas de mantenimiento global activas o programadas (renderizando core/Views/mantenimiento.php con expulsión automática de sesiones no administrativas) y por FeatureFlagMiddleware::intercept() cuando un módulo o ruta específica es conmutado en caliente a estado offline o solo_lectura (renderizando core/Views/deshabilitado.php).</w:t>
      </w:r>
    </w:p>
    <w:p>
      <w:pPr>
        <w:spacing w:line="360" w:lineRule="auto" w:after="120" w:before="0"/>
        <w:jc w:val="both"/>
      </w:pPr>
      <w:r>
        <w:t>Con el propósito de evidenciar de forma desglosada y verificable los protocolos ejecutados sobre cada componente arquitectónico intervenido por el equipo de desarrollo, en la Tabla 16 se presenta la Matriz Integral de Pruebas de Caja Blanca (SAST) y Caja Negra (DAST) por Módulo.</w:t>
      </w:r>
    </w:p>
    <w:p>
      <w:pPr>
        <w:spacing w:line="360" w:lineRule="auto" w:after="40" w:before="0"/>
        <w:jc w:val="left"/>
      </w:pPr>
      <w:r>
        <w:rPr>
          <w:b/>
          <w:color w:val="1F4E79"/>
          <w:sz w:val="21"/>
        </w:rPr>
        <w:t>Tabla 16</w:t>
        <w:br/>
      </w:r>
      <w:r>
        <w:rPr>
          <w:b/>
          <w:i/>
          <w:sz w:val="21"/>
        </w:rPr>
        <w:t>Matriz de Pruebas de Caja Blanca (SAST) y Caja Negra (DAST) por Módulo del Sistema</w:t>
        <w:br/>
      </w:r>
      <w:r>
        <w:rPr>
          <w:sz w:val="19"/>
        </w:rPr>
        <w:t>Responsables: Equipo de desarrollo (Core, Autenticación, Artículos, RepositorioPST y SuperAdmin).</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1881"/>
        <w:gridCol w:w="1881"/>
        <w:gridCol w:w="1881"/>
        <w:gridCol w:w="1881"/>
        <w:gridCol w:w="1881"/>
      </w:tblGrid>
      <w:tr>
        <w:trPr>
          <w:cantSplit/>
        </w:trPr>
        <w:tc>
          <w:tcPr>
            <w:tcW w:type="dxa" w:w="1474"/>
            <w:shd w:fill="1F4E79"/>
            <w:tcMar>
              <w:top w:w="110" w:type="dxa"/>
              <w:bottom w:w="110" w:type="dxa"/>
              <w:left w:w="120" w:type="dxa"/>
              <w:right w:w="120" w:type="dxa"/>
            </w:tcMar>
          </w:tcPr>
          <w:p>
            <w:pPr>
              <w:spacing w:line="276" w:lineRule="auto" w:before="40" w:after="40"/>
              <w:jc w:val="center"/>
            </w:pPr>
            <w:r>
              <w:rPr>
                <w:b/>
                <w:color w:val="FFFFFF"/>
                <w:sz w:val="17"/>
              </w:rPr>
              <w:t>Módulo / Alcance</w:t>
            </w:r>
          </w:p>
        </w:tc>
        <w:tc>
          <w:tcPr>
            <w:tcW w:type="dxa" w:w="1191"/>
            <w:shd w:fill="1F4E79"/>
            <w:tcMar>
              <w:top w:w="110" w:type="dxa"/>
              <w:bottom w:w="110" w:type="dxa"/>
              <w:left w:w="120" w:type="dxa"/>
              <w:right w:w="120" w:type="dxa"/>
            </w:tcMar>
          </w:tcPr>
          <w:p>
            <w:pPr>
              <w:spacing w:line="276" w:lineRule="auto" w:before="40" w:after="40"/>
              <w:jc w:val="center"/>
            </w:pPr>
            <w:r>
              <w:rPr>
                <w:b/>
                <w:color w:val="FFFFFF"/>
                <w:sz w:val="17"/>
              </w:rPr>
              <w:t>Metodología / Tipo</w:t>
            </w:r>
          </w:p>
        </w:tc>
        <w:tc>
          <w:tcPr>
            <w:tcW w:type="dxa" w:w="1814"/>
            <w:shd w:fill="1F4E79"/>
            <w:tcMar>
              <w:top w:w="110" w:type="dxa"/>
              <w:bottom w:w="110" w:type="dxa"/>
              <w:left w:w="120" w:type="dxa"/>
              <w:right w:w="120" w:type="dxa"/>
            </w:tcMar>
          </w:tcPr>
          <w:p>
            <w:pPr>
              <w:spacing w:line="276" w:lineRule="auto" w:before="40" w:after="40"/>
              <w:jc w:val="center"/>
            </w:pPr>
            <w:r>
              <w:rPr>
                <w:b/>
                <w:color w:val="FFFFFF"/>
                <w:sz w:val="17"/>
              </w:rPr>
              <w:t>Componente / Caso de Prueba</w:t>
            </w:r>
          </w:p>
        </w:tc>
        <w:tc>
          <w:tcPr>
            <w:tcW w:type="dxa" w:w="2608"/>
            <w:shd w:fill="1F4E79"/>
            <w:tcMar>
              <w:top w:w="110" w:type="dxa"/>
              <w:bottom w:w="110" w:type="dxa"/>
              <w:left w:w="120" w:type="dxa"/>
              <w:right w:w="120" w:type="dxa"/>
            </w:tcMar>
          </w:tcPr>
          <w:p>
            <w:pPr>
              <w:spacing w:line="276" w:lineRule="auto" w:before="40" w:after="40"/>
              <w:jc w:val="center"/>
            </w:pPr>
            <w:r>
              <w:rPr>
                <w:b/>
                <w:color w:val="FFFFFF"/>
                <w:sz w:val="17"/>
              </w:rPr>
              <w:t>Protocolo de Prueba y Mejora Aplicada</w:t>
            </w:r>
          </w:p>
        </w:tc>
        <w:tc>
          <w:tcPr>
            <w:tcW w:type="dxa" w:w="1984"/>
            <w:shd w:fill="1F4E79"/>
            <w:tcMar>
              <w:top w:w="110" w:type="dxa"/>
              <w:bottom w:w="110" w:type="dxa"/>
              <w:left w:w="120" w:type="dxa"/>
              <w:right w:w="120" w:type="dxa"/>
            </w:tcMar>
          </w:tcPr>
          <w:p>
            <w:pPr>
              <w:spacing w:line="276" w:lineRule="auto" w:before="40" w:after="40"/>
              <w:jc w:val="center"/>
            </w:pPr>
            <w:r>
              <w:rPr>
                <w:b/>
                <w:color w:val="FFFFFF"/>
                <w:sz w:val="17"/>
              </w:rPr>
              <w:t>Resultado y Estado</w:t>
            </w:r>
          </w:p>
        </w:tc>
      </w:tr>
      <w:tr>
        <w:trPr>
          <w:cantSplit/>
        </w:trPr>
        <w:tc>
          <w:tcPr>
            <w:tcW w:type="dxa" w:w="1474"/>
            <w:shd w:fill="F4F7FB"/>
            <w:tcMar>
              <w:top w:w="85" w:type="dxa"/>
              <w:bottom w:w="85" w:type="dxa"/>
              <w:left w:w="120" w:type="dxa"/>
              <w:right w:w="120" w:type="dxa"/>
            </w:tcMar>
          </w:tcPr>
          <w:p>
            <w:pPr>
              <w:spacing w:line="276" w:lineRule="auto" w:before="40" w:after="40"/>
              <w:jc w:val="left"/>
            </w:pPr>
            <w:r>
              <w:rPr>
                <w:b/>
                <w:color w:val="1F4E79"/>
                <w:sz w:val="17"/>
              </w:rPr>
              <w:t>Core</w:t>
              <w:br/>
              <w:t>(Microkernel y BD PostgreSQL)</w:t>
            </w:r>
          </w:p>
        </w:tc>
        <w:tc>
          <w:tcPr>
            <w:tcW w:type="dxa" w:w="1191"/>
            <w:shd w:fill="F4F7FB"/>
            <w:tcMar>
              <w:top w:w="85" w:type="dxa"/>
              <w:bottom w:w="85" w:type="dxa"/>
              <w:left w:w="120" w:type="dxa"/>
              <w:right w:w="120" w:type="dxa"/>
            </w:tcMar>
          </w:tcPr>
          <w:p>
            <w:pPr>
              <w:spacing w:line="276" w:lineRule="auto" w:before="40" w:after="40"/>
              <w:jc w:val="center"/>
            </w:pPr>
            <w:r>
              <w:rPr>
                <w:b/>
                <w:sz w:val="17"/>
              </w:rPr>
              <w:t>Caja Blanca</w:t>
              <w:br/>
              <w:t>(SAST + BD)</w:t>
            </w:r>
          </w:p>
        </w:tc>
        <w:tc>
          <w:tcPr>
            <w:tcW w:type="dxa" w:w="1814"/>
            <w:shd w:fill="F4F7FB"/>
            <w:tcMar>
              <w:top w:w="85" w:type="dxa"/>
              <w:bottom w:w="85" w:type="dxa"/>
              <w:left w:w="120" w:type="dxa"/>
              <w:right w:w="120" w:type="dxa"/>
            </w:tcMar>
          </w:tcPr>
          <w:p>
            <w:pPr>
              <w:spacing w:line="276" w:lineRule="auto" w:before="40" w:after="40"/>
              <w:jc w:val="left"/>
            </w:pPr>
            <w:r>
              <w:rPr>
                <w:sz w:val="17"/>
              </w:rPr>
              <w:t>Connection.php, QueryBuilder.php y Triggers PL/pgSQL (schema.sql)</w:t>
            </w:r>
          </w:p>
        </w:tc>
        <w:tc>
          <w:tcPr>
            <w:tcW w:type="dxa" w:w="2608"/>
            <w:shd w:fill="F4F7FB"/>
            <w:tcMar>
              <w:top w:w="85" w:type="dxa"/>
              <w:bottom w:w="85" w:type="dxa"/>
              <w:left w:w="120" w:type="dxa"/>
              <w:right w:w="120" w:type="dxa"/>
            </w:tcMar>
          </w:tcPr>
          <w:p>
            <w:pPr>
              <w:spacing w:line="276" w:lineRule="auto" w:before="40" w:after="40"/>
              <w:jc w:val="left"/>
            </w:pPr>
            <w:r>
              <w:rPr>
                <w:sz w:val="17"/>
              </w:rPr>
              <w:t>Inspección de PDO::ATTR_EMULATE_PREPARES = false; sanitización regex de identificadores SQL en QueryBuilder; sincronización de variable de sesión PostgreSQL app.usuario_actual para los triggers fn_auditoria_recursos() y fn_auditoria_usuarios(); verificación del procedimiento insertarproyectoaleatorio.</w:t>
            </w:r>
          </w:p>
        </w:tc>
        <w:tc>
          <w:tcPr>
            <w:tcW w:type="dxa" w:w="1984"/>
            <w:shd w:fill="F4F7FB"/>
            <w:tcMar>
              <w:top w:w="85" w:type="dxa"/>
              <w:bottom w:w="85" w:type="dxa"/>
              <w:left w:w="120" w:type="dxa"/>
              <w:right w:w="120" w:type="dxa"/>
            </w:tcMar>
          </w:tcPr>
          <w:p>
            <w:pPr>
              <w:spacing w:line="276" w:lineRule="auto" w:before="40" w:after="40"/>
              <w:jc w:val="left"/>
            </w:pPr>
            <w:r>
              <w:rPr>
                <w:b/>
                <w:color w:val="047857"/>
                <w:sz w:val="17"/>
              </w:rPr>
              <w:t>Superado (100%). Separación total código/datos; triggers registran JSONB y usuario responsable en tabla auditoria.</w:t>
            </w:r>
          </w:p>
        </w:tc>
      </w:tr>
      <w:tr>
        <w:trPr>
          <w:cantSplit/>
        </w:trPr>
        <w:tc>
          <w:tcPr>
            <w:tcW w:type="dxa" w:w="1474"/>
            <w:shd w:fill="FFFFFF"/>
            <w:tcMar>
              <w:top w:w="85" w:type="dxa"/>
              <w:bottom w:w="85" w:type="dxa"/>
              <w:left w:w="120" w:type="dxa"/>
              <w:right w:w="120" w:type="dxa"/>
            </w:tcMar>
          </w:tcPr>
          <w:p>
            <w:pPr>
              <w:spacing w:line="276" w:lineRule="auto" w:before="40" w:after="40"/>
              <w:jc w:val="left"/>
            </w:pPr>
            <w:r>
              <w:rPr>
                <w:b/>
                <w:color w:val="1F4E79"/>
                <w:sz w:val="17"/>
              </w:rPr>
              <w:t>Core</w:t>
              <w:br/>
              <w:t>(Microkernel y Enrutamiento)</w:t>
            </w:r>
          </w:p>
        </w:tc>
        <w:tc>
          <w:tcPr>
            <w:tcW w:type="dxa" w:w="1191"/>
            <w:shd w:fill="FFFFFF"/>
            <w:tcMar>
              <w:top w:w="85" w:type="dxa"/>
              <w:bottom w:w="85" w:type="dxa"/>
              <w:left w:w="120" w:type="dxa"/>
              <w:right w:w="120" w:type="dxa"/>
            </w:tcMar>
          </w:tcPr>
          <w:p>
            <w:pPr>
              <w:spacing w:line="276" w:lineRule="auto" w:before="40" w:after="40"/>
              <w:jc w:val="center"/>
            </w:pPr>
            <w:r>
              <w:rPr>
                <w:b/>
                <w:sz w:val="17"/>
              </w:rPr>
              <w:t>Caja Blanca</w:t>
              <w:br/>
              <w:t>(SAST)</w:t>
            </w:r>
          </w:p>
        </w:tc>
        <w:tc>
          <w:tcPr>
            <w:tcW w:type="dxa" w:w="1814"/>
            <w:shd w:fill="FFFFFF"/>
            <w:tcMar>
              <w:top w:w="85" w:type="dxa"/>
              <w:bottom w:w="85" w:type="dxa"/>
              <w:left w:w="120" w:type="dxa"/>
              <w:right w:w="120" w:type="dxa"/>
            </w:tcMar>
          </w:tcPr>
          <w:p>
            <w:pPr>
              <w:spacing w:line="276" w:lineRule="auto" w:before="40" w:after="40"/>
              <w:jc w:val="left"/>
            </w:pPr>
            <w:r>
              <w:rPr>
                <w:sz w:val="17"/>
              </w:rPr>
              <w:t>Dispatcher.php, Crypto.php, CSRF.php y AuditLogger.php</w:t>
            </w:r>
          </w:p>
        </w:tc>
        <w:tc>
          <w:tcPr>
            <w:tcW w:type="dxa" w:w="2608"/>
            <w:shd w:fill="FFFFFF"/>
            <w:tcMar>
              <w:top w:w="85" w:type="dxa"/>
              <w:bottom w:w="85" w:type="dxa"/>
              <w:left w:w="120" w:type="dxa"/>
              <w:right w:w="120" w:type="dxa"/>
            </w:tcMar>
          </w:tcPr>
          <w:p>
            <w:pPr>
              <w:spacing w:line="276" w:lineRule="auto" w:before="40" w:after="40"/>
              <w:jc w:val="left"/>
            </w:pPr>
            <w:r>
              <w:rPr>
                <w:sz w:val="17"/>
              </w:rPr>
              <w:t>Auditoría de cifrado AES-256-CBC con IV aleatorio de 16 bytes; tokens CSRF con random_bytes(32) y hash_equals; encadenamiento criptográfico SHA-256 en AuditLogger; incorporación de captura global catch(Throwable) en Dispatcher::handleGeneralException().</w:t>
            </w:r>
          </w:p>
        </w:tc>
        <w:tc>
          <w:tcPr>
            <w:tcW w:type="dxa" w:w="1984"/>
            <w:shd w:fill="FFFFFF"/>
            <w:tcMar>
              <w:top w:w="85" w:type="dxa"/>
              <w:bottom w:w="85" w:type="dxa"/>
              <w:left w:w="120" w:type="dxa"/>
              <w:right w:w="120" w:type="dxa"/>
            </w:tcMar>
          </w:tcPr>
          <w:p>
            <w:pPr>
              <w:spacing w:line="276" w:lineRule="auto" w:before="40" w:after="40"/>
              <w:jc w:val="left"/>
            </w:pPr>
            <w:r>
              <w:rPr>
                <w:b/>
                <w:color w:val="047857"/>
                <w:sz w:val="17"/>
              </w:rPr>
              <w:t>Superado (100%). Cadena de logs verificada íntegra; excepciones generales capturadas sin filtrar stack traces.</w:t>
            </w:r>
          </w:p>
        </w:tc>
      </w:tr>
      <w:tr>
        <w:trPr>
          <w:cantSplit/>
        </w:trPr>
        <w:tc>
          <w:tcPr>
            <w:tcW w:type="dxa" w:w="1474"/>
            <w:shd w:fill="F4F7FB"/>
            <w:tcMar>
              <w:top w:w="85" w:type="dxa"/>
              <w:bottom w:w="85" w:type="dxa"/>
              <w:left w:w="120" w:type="dxa"/>
              <w:right w:w="120" w:type="dxa"/>
            </w:tcMar>
          </w:tcPr>
          <w:p>
            <w:pPr>
              <w:spacing w:line="276" w:lineRule="auto" w:before="40" w:after="40"/>
              <w:jc w:val="left"/>
            </w:pPr>
            <w:r>
              <w:rPr>
                <w:b/>
                <w:color w:val="1F4E79"/>
                <w:sz w:val="17"/>
              </w:rPr>
              <w:t>Core</w:t>
              <w:br/>
              <w:t>(WAF y Excepciones HTTP)</w:t>
            </w:r>
          </w:p>
        </w:tc>
        <w:tc>
          <w:tcPr>
            <w:tcW w:type="dxa" w:w="1191"/>
            <w:shd w:fill="F4F7FB"/>
            <w:tcMar>
              <w:top w:w="85" w:type="dxa"/>
              <w:bottom w:w="85" w:type="dxa"/>
              <w:left w:w="120" w:type="dxa"/>
              <w:right w:w="120" w:type="dxa"/>
            </w:tcMar>
          </w:tcPr>
          <w:p>
            <w:pPr>
              <w:spacing w:line="276" w:lineRule="auto" w:before="40" w:after="40"/>
              <w:jc w:val="center"/>
            </w:pPr>
            <w:r>
              <w:rPr>
                <w:b/>
                <w:sz w:val="17"/>
              </w:rPr>
              <w:t>Caja Negra</w:t>
              <w:br/>
              <w:t>(DAST)</w:t>
            </w:r>
          </w:p>
        </w:tc>
        <w:tc>
          <w:tcPr>
            <w:tcW w:type="dxa" w:w="1814"/>
            <w:shd w:fill="F4F7FB"/>
            <w:tcMar>
              <w:top w:w="85" w:type="dxa"/>
              <w:bottom w:w="85" w:type="dxa"/>
              <w:left w:w="120" w:type="dxa"/>
              <w:right w:w="120" w:type="dxa"/>
            </w:tcMar>
          </w:tcPr>
          <w:p>
            <w:pPr>
              <w:spacing w:line="276" w:lineRule="auto" w:before="40" w:after="40"/>
              <w:jc w:val="left"/>
            </w:pPr>
            <w:r>
              <w:rPr>
                <w:sz w:val="17"/>
              </w:rPr>
              <w:t>Kernel.php, Router.php, Auth.php, FeatureFlagMiddleware y MaintenanceService</w:t>
            </w:r>
          </w:p>
        </w:tc>
        <w:tc>
          <w:tcPr>
            <w:tcW w:type="dxa" w:w="2608"/>
            <w:shd w:fill="F4F7FB"/>
            <w:tcMar>
              <w:top w:w="85" w:type="dxa"/>
              <w:bottom w:w="85" w:type="dxa"/>
              <w:left w:w="120" w:type="dxa"/>
              <w:right w:w="120" w:type="dxa"/>
            </w:tcMar>
          </w:tcPr>
          <w:p>
            <w:pPr>
              <w:spacing w:line="276" w:lineRule="auto" w:before="40" w:after="40"/>
              <w:jc w:val="left"/>
            </w:pPr>
            <w:r>
              <w:rPr>
                <w:sz w:val="17"/>
              </w:rPr>
              <w:t>Simulación de payloads SQLi/XSS/LFI contra WAF; invocación de rutas inexistentes, accesos sin privilegio RBAC, desconexión simulada de BD y activación de modo mantenimiento / ruta offline para validar códigos HTTP 403, 404, 500 y 503.</w:t>
            </w:r>
          </w:p>
        </w:tc>
        <w:tc>
          <w:tcPr>
            <w:tcW w:type="dxa" w:w="1984"/>
            <w:shd w:fill="F4F7FB"/>
            <w:tcMar>
              <w:top w:w="85" w:type="dxa"/>
              <w:bottom w:w="85" w:type="dxa"/>
              <w:left w:w="120" w:type="dxa"/>
              <w:right w:w="120" w:type="dxa"/>
            </w:tcMar>
          </w:tcPr>
          <w:p>
            <w:pPr>
              <w:spacing w:line="276" w:lineRule="auto" w:before="40" w:after="40"/>
              <w:jc w:val="left"/>
            </w:pPr>
            <w:r>
              <w:rPr>
                <w:b/>
                <w:color w:val="047857"/>
                <w:sz w:val="17"/>
              </w:rPr>
              <w:t>Superado (100%). Respuestas HTTP 403, 404, 500 (con modo Break-Glass) y 503 emitidas con vistas institucionales seguras.</w:t>
            </w:r>
          </w:p>
        </w:tc>
      </w:tr>
      <w:tr>
        <w:trPr>
          <w:cantSplit/>
        </w:trPr>
        <w:tc>
          <w:tcPr>
            <w:tcW w:type="dxa" w:w="1474"/>
            <w:shd w:fill="FFFFFF"/>
            <w:tcMar>
              <w:top w:w="85" w:type="dxa"/>
              <w:bottom w:w="85" w:type="dxa"/>
              <w:left w:w="120" w:type="dxa"/>
              <w:right w:w="120" w:type="dxa"/>
            </w:tcMar>
          </w:tcPr>
          <w:p>
            <w:pPr>
              <w:spacing w:line="276" w:lineRule="auto" w:before="40" w:after="40"/>
              <w:jc w:val="left"/>
            </w:pPr>
            <w:r>
              <w:rPr>
                <w:b/>
                <w:color w:val="1F4E79"/>
                <w:sz w:val="17"/>
              </w:rPr>
              <w:t>Autenticación</w:t>
              <w:br/>
              <w:t>(modules/Autenticacion)</w:t>
            </w:r>
          </w:p>
        </w:tc>
        <w:tc>
          <w:tcPr>
            <w:tcW w:type="dxa" w:w="1191"/>
            <w:shd w:fill="FFFFFF"/>
            <w:tcMar>
              <w:top w:w="85" w:type="dxa"/>
              <w:bottom w:w="85" w:type="dxa"/>
              <w:left w:w="120" w:type="dxa"/>
              <w:right w:w="120" w:type="dxa"/>
            </w:tcMar>
          </w:tcPr>
          <w:p>
            <w:pPr>
              <w:spacing w:line="276" w:lineRule="auto" w:before="40" w:after="40"/>
              <w:jc w:val="center"/>
            </w:pPr>
            <w:r>
              <w:rPr>
                <w:b/>
                <w:sz w:val="17"/>
              </w:rPr>
              <w:t>Caja Blanca</w:t>
              <w:br/>
              <w:t>(SAST)</w:t>
            </w:r>
          </w:p>
        </w:tc>
        <w:tc>
          <w:tcPr>
            <w:tcW w:type="dxa" w:w="1814"/>
            <w:shd w:fill="FFFFFF"/>
            <w:tcMar>
              <w:top w:w="85" w:type="dxa"/>
              <w:bottom w:w="85" w:type="dxa"/>
              <w:left w:w="120" w:type="dxa"/>
              <w:right w:w="120" w:type="dxa"/>
            </w:tcMar>
          </w:tcPr>
          <w:p>
            <w:pPr>
              <w:spacing w:line="276" w:lineRule="auto" w:before="40" w:after="40"/>
              <w:jc w:val="left"/>
            </w:pPr>
            <w:r>
              <w:rPr>
                <w:sz w:val="17"/>
              </w:rPr>
              <w:t>LoginController.php, PerfilController.php, UsuarioModel.php y Vistas</w:t>
            </w:r>
          </w:p>
        </w:tc>
        <w:tc>
          <w:tcPr>
            <w:tcW w:type="dxa" w:w="2608"/>
            <w:shd w:fill="FFFFFF"/>
            <w:tcMar>
              <w:top w:w="85" w:type="dxa"/>
              <w:bottom w:w="85" w:type="dxa"/>
              <w:left w:w="120" w:type="dxa"/>
              <w:right w:w="120" w:type="dxa"/>
            </w:tcMar>
          </w:tcPr>
          <w:p>
            <w:pPr>
              <w:spacing w:line="276" w:lineRule="auto" w:before="40" w:after="40"/>
              <w:jc w:val="left"/>
            </w:pPr>
            <w:r>
              <w:rPr>
                <w:sz w:val="17"/>
              </w:rPr>
              <w:t>Verificación de hashing Bcrypt (password_hash / password_verify), regeneración de sesión, expiración de tokens SHA-256 (1h recuperación / 48h invitación) y reprocesamiento GD de avatares. Se añadió validación CSRF en procesarRestablecerClave() y alerta visual de éxito en recuperar_cuenta.php.</w:t>
            </w:r>
          </w:p>
        </w:tc>
        <w:tc>
          <w:tcPr>
            <w:tcW w:type="dxa" w:w="1984"/>
            <w:shd w:fill="FFFFFF"/>
            <w:tcMar>
              <w:top w:w="85" w:type="dxa"/>
              <w:bottom w:w="85" w:type="dxa"/>
              <w:left w:w="120" w:type="dxa"/>
              <w:right w:w="120" w:type="dxa"/>
            </w:tcMar>
          </w:tcPr>
          <w:p>
            <w:pPr>
              <w:spacing w:line="276" w:lineRule="auto" w:before="40" w:after="40"/>
              <w:jc w:val="left"/>
            </w:pPr>
            <w:r>
              <w:rPr>
                <w:b/>
                <w:color w:val="047857"/>
                <w:sz w:val="17"/>
              </w:rPr>
              <w:t>Superado (100%). Credenciales y formularios de restablecimiento blindados contra CSRF y manipulación de archivos.</w:t>
            </w:r>
          </w:p>
        </w:tc>
      </w:tr>
      <w:tr>
        <w:trPr>
          <w:cantSplit/>
        </w:trPr>
        <w:tc>
          <w:tcPr>
            <w:tcW w:type="dxa" w:w="1474"/>
            <w:shd w:fill="F4F7FB"/>
            <w:tcMar>
              <w:top w:w="85" w:type="dxa"/>
              <w:bottom w:w="85" w:type="dxa"/>
              <w:left w:w="120" w:type="dxa"/>
              <w:right w:w="120" w:type="dxa"/>
            </w:tcMar>
          </w:tcPr>
          <w:p>
            <w:pPr>
              <w:spacing w:line="276" w:lineRule="auto" w:before="40" w:after="40"/>
              <w:jc w:val="left"/>
            </w:pPr>
            <w:r>
              <w:rPr>
                <w:b/>
                <w:color w:val="1F4E79"/>
                <w:sz w:val="17"/>
              </w:rPr>
              <w:t>Autenticación</w:t>
              <w:br/>
              <w:t>(modules/Autenticacion)</w:t>
            </w:r>
          </w:p>
        </w:tc>
        <w:tc>
          <w:tcPr>
            <w:tcW w:type="dxa" w:w="1191"/>
            <w:shd w:fill="F4F7FB"/>
            <w:tcMar>
              <w:top w:w="85" w:type="dxa"/>
              <w:bottom w:w="85" w:type="dxa"/>
              <w:left w:w="120" w:type="dxa"/>
              <w:right w:w="120" w:type="dxa"/>
            </w:tcMar>
          </w:tcPr>
          <w:p>
            <w:pPr>
              <w:spacing w:line="276" w:lineRule="auto" w:before="40" w:after="40"/>
              <w:jc w:val="center"/>
            </w:pPr>
            <w:r>
              <w:rPr>
                <w:b/>
                <w:sz w:val="17"/>
              </w:rPr>
              <w:t>Caja Negra</w:t>
              <w:br/>
              <w:t>(DAST)</w:t>
            </w:r>
          </w:p>
        </w:tc>
        <w:tc>
          <w:tcPr>
            <w:tcW w:type="dxa" w:w="1814"/>
            <w:shd w:fill="F4F7FB"/>
            <w:tcMar>
              <w:top w:w="85" w:type="dxa"/>
              <w:bottom w:w="85" w:type="dxa"/>
              <w:left w:w="120" w:type="dxa"/>
              <w:right w:w="120" w:type="dxa"/>
            </w:tcMar>
          </w:tcPr>
          <w:p>
            <w:pPr>
              <w:spacing w:line="276" w:lineRule="auto" w:before="40" w:after="40"/>
              <w:jc w:val="left"/>
            </w:pPr>
            <w:r>
              <w:rPr>
                <w:sz w:val="17"/>
              </w:rPr>
              <w:t>Endpoints /login, /recuperar-cuenta, /restablecer-clave y /perfil</w:t>
            </w:r>
          </w:p>
        </w:tc>
        <w:tc>
          <w:tcPr>
            <w:tcW w:type="dxa" w:w="2608"/>
            <w:shd w:fill="F4F7FB"/>
            <w:tcMar>
              <w:top w:w="85" w:type="dxa"/>
              <w:bottom w:w="85" w:type="dxa"/>
              <w:left w:w="120" w:type="dxa"/>
              <w:right w:w="120" w:type="dxa"/>
            </w:tcMar>
          </w:tcPr>
          <w:p>
            <w:pPr>
              <w:spacing w:line="276" w:lineRule="auto" w:before="40" w:after="40"/>
              <w:jc w:val="left"/>
            </w:pPr>
            <w:r>
              <w:rPr>
                <w:sz w:val="17"/>
              </w:rPr>
              <w:t>Ensayo de fuerza bruta (&gt;5 intentos fallidos), envío de formulario POST de cambio de clave sin token CSRF, alteración de User-Agent en sesión activa y subida de script renombrado como imagen de perfil (.jpg).</w:t>
            </w:r>
          </w:p>
        </w:tc>
        <w:tc>
          <w:tcPr>
            <w:tcW w:type="dxa" w:w="1984"/>
            <w:shd w:fill="F4F7FB"/>
            <w:tcMar>
              <w:top w:w="85" w:type="dxa"/>
              <w:bottom w:w="85" w:type="dxa"/>
              <w:left w:w="120" w:type="dxa"/>
              <w:right w:w="120" w:type="dxa"/>
            </w:tcMar>
          </w:tcPr>
          <w:p>
            <w:pPr>
              <w:spacing w:line="276" w:lineRule="auto" w:before="40" w:after="40"/>
              <w:jc w:val="left"/>
            </w:pPr>
            <w:r>
              <w:rPr>
                <w:b/>
                <w:color w:val="047857"/>
                <w:sz w:val="17"/>
              </w:rPr>
              <w:t>Superado (100%). Bloqueo temporal de IP en RateLimiter (HTTP 403), rechazo de petición sin CSRF, expulsión de sesión anómala y bloqueo de falso avatar.</w:t>
            </w:r>
          </w:p>
        </w:tc>
      </w:tr>
      <w:tr>
        <w:trPr>
          <w:cantSplit/>
        </w:trPr>
        <w:tc>
          <w:tcPr>
            <w:tcW w:type="dxa" w:w="1474"/>
            <w:shd w:fill="FFFFFF"/>
            <w:tcMar>
              <w:top w:w="85" w:type="dxa"/>
              <w:bottom w:w="85" w:type="dxa"/>
              <w:left w:w="120" w:type="dxa"/>
              <w:right w:w="120" w:type="dxa"/>
            </w:tcMar>
          </w:tcPr>
          <w:p>
            <w:pPr>
              <w:spacing w:line="276" w:lineRule="auto" w:before="40" w:after="40"/>
              <w:jc w:val="left"/>
            </w:pPr>
            <w:r>
              <w:rPr>
                <w:b/>
                <w:color w:val="1F4E79"/>
                <w:sz w:val="17"/>
              </w:rPr>
              <w:t>Artículos</w:t>
              <w:br/>
              <w:t>(modules/Articulos)</w:t>
            </w:r>
          </w:p>
        </w:tc>
        <w:tc>
          <w:tcPr>
            <w:tcW w:type="dxa" w:w="1191"/>
            <w:shd w:fill="FFFFFF"/>
            <w:tcMar>
              <w:top w:w="85" w:type="dxa"/>
              <w:bottom w:w="85" w:type="dxa"/>
              <w:left w:w="120" w:type="dxa"/>
              <w:right w:w="120" w:type="dxa"/>
            </w:tcMar>
          </w:tcPr>
          <w:p>
            <w:pPr>
              <w:spacing w:line="276" w:lineRule="auto" w:before="40" w:after="40"/>
              <w:jc w:val="center"/>
            </w:pPr>
            <w:r>
              <w:rPr>
                <w:b/>
                <w:sz w:val="17"/>
              </w:rPr>
              <w:t>Caja Blanca</w:t>
              <w:br/>
              <w:t>(SAST)</w:t>
            </w:r>
          </w:p>
        </w:tc>
        <w:tc>
          <w:tcPr>
            <w:tcW w:type="dxa" w:w="1814"/>
            <w:shd w:fill="FFFFFF"/>
            <w:tcMar>
              <w:top w:w="85" w:type="dxa"/>
              <w:bottom w:w="85" w:type="dxa"/>
              <w:left w:w="120" w:type="dxa"/>
              <w:right w:w="120" w:type="dxa"/>
            </w:tcMar>
          </w:tcPr>
          <w:p>
            <w:pPr>
              <w:spacing w:line="276" w:lineRule="auto" w:before="40" w:after="40"/>
              <w:jc w:val="left"/>
            </w:pPr>
            <w:r>
              <w:rPr>
                <w:sz w:val="17"/>
              </w:rPr>
              <w:t>ArticulosController.php, ConfiguracionController.php y ArticuloModel.php</w:t>
            </w:r>
          </w:p>
        </w:tc>
        <w:tc>
          <w:tcPr>
            <w:tcW w:type="dxa" w:w="2608"/>
            <w:shd w:fill="FFFFFF"/>
            <w:tcMar>
              <w:top w:w="85" w:type="dxa"/>
              <w:bottom w:w="85" w:type="dxa"/>
              <w:left w:w="120" w:type="dxa"/>
              <w:right w:w="120" w:type="dxa"/>
            </w:tcMar>
          </w:tcPr>
          <w:p>
            <w:pPr>
              <w:spacing w:line="276" w:lineRule="auto" w:before="40" w:after="40"/>
              <w:jc w:val="left"/>
            </w:pPr>
            <w:r>
              <w:rPr>
                <w:sz w:val="17"/>
              </w:rPr>
              <w:t>Inspección de transacciones PDO en publicación/edición de artículos y escape XSS en leer_articulo.php. Se incorporó lista blanca estricta de tablas en ArticuloModel::obtenerCatalogoPaginado(), validación anti-SSRF en actualizar() y código HTTP 404 en leer().</w:t>
            </w:r>
          </w:p>
        </w:tc>
        <w:tc>
          <w:tcPr>
            <w:tcW w:type="dxa" w:w="1984"/>
            <w:shd w:fill="FFFFFF"/>
            <w:tcMar>
              <w:top w:w="85" w:type="dxa"/>
              <w:bottom w:w="85" w:type="dxa"/>
              <w:left w:w="120" w:type="dxa"/>
              <w:right w:w="120" w:type="dxa"/>
            </w:tcMar>
          </w:tcPr>
          <w:p>
            <w:pPr>
              <w:spacing w:line="276" w:lineRule="auto" w:before="40" w:after="40"/>
              <w:jc w:val="left"/>
            </w:pPr>
            <w:r>
              <w:rPr>
                <w:b/>
                <w:color w:val="047857"/>
                <w:sz w:val="17"/>
              </w:rPr>
              <w:t>Superado (100%). Consultas parametrizadas, catálogos restringidos por whitelist y prevención de SSRF / Path Traversal.</w:t>
            </w:r>
          </w:p>
        </w:tc>
      </w:tr>
      <w:tr>
        <w:trPr>
          <w:cantSplit/>
        </w:trPr>
        <w:tc>
          <w:tcPr>
            <w:tcW w:type="dxa" w:w="1474"/>
            <w:shd w:fill="F4F7FB"/>
            <w:tcMar>
              <w:top w:w="85" w:type="dxa"/>
              <w:bottom w:w="85" w:type="dxa"/>
              <w:left w:w="120" w:type="dxa"/>
              <w:right w:w="120" w:type="dxa"/>
            </w:tcMar>
          </w:tcPr>
          <w:p>
            <w:pPr>
              <w:spacing w:line="276" w:lineRule="auto" w:before="40" w:after="40"/>
              <w:jc w:val="left"/>
            </w:pPr>
            <w:r>
              <w:rPr>
                <w:b/>
                <w:color w:val="1F4E79"/>
                <w:sz w:val="17"/>
              </w:rPr>
              <w:t>Artículos</w:t>
              <w:br/>
              <w:t>(modules/Articulos)</w:t>
            </w:r>
          </w:p>
        </w:tc>
        <w:tc>
          <w:tcPr>
            <w:tcW w:type="dxa" w:w="1191"/>
            <w:shd w:fill="F4F7FB"/>
            <w:tcMar>
              <w:top w:w="85" w:type="dxa"/>
              <w:bottom w:w="85" w:type="dxa"/>
              <w:left w:w="120" w:type="dxa"/>
              <w:right w:w="120" w:type="dxa"/>
            </w:tcMar>
          </w:tcPr>
          <w:p>
            <w:pPr>
              <w:spacing w:line="276" w:lineRule="auto" w:before="40" w:after="40"/>
              <w:jc w:val="center"/>
            </w:pPr>
            <w:r>
              <w:rPr>
                <w:b/>
                <w:sz w:val="17"/>
              </w:rPr>
              <w:t>Caja Negra</w:t>
              <w:br/>
              <w:t>(DAST)</w:t>
            </w:r>
          </w:p>
        </w:tc>
        <w:tc>
          <w:tcPr>
            <w:tcW w:type="dxa" w:w="1814"/>
            <w:shd w:fill="F4F7FB"/>
            <w:tcMar>
              <w:top w:w="85" w:type="dxa"/>
              <w:bottom w:w="85" w:type="dxa"/>
              <w:left w:w="120" w:type="dxa"/>
              <w:right w:w="120" w:type="dxa"/>
            </w:tcMar>
          </w:tcPr>
          <w:p>
            <w:pPr>
              <w:spacing w:line="276" w:lineRule="auto" w:before="40" w:after="40"/>
              <w:jc w:val="left"/>
            </w:pPr>
            <w:r>
              <w:rPr>
                <w:sz w:val="17"/>
              </w:rPr>
              <w:t>Consulta pública (/leer-articulo), carga multiparte y enlaces externos</w:t>
            </w:r>
          </w:p>
        </w:tc>
        <w:tc>
          <w:tcPr>
            <w:tcW w:type="dxa" w:w="2608"/>
            <w:shd w:fill="F4F7FB"/>
            <w:tcMar>
              <w:top w:w="85" w:type="dxa"/>
              <w:bottom w:w="85" w:type="dxa"/>
              <w:left w:w="120" w:type="dxa"/>
              <w:right w:w="120" w:type="dxa"/>
            </w:tcMar>
          </w:tcPr>
          <w:p>
            <w:pPr>
              <w:spacing w:line="276" w:lineRule="auto" w:before="40" w:after="40"/>
              <w:jc w:val="left"/>
            </w:pPr>
            <w:r>
              <w:rPr>
                <w:sz w:val="17"/>
              </w:rPr>
              <w:t>Petición GET con ID de artículo inexistente (?id=999999), intento de inyección de URL interna (http://127.0.0.1/admin) como enlace externo y subida de archivo ejecutable camuflado con extensión .pdf.</w:t>
            </w:r>
          </w:p>
        </w:tc>
        <w:tc>
          <w:tcPr>
            <w:tcW w:type="dxa" w:w="1984"/>
            <w:shd w:fill="F4F7FB"/>
            <w:tcMar>
              <w:top w:w="85" w:type="dxa"/>
              <w:bottom w:w="85" w:type="dxa"/>
              <w:left w:w="120" w:type="dxa"/>
              <w:right w:w="120" w:type="dxa"/>
            </w:tcMar>
          </w:tcPr>
          <w:p>
            <w:pPr>
              <w:spacing w:line="276" w:lineRule="auto" w:before="40" w:after="40"/>
              <w:jc w:val="left"/>
            </w:pPr>
            <w:r>
              <w:rPr>
                <w:b/>
                <w:color w:val="047857"/>
                <w:sz w:val="17"/>
              </w:rPr>
              <w:t>Superado (100%). Emisión de estado HTTP 404 con vista de error, rechazo de URL local (anti-SSRF) y bloqueo por inspección binaria finfo_file().</w:t>
            </w:r>
          </w:p>
        </w:tc>
      </w:tr>
      <w:tr>
        <w:trPr>
          <w:cantSplit/>
        </w:trPr>
        <w:tc>
          <w:tcPr>
            <w:tcW w:type="dxa" w:w="1474"/>
            <w:shd w:fill="FFFFFF"/>
            <w:tcMar>
              <w:top w:w="85" w:type="dxa"/>
              <w:bottom w:w="85" w:type="dxa"/>
              <w:left w:w="120" w:type="dxa"/>
              <w:right w:w="120" w:type="dxa"/>
            </w:tcMar>
          </w:tcPr>
          <w:p>
            <w:pPr>
              <w:spacing w:line="276" w:lineRule="auto" w:before="40" w:after="40"/>
              <w:jc w:val="left"/>
            </w:pPr>
            <w:r>
              <w:rPr>
                <w:b/>
                <w:color w:val="1F4E79"/>
                <w:sz w:val="17"/>
              </w:rPr>
              <w:t>RepositorioPST</w:t>
              <w:br/>
              <w:t>(modules/RepositorioPST)</w:t>
            </w:r>
          </w:p>
        </w:tc>
        <w:tc>
          <w:tcPr>
            <w:tcW w:type="dxa" w:w="1191"/>
            <w:shd w:fill="FFFFFF"/>
            <w:tcMar>
              <w:top w:w="85" w:type="dxa"/>
              <w:bottom w:w="85" w:type="dxa"/>
              <w:left w:w="120" w:type="dxa"/>
              <w:right w:w="120" w:type="dxa"/>
            </w:tcMar>
          </w:tcPr>
          <w:p>
            <w:pPr>
              <w:spacing w:line="276" w:lineRule="auto" w:before="40" w:after="40"/>
              <w:jc w:val="center"/>
            </w:pPr>
            <w:r>
              <w:rPr>
                <w:b/>
                <w:sz w:val="17"/>
              </w:rPr>
              <w:t>Caja Blanca</w:t>
              <w:br/>
              <w:t>(SAST)</w:t>
            </w:r>
          </w:p>
        </w:tc>
        <w:tc>
          <w:tcPr>
            <w:tcW w:type="dxa" w:w="1814"/>
            <w:shd w:fill="FFFFFF"/>
            <w:tcMar>
              <w:top w:w="85" w:type="dxa"/>
              <w:bottom w:w="85" w:type="dxa"/>
              <w:left w:w="120" w:type="dxa"/>
              <w:right w:w="120" w:type="dxa"/>
            </w:tcMar>
          </w:tcPr>
          <w:p>
            <w:pPr>
              <w:spacing w:line="276" w:lineRule="auto" w:before="40" w:after="40"/>
              <w:jc w:val="left"/>
            </w:pPr>
            <w:r>
              <w:rPr>
                <w:sz w:val="17"/>
              </w:rPr>
              <w:t>DetallePSTController.php, BusquedaGlobalController, ExtractorPST y EmbeddingService</w:t>
            </w:r>
          </w:p>
        </w:tc>
        <w:tc>
          <w:tcPr>
            <w:tcW w:type="dxa" w:w="2608"/>
            <w:shd w:fill="FFFFFF"/>
            <w:tcMar>
              <w:top w:w="85" w:type="dxa"/>
              <w:bottom w:w="85" w:type="dxa"/>
              <w:left w:w="120" w:type="dxa"/>
              <w:right w:w="120" w:type="dxa"/>
            </w:tcMar>
          </w:tcPr>
          <w:p>
            <w:pPr>
              <w:spacing w:line="276" w:lineRule="auto" w:before="40" w:after="40"/>
              <w:jc w:val="left"/>
            </w:pPr>
            <w:r>
              <w:rPr>
                <w:sz w:val="17"/>
              </w:rPr>
              <w:t>Auditoría de extracción PDF/DOCX (protección Zip Bomb 15 MB y LIBXML_NONET anti-XXE) e inferencia vectorial ONNX (384-d normalizado L2 con índice HNSW en pgvector). Se añadió validación finfo_file(), control anti-traversal de rutas temporales y código HTTP 404 en ver().</w:t>
            </w:r>
          </w:p>
        </w:tc>
        <w:tc>
          <w:tcPr>
            <w:tcW w:type="dxa" w:w="1984"/>
            <w:shd w:fill="FFFFFF"/>
            <w:tcMar>
              <w:top w:w="85" w:type="dxa"/>
              <w:bottom w:w="85" w:type="dxa"/>
              <w:left w:w="120" w:type="dxa"/>
              <w:right w:w="120" w:type="dxa"/>
            </w:tcMar>
          </w:tcPr>
          <w:p>
            <w:pPr>
              <w:spacing w:line="276" w:lineRule="auto" w:before="40" w:after="40"/>
              <w:jc w:val="left"/>
            </w:pPr>
            <w:r>
              <w:rPr>
                <w:b/>
                <w:color w:val="047857"/>
                <w:sz w:val="17"/>
              </w:rPr>
              <w:t>Superado (100%). Extracción documental acotada en memoria (&lt;3.8 MB por hilo), búsqueda semántica precisa y rutas aseguradas.</w:t>
            </w:r>
          </w:p>
        </w:tc>
      </w:tr>
      <w:tr>
        <w:trPr>
          <w:cantSplit/>
        </w:trPr>
        <w:tc>
          <w:tcPr>
            <w:tcW w:type="dxa" w:w="1474"/>
            <w:shd w:fill="F4F7FB"/>
            <w:tcMar>
              <w:top w:w="85" w:type="dxa"/>
              <w:bottom w:w="85" w:type="dxa"/>
              <w:left w:w="120" w:type="dxa"/>
              <w:right w:w="120" w:type="dxa"/>
            </w:tcMar>
          </w:tcPr>
          <w:p>
            <w:pPr>
              <w:spacing w:line="276" w:lineRule="auto" w:before="40" w:after="40"/>
              <w:jc w:val="left"/>
            </w:pPr>
            <w:r>
              <w:rPr>
                <w:b/>
                <w:color w:val="1F4E79"/>
                <w:sz w:val="17"/>
              </w:rPr>
              <w:t>RepositorioPST</w:t>
              <w:br/>
              <w:t>(modules/RepositorioPST)</w:t>
            </w:r>
          </w:p>
        </w:tc>
        <w:tc>
          <w:tcPr>
            <w:tcW w:type="dxa" w:w="1191"/>
            <w:shd w:fill="F4F7FB"/>
            <w:tcMar>
              <w:top w:w="85" w:type="dxa"/>
              <w:bottom w:w="85" w:type="dxa"/>
              <w:left w:w="120" w:type="dxa"/>
              <w:right w:w="120" w:type="dxa"/>
            </w:tcMar>
          </w:tcPr>
          <w:p>
            <w:pPr>
              <w:spacing w:line="276" w:lineRule="auto" w:before="40" w:after="40"/>
              <w:jc w:val="center"/>
            </w:pPr>
            <w:r>
              <w:rPr>
                <w:b/>
                <w:sz w:val="17"/>
              </w:rPr>
              <w:t>Caja Negra</w:t>
              <w:br/>
              <w:t>(DAST)</w:t>
            </w:r>
          </w:p>
        </w:tc>
        <w:tc>
          <w:tcPr>
            <w:tcW w:type="dxa" w:w="1814"/>
            <w:shd w:fill="F4F7FB"/>
            <w:tcMar>
              <w:top w:w="85" w:type="dxa"/>
              <w:bottom w:w="85" w:type="dxa"/>
              <w:left w:w="120" w:type="dxa"/>
              <w:right w:w="120" w:type="dxa"/>
            </w:tcMar>
          </w:tcPr>
          <w:p>
            <w:pPr>
              <w:spacing w:line="276" w:lineRule="auto" w:before="40" w:after="40"/>
              <w:jc w:val="left"/>
            </w:pPr>
            <w:r>
              <w:rPr>
                <w:sz w:val="17"/>
              </w:rPr>
              <w:t>Visor documental (/ver-pdf), ingesta AJAX (crear_ajax) y buscador IA</w:t>
            </w:r>
          </w:p>
        </w:tc>
        <w:tc>
          <w:tcPr>
            <w:tcW w:type="dxa" w:w="2608"/>
            <w:shd w:fill="F4F7FB"/>
            <w:tcMar>
              <w:top w:w="85" w:type="dxa"/>
              <w:bottom w:w="85" w:type="dxa"/>
              <w:left w:w="120" w:type="dxa"/>
              <w:right w:w="120" w:type="dxa"/>
            </w:tcMar>
          </w:tcPr>
          <w:p>
            <w:pPr>
              <w:spacing w:line="276" w:lineRule="auto" w:before="40" w:after="40"/>
              <w:jc w:val="left"/>
            </w:pPr>
            <w:r>
              <w:rPr>
                <w:sz w:val="17"/>
              </w:rPr>
              <w:t>Invocación de /ver-pdf sin parámetros (HTTP 400), intento de descarga con política restringida (HTTP 403), consulta de PST inexistente (HTTP 404), manipulación de ruta_archivo_temporal con '../' y búsqueda semántica con sinónimos conceptuales.</w:t>
            </w:r>
          </w:p>
        </w:tc>
        <w:tc>
          <w:tcPr>
            <w:tcW w:type="dxa" w:w="1984"/>
            <w:shd w:fill="F4F7FB"/>
            <w:tcMar>
              <w:top w:w="85" w:type="dxa"/>
              <w:bottom w:w="85" w:type="dxa"/>
              <w:left w:w="120" w:type="dxa"/>
              <w:right w:w="120" w:type="dxa"/>
            </w:tcMar>
          </w:tcPr>
          <w:p>
            <w:pPr>
              <w:spacing w:line="276" w:lineRule="auto" w:before="40" w:after="40"/>
              <w:jc w:val="left"/>
            </w:pPr>
            <w:r>
              <w:rPr>
                <w:b/>
                <w:color w:val="047857"/>
                <w:sz w:val="17"/>
              </w:rPr>
              <w:t>Superado (100%). Códigos HTTP 400/403/404 verificados, rechazo de traversal en archivo temporal y recuperación vectorial con similitud &gt;0.84.</w:t>
            </w:r>
          </w:p>
        </w:tc>
      </w:tr>
      <w:tr>
        <w:trPr>
          <w:cantSplit/>
        </w:trPr>
        <w:tc>
          <w:tcPr>
            <w:tcW w:type="dxa" w:w="1474"/>
            <w:shd w:fill="FFFFFF"/>
            <w:tcMar>
              <w:top w:w="85" w:type="dxa"/>
              <w:bottom w:w="85" w:type="dxa"/>
              <w:left w:w="120" w:type="dxa"/>
              <w:right w:w="120" w:type="dxa"/>
            </w:tcMar>
          </w:tcPr>
          <w:p>
            <w:pPr>
              <w:spacing w:line="276" w:lineRule="auto" w:before="40" w:after="40"/>
              <w:jc w:val="left"/>
            </w:pPr>
            <w:r>
              <w:rPr>
                <w:b/>
                <w:color w:val="1F4E79"/>
                <w:sz w:val="17"/>
              </w:rPr>
              <w:t>SuperAdmin</w:t>
              <w:br/>
              <w:t>(modules/SuperAdmin)</w:t>
            </w:r>
          </w:p>
        </w:tc>
        <w:tc>
          <w:tcPr>
            <w:tcW w:type="dxa" w:w="1191"/>
            <w:shd w:fill="FFFFFF"/>
            <w:tcMar>
              <w:top w:w="85" w:type="dxa"/>
              <w:bottom w:w="85" w:type="dxa"/>
              <w:left w:w="120" w:type="dxa"/>
              <w:right w:w="120" w:type="dxa"/>
            </w:tcMar>
          </w:tcPr>
          <w:p>
            <w:pPr>
              <w:spacing w:line="276" w:lineRule="auto" w:before="40" w:after="40"/>
              <w:jc w:val="center"/>
            </w:pPr>
            <w:r>
              <w:rPr>
                <w:b/>
                <w:sz w:val="17"/>
              </w:rPr>
              <w:t>Caja Blanca</w:t>
              <w:br/>
              <w:t>(SAST)</w:t>
            </w:r>
          </w:p>
        </w:tc>
        <w:tc>
          <w:tcPr>
            <w:tcW w:type="dxa" w:w="1814"/>
            <w:shd w:fill="FFFFFF"/>
            <w:tcMar>
              <w:top w:w="85" w:type="dxa"/>
              <w:bottom w:w="85" w:type="dxa"/>
              <w:left w:w="120" w:type="dxa"/>
              <w:right w:w="120" w:type="dxa"/>
            </w:tcMar>
          </w:tcPr>
          <w:p>
            <w:pPr>
              <w:spacing w:line="276" w:lineRule="auto" w:before="40" w:after="40"/>
              <w:jc w:val="left"/>
            </w:pPr>
            <w:r>
              <w:rPr>
                <w:sz w:val="17"/>
              </w:rPr>
              <w:t>AdminController, GestorUsuarios, ModulosController, Logs, Reportes y BackupService</w:t>
            </w:r>
          </w:p>
        </w:tc>
        <w:tc>
          <w:tcPr>
            <w:tcW w:type="dxa" w:w="2608"/>
            <w:shd w:fill="FFFFFF"/>
            <w:tcMar>
              <w:top w:w="85" w:type="dxa"/>
              <w:bottom w:w="85" w:type="dxa"/>
              <w:left w:w="120" w:type="dxa"/>
              <w:right w:w="120" w:type="dxa"/>
            </w:tcMar>
          </w:tcPr>
          <w:p>
            <w:pPr>
              <w:spacing w:line="276" w:lineRule="auto" w:before="40" w:after="40"/>
              <w:jc w:val="left"/>
            </w:pPr>
            <w:r>
              <w:rPr>
                <w:sz w:val="17"/>
              </w:rPr>
              <w:t>Revisión de control de privilegio 0 (Auth::requierePrivilegioMinimo(0)), re-autenticación de clave en cambios críticos de BD/Break-Glass y validación dry-run de dumps SQL/GZIP. Se blindó ModulosController contra escritura arbitraria de rutas JSON y se añadió sanitización anti-CSV Injection en ReportesController.</w:t>
            </w:r>
          </w:p>
        </w:tc>
        <w:tc>
          <w:tcPr>
            <w:tcW w:type="dxa" w:w="1984"/>
            <w:shd w:fill="FFFFFF"/>
            <w:tcMar>
              <w:top w:w="85" w:type="dxa"/>
              <w:bottom w:w="85" w:type="dxa"/>
              <w:left w:w="120" w:type="dxa"/>
              <w:right w:w="120" w:type="dxa"/>
            </w:tcMar>
          </w:tcPr>
          <w:p>
            <w:pPr>
              <w:spacing w:line="276" w:lineRule="auto" w:before="40" w:after="40"/>
              <w:jc w:val="left"/>
            </w:pPr>
            <w:r>
              <w:rPr>
                <w:b/>
                <w:color w:val="047857"/>
                <w:sz w:val="17"/>
              </w:rPr>
              <w:t>Superado (100%). Operaciones administrativas protegidas por privilegio nivel 0, rutas de módulos validadas por regex y exportaciones CSV seguras.</w:t>
            </w:r>
          </w:p>
        </w:tc>
      </w:tr>
      <w:tr>
        <w:trPr>
          <w:cantSplit/>
        </w:trPr>
        <w:tc>
          <w:tcPr>
            <w:tcW w:type="dxa" w:w="1474"/>
            <w:shd w:fill="F4F7FB"/>
            <w:tcMar>
              <w:top w:w="85" w:type="dxa"/>
              <w:bottom w:w="85" w:type="dxa"/>
              <w:left w:w="120" w:type="dxa"/>
              <w:right w:w="120" w:type="dxa"/>
            </w:tcMar>
          </w:tcPr>
          <w:p>
            <w:pPr>
              <w:spacing w:line="276" w:lineRule="auto" w:before="40" w:after="40"/>
              <w:jc w:val="left"/>
            </w:pPr>
            <w:r>
              <w:rPr>
                <w:b/>
                <w:color w:val="1F4E79"/>
                <w:sz w:val="17"/>
              </w:rPr>
              <w:t>SuperAdmin</w:t>
              <w:br/>
              <w:t>(modules/SuperAdmin)</w:t>
            </w:r>
          </w:p>
        </w:tc>
        <w:tc>
          <w:tcPr>
            <w:tcW w:type="dxa" w:w="1191"/>
            <w:shd w:fill="F4F7FB"/>
            <w:tcMar>
              <w:top w:w="85" w:type="dxa"/>
              <w:bottom w:w="85" w:type="dxa"/>
              <w:left w:w="120" w:type="dxa"/>
              <w:right w:w="120" w:type="dxa"/>
            </w:tcMar>
          </w:tcPr>
          <w:p>
            <w:pPr>
              <w:spacing w:line="276" w:lineRule="auto" w:before="40" w:after="40"/>
              <w:jc w:val="center"/>
            </w:pPr>
            <w:r>
              <w:rPr>
                <w:b/>
                <w:sz w:val="17"/>
              </w:rPr>
              <w:t>Caja Negra</w:t>
              <w:br/>
              <w:t>(DAST)</w:t>
            </w:r>
          </w:p>
        </w:tc>
        <w:tc>
          <w:tcPr>
            <w:tcW w:type="dxa" w:w="1814"/>
            <w:shd w:fill="F4F7FB"/>
            <w:tcMar>
              <w:top w:w="85" w:type="dxa"/>
              <w:bottom w:w="85" w:type="dxa"/>
              <w:left w:w="120" w:type="dxa"/>
              <w:right w:w="120" w:type="dxa"/>
            </w:tcMar>
          </w:tcPr>
          <w:p>
            <w:pPr>
              <w:spacing w:line="276" w:lineRule="auto" w:before="40" w:after="40"/>
              <w:jc w:val="left"/>
            </w:pPr>
            <w:r>
              <w:rPr>
                <w:sz w:val="17"/>
              </w:rPr>
              <w:t>Panel administrativo, Matriz RBAC, Visor WAF, Backups y Exportación CSV/PDF</w:t>
            </w:r>
          </w:p>
        </w:tc>
        <w:tc>
          <w:tcPr>
            <w:tcW w:type="dxa" w:w="2608"/>
            <w:shd w:fill="F4F7FB"/>
            <w:tcMar>
              <w:top w:w="85" w:type="dxa"/>
              <w:bottom w:w="85" w:type="dxa"/>
              <w:left w:w="120" w:type="dxa"/>
              <w:right w:w="120" w:type="dxa"/>
            </w:tcMar>
          </w:tcPr>
          <w:p>
            <w:pPr>
              <w:spacing w:line="276" w:lineRule="auto" w:before="40" w:after="40"/>
              <w:jc w:val="left"/>
            </w:pPr>
            <w:r>
              <w:rPr>
                <w:sz w:val="17"/>
              </w:rPr>
              <w:t>Intento de acceso a /panel-admin con sesión de nivel estudiante/docente (HTTP 403), intento de auto-eliminación o auto-revocación de sesión del propio SuperAdmin, restauración de archivo .sql corrupto y exportación de registros con prefijos '=CMD|'.</w:t>
            </w:r>
          </w:p>
        </w:tc>
        <w:tc>
          <w:tcPr>
            <w:tcW w:type="dxa" w:w="1984"/>
            <w:shd w:fill="F4F7FB"/>
            <w:tcMar>
              <w:top w:w="85" w:type="dxa"/>
              <w:bottom w:w="85" w:type="dxa"/>
              <w:left w:w="120" w:type="dxa"/>
              <w:right w:w="120" w:type="dxa"/>
            </w:tcMar>
          </w:tcPr>
          <w:p>
            <w:pPr>
              <w:spacing w:line="276" w:lineRule="auto" w:before="40" w:after="40"/>
              <w:jc w:val="left"/>
            </w:pPr>
            <w:r>
              <w:rPr>
                <w:b/>
                <w:color w:val="047857"/>
                <w:sz w:val="17"/>
              </w:rPr>
              <w:t>Superado (100%). Acceso denegado con HTTP 403, bloqueo de auto-sabotaje de cuenta activa, cancelación preventiva en dry-run de backup y neutralización de fórmulas CSV.</w:t>
            </w:r>
          </w:p>
        </w:tc>
      </w:tr>
    </w:tbl>
    <w:p>
      <w:pPr>
        <w:spacing w:line="360" w:lineRule="auto" w:after="160" w:before="0"/>
        <w:jc w:val="left"/>
      </w:pPr>
      <w:r>
        <w:rPr>
          <w:i/>
          <w:sz w:val="19"/>
        </w:rPr>
        <w:t>Fuentes: Los autores (2026).</w:t>
      </w:r>
    </w:p>
    <w:p>
      <w:pPr>
        <w:spacing w:line="360" w:lineRule="auto" w:after="120" w:before="0"/>
        <w:jc w:val="both"/>
      </w:pPr>
      <w:r>
        <w:t>Como resultado concluyente de este proceso de evaluación dual (SAST y DAST), el sistema superó exitosamente el 100% de las pruebas técnicas planificadas e iteradas a lo largo del Core y los módulos de Autenticación, Artículos, RepositorioPST y SuperAdmin, consolidando una plataforma blindada, auditable y alineada con los más altos estándares académicos e institucionales.</w:t>
      </w:r>
    </w:p>
    <w:p>
      <w:pPr>
        <w:pStyle w:val="Heading1"/>
        <w:keepNext/>
        <w:spacing w:before="280" w:after="160"/>
      </w:pPr>
      <w:r>
        <w:rPr>
          <w:rFonts w:ascii="Calibri" w:hAnsi="Calibri"/>
          <w:b/>
          <w:color w:val="1F4E79"/>
          <w:sz w:val="30"/>
        </w:rPr>
        <w:t>4.3.3. Validación de Usabilidad</w:t>
      </w:r>
    </w:p>
    <w:p>
      <w:pPr>
        <w:spacing w:line="360" w:lineRule="auto" w:after="120" w:before="0"/>
        <w:jc w:val="both"/>
      </w:pPr>
      <w:r>
        <w:t>La validación de usabilidad se orientó a certificar la pertinencia operativa, la facilidad de aprendizaje y el grado de satisfacción experimentado por los usuarios finales en la interacción cotidiana con el sistema. En consonancia con los principios del Manifiesto Ágil propuestos por Beck et al. (2001), la colaboración continua con el cliente y la retroalimentación directa a partir de software funcionando prevalecen sobre la documentación exhaustiva y las presunciones teóricas. Bajo este enfoque, la validación no se limitó a un análisis estético de interfaz, sino a la contrastación empírica de cómo el artefacto tecnológico simplifica los flujos de trabajo académico-administrativos dentro del contexto real de la comunidad universitaria.</w:t>
      </w:r>
    </w:p>
    <w:sectPr w:rsidR="00FC693F" w:rsidRPr="0006063C" w:rsidSect="00034616">
      <w:footerReference w:type="default" r:id="rId9"/>
      <w:pgSz w:w="12240" w:h="15840"/>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jc w:val="right"/>
    </w:pPr>
    <w:r>
      <w:rPr>
        <w:rFonts w:ascii="Calibri" w:hAnsi="Calibri"/>
        <w:color w:val="787878"/>
        <w:sz w:val="18"/>
      </w:rPr>
      <w:t xml:space="preserve">CIIDI | Capítulo IV: Validación Técnica (Core, Autenticación, Artículos, RepositorioPST y SuperAdmin) — Pág. </w:t>
    </w:r>
    <w:r>
      <w:rPr>
        <w:rFonts w:ascii="Calibri" w:hAnsi="Calibri"/>
        <w:color w:val="787878"/>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